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Rehearsing Sovereignty: A Synthetic Roundtable as an Instrument for Studying Performed Authority in the AI Cold War</w:t>
      </w:r>
    </w:p>
    <w:p>
      <w:r>
        <w:rPr>
          <w:i/>
        </w:rPr>
        <w:t>Revised full draft, 3 October 2026. This version incorporates the cleaned corpus analyses (ANALYSES.md): the classifier and act-contingency results now lead the coding section, the intervention figures are the cleaned before-and-after numbers, and the reflexivity probe and the second-coder check are reported as results. It adds the Operation A7A5 shadow-economy section (Usher) and the digital-colonialism-as-meta-sovereignty reframe (Ajibona). Companion to the meta-sovereignty paper. Charts and real generated posters/front pages are in the published artifact and the DOCX. No em-dashes, no semicolons. Revision note: the volume, page, and report numbers on the Derrida (1986), Farrell and Newman, Larkin, Pozsar et al., and Star entries, and the publisher names on the money and infrastructure references, were added from the publication record rather than from the collaborator texts. The digital-colonialism entries follow Ajibona's contribution bibliography, with two incomplete page spans left for lookup. All of these fall under the pre-submission citation check already promised for the sanctions listings.</w:t>
      </w:r>
    </w:p>
    <w:p>
      <w:r>
        <w:t>Authors (provisional): Denisa Reshef Kera, Eliyahu Keller, Avi Spitz, Oluwakorede Ajibona, James Usher, Lena Slachmuijlder, Merav Turgeman, Hila Ofek, Alexander Cohen, Ruth Aharon.</w:t>
      </w:r>
    </w:p>
    <w:p>
      <w:pPr>
        <w:pStyle w:val="Heading2"/>
      </w:pPr>
      <w:r>
        <w:t>Abstract</w:t>
      </w:r>
    </w:p>
    <w:p>
      <w:r>
        <w:t>The rivalry over artificial intelligence between the United States and China is commonly described as a race for the best models and the largest supply of compute. This description assumes that the nation-state is the unit of power, that winning means owning a sovereign AI system, and that authority follows capability. Current practice contradicts all three, since states now assert sovereignty through infrastructure they neither own nor operate, financed and controlled by others. We build on the concept of meta-sovereignty, which treats authority as performed through signals, imaginaries, and infrastructural promises rather than exercised through enforceable control. Meta-sovereignty has so far been studied only after the fact, from finished announcements. We add a way to observe it as it happens. Synthetic rehearsal stages performed sovereignty with language-model agents and treats human intervention and prompt design as experimental controls. Three agents argue as China, the United States, and the European Union, each grounded in a distinct policy corpus, while participants interrupt them, reprompt them, and introduce further agents. Across thirty-six substantive sessions, 895 cleaned agent turns in all, a classifier reading only the text predicts which agent produced a turn with 88.8 percent accuracy against a 36.8 percent baseline, so the three configured personae occupy separable registers, though each persona runs on its own model under its own prompt and the separation cannot by itself distinguish performed difference from model idiosyncrasy. Concession is rare, 5 percent of coded acts, and once it appears it raises the odds of another concession more than threefold over chance, and a turn that follows a human or guest intervention moves from accusation toward concession, a direction that survives text cleaning while its magnitude remains provisional. A companion case study traces the same posture-then-concession shape on a second stage, reading the Russian ruble-linked stablecoin A7A5 through on-chain forensics, where the performance of monetary exit gives way at the point of conversion back to a dollar-linked asset. The method yields evidence about what is said, not about model internals, state intentions, or future events. Its aim is deliberative rather than predictive. Where war games are held privately among security professionals, a synthetic rehearsal is inexpensive and repeatable, and it lets citizens, civil-society organizations, and elected representatives question the positions of the major powers and examine which AI futures they would defend.</w:t>
      </w:r>
    </w:p>
    <w:p>
      <w:pPr>
        <w:pStyle w:val="Heading2"/>
      </w:pPr>
      <w:r>
        <w:t>Introduction</w:t>
      </w:r>
    </w:p>
    <w:p>
      <w:r>
        <w:t>The rivalry over artificial intelligence is commonly told as a race between the United States and China to train the best models and gather the most compute, an account that has shaped popular and policy discussion since the late 2010s (Lee, 2018, Hogarth, 2018). The account rests on three assumptions. It treats the nation-state as the natural unit of power, equates winning with holding the best system inside one's own borders, and assumes that authority follows capability, so that whoever builds the most will command the most. If any assumption fails, the race stops describing what states are actually doing when they invoke AI. The developments of 2025 and 2026 fail all three together.</w:t>
      </w:r>
    </w:p>
    <w:p>
      <w:r>
        <w:t>Consider the count. The Center for a New American Security records one hundred and eighty-four government-backed sovereign-AI projects across sixty-seven states, most of them dependent on foreign chips, clouds, or models (CNAS, 2026). As a tally of announcements the figure is neutral. Set against the dependence it exposes, the figure shows something the race cannot accommodate: states declare sovereignty through infrastructure they do not control, so capability and authority come apart rather than move together. The instrument of leverage has also shifted from ownership to access. The United States has extended control from the export of chips to the licensing of access to frontier models themselves (CSIS, 2026), and the diffusion of compute now turns on who grants entry to a supply chain rather than who holds it outright (Sastry et al., 2024). A single episode makes the point concrete. The promise of Nvidia chips reportedly figured in the diplomacy around the Armenia-Azerbaijan settlement (Wall Street Journal, 2026). Whatever the exact mechanism, chip access there worked less as a measure of who held the best model than as a bargaining instrument, a signal traded among parties none of whom was the strongest builder. Investment can deepen the same dependence it is meant to escape, as the Gulf states' infrastructure spending shows (IISS, 2026). In each case the medium of the performance is the stack itself, and the actors who matter extend well beyond the two presumed racers.</w:t>
      </w:r>
    </w:p>
    <w:p>
      <w:r>
        <w:t>Meta-sovereignty offers a framing that fits these observations. Reshef Kera, Natan, Turgeman and Ofek (2026) describe authority performed through signals, imaginaries, and infrastructural promises rather than enforceable control, a rule sustained by promised infrastructures, persuasive fictions, and costly signals that stand in for the control a state does not hold. On this reading the sovereign-AI wave succeeds as a performance of autonomy even where it fails as a bid for autonomy, because the promise itself sustains it. The account carries one limit that bears on method. It works retrospectively, from finished pledges, so it can reconstruct the script after the fact but cannot observe the performance being defended, revised, or refused while it runs.</w:t>
      </w:r>
    </w:p>
    <w:p>
      <w:r>
        <w:t>We build an instrument for observing that work as it happens, and we name what the instrument produces. The instrument is a human-AI roundtable. Three language-model agents argue as China, the United States, and the European Union, each reading its own policy corpus, while human participants set the opening prompt, interrupt, reprompt, and introduce further agents. The concept is synthetic rehearsal: a multi-agent language-model staging, with human intervention and prompt design as experimental controls, that externalizes the maintenance of performed sovereignty and its points of failure so that both can be observed under live contestation. Three commitments bound the claim. The evidence is output-level, consisting of transcripts and generated artifacts, and it licenses no inference about model internals or the real intentions of any state. The method studies how sovereignty imaginaries become legible, circulate, and are contested, and it neither forecasts outcomes nor measures capability. The models are trained on the same discourse the roundtable examines, so the rehearsal can reproduce the imaginaries it interrogates, a reflexivity we treat as a standing limit. Agency belongs to the arrangement as a whole, to models, corpora, prompts, interface, participants, and audience together, and not to any agent alone.</w:t>
      </w:r>
    </w:p>
    <w:p>
      <w:r>
        <w:t>The aim of the exercise is deliberative rather than predictive, and this distinguishes it from the war game it superficially resembles. War games and their recent AI variants rehearse conflict privately, among military and security professionals, and increasingly frame the field through deterrence and the risk of pre-emption (Hendrycks, Schmidt and Wang, 2025). A synthetic rehearsal reverses the access conditions. It is inexpensive and repeatable, and it admits citizens, civil-society organizations, and elected representatives into a room that is otherwise closed, where they can question the positions of the major powers and examine which AI futures they are prepared to defend before those futures are presented as settled.</w:t>
      </w:r>
    </w:p>
    <w:p>
      <w:r>
        <w:t>The remainder of the article develops this in order. The next section places synthetic rehearsal in a genealogy running from Derrida's (1984) account of great-power conflict as "fabulously textual," through Fearon (1995) on costly signaling and Ezrahi (2012) on necessary fictions, to meta-sovereignty, and states the gap each of these leaves open. A short section converts the description into an apparatus and names synthetic rehearsal. A methods section sets out the roundtable, its three registers of debate, propaganda-lab, and mirror-world, and the coding scheme together with the cleaning the corpus required. A results section first reports the cleaned-corpus analyses, where a classifier separates the three configured registers, concession proves rare and self-reinforcing once it appears, and the discourse shifts from accusation toward concession after a human or guest intervenes, each result read under the stated collinearity of actor, model, and prompt, and then reads the same corpus as one performance at increasing interpretive distance. A further section extends the instrument beyond the synthetic corpus, tracing one sovereignty claim through a debate session and through the on-chain record of the A7A5 stablecoin, the shadow economy read as a second stage. A discussion returns each borrowed concept to the load the rehearsal placed on it. The conclusion returns to the reflexivity limit and to what the method can and cannot establish.</w:t>
      </w:r>
    </w:p>
    <w:p>
      <w:pPr>
        <w:pStyle w:val="Heading2"/>
      </w:pPr>
      <w:r>
        <w:t>2. From control to performance: a genealogy</w:t>
      </w:r>
    </w:p>
    <w:p>
      <w:r>
        <w:t>Synthetic rehearsal inherits a problem that a century of thought about great-power claims has reformulated without resolving: how a state gets others to credit an assertion it cannot enforce. Each reformulation hands the next a mechanism the earlier one left unspecified, and the sequence terminates in a shared limit. Prior theory can show that sovereignty is performed and can explain why a given performance persuades, yet it reads a performance already finished, after the fact. The roundtable studied here runs the performance forward and perturbs it, and this genealogy is arranged to isolate what that difference does.</w:t>
      </w:r>
    </w:p>
    <w:p>
      <w:pPr>
        <w:pStyle w:val="Heading3"/>
      </w:pPr>
      <w:r>
        <w:t>2.1 Derrida: the referent that never arrives, and the archive as its condition</w:t>
      </w:r>
    </w:p>
    <w:p>
      <w:r>
        <w:t>Great-power conflict was text and signal before it was weapons. Derrida's "No Apocalypse, Not Now" (1984) names total nuclear war "fabulously textual," an antagonism that rests on structures of information, code, and archive and whose referent never arrives as an event. Derrida does not deny that the weapons are real. His claim concerns the mode of the confrontation, which is conducted through, and credited on the basis of, what can be inscribed, transmitted, and read. Nuclear standoff is the pure case, because the thing feared is exactly the thing that must not happen, so the whole apparatus works in the register of anticipation rather than event.</w:t>
      </w:r>
    </w:p>
    <w:p>
      <w:r>
        <w:t>Archive Fever (1995) supplies one component of the present staging. "There is no political power without control of the archive," which makes the ordering, retention, and reorganisation of the record an exercise of authority rather than a neutral support for it. The roundtable includes a Critical Archivist among its summonable agents for this reason: an agent that can reorganise the shared corpus renders the archival dimension of authority an observable operation instead of an assumption. Derrida gives the domain and the intuition, that conflict lives in text and that power lives in the control of text. What he does not give is a real-time account of how a signal becomes credible to an adversary in the moment, which is the next requirement.</w:t>
      </w:r>
    </w:p>
    <w:p>
      <w:pPr>
        <w:pStyle w:val="Heading3"/>
      </w:pPr>
      <w:r>
        <w:t>2.2 Fearon: the credibility mechanism, and the silence about maintenance</w:t>
      </w:r>
    </w:p>
    <w:p>
      <w:r>
        <w:t>Fearon's costly-signaling argument (1995) supplies the mechanism Derrida leaves open. A claim becomes credible when it is backed by visible, costly commitment that a bluffer would be unwilling to bear, so that assertion alone does not persuade. The argument also widens the domain from nuclear standoff to bargaining and crisis generally, and it names the step by which text becomes credited text. The costly signal is the link between saying and being believed.</w:t>
      </w:r>
    </w:p>
    <w:p>
      <w:r>
        <w:t>Fearon models a discrete act. A signal is a single move, sincere or a bluff, and the question is whether the receiver should be convinced. The model says nothing about what happens across many turns, once a posture must be sustained, revised, and defended after a first assertion has been challenged. Credibility in Fearon is manufactured once. The object studied here is credibility held under repeated contestation, where an interlocutor refuses the signal and the claimant must restate, escalate, or give ground. Maintenance of a signal, as distinct from its issuance, is what remains open.</w:t>
      </w:r>
    </w:p>
    <w:p>
      <w:pPr>
        <w:pStyle w:val="Heading3"/>
      </w:pPr>
      <w:r>
        <w:t>2.3 Ezrahi: the coherence of fictions, and the promptable-fiction gap</w:t>
      </w:r>
    </w:p>
    <w:p>
      <w:r>
        <w:t>Fearon explains why one signal is believed. Ezrahi (2012) explains why a whole imaginative construction holds together. Legitimacy, in his account of political and necessary fictions, rests on imaginative coherence: a public accepts a governing order because that order is rendered as a plausible, self-consistent fiction that organises expectation. Coherence is the mechanism, and it reaches something neither Derrida nor Fearon does, the standing plausibility of an entire performed order rather than the credibility of a single move within it.</w:t>
      </w:r>
    </w:p>
    <w:p>
      <w:r>
        <w:t>Ezrahi wrote for mass-media democracies, where identifiable institutions produce the fictions and broadcast and press circulate them. The present arrangement changes the conditions of production. Here the fictions are machine-generated and promptable, composed on demand by language models reading policy corpora under human instruction and reworked whenever a human reprompts. Coherence still applies as a mechanism, but the fiction is no longer authored once by an institution and received by a public. It is generated, contested, and regenerated within a single sitting. Ezrahi's account does not specify what coherence means once a fiction can be re-elicited on request.</w:t>
      </w:r>
    </w:p>
    <w:p>
      <w:pPr>
        <w:pStyle w:val="Heading3"/>
      </w:pPr>
      <w:r>
        <w:t>2.4 Meta-sovereignty: the synthesis inherited, and its retrospective vantage</w:t>
      </w:r>
    </w:p>
    <w:p>
      <w:r>
        <w:t>The concept this article extends most directly draws these strands together. Reshef Kera, Natan, Turgeman and Ofek (2026) define meta-sovereignty as authority performed through signals, imaginaries, and infrastructural promises rather than through enforceable control, "a mode of rule sustained by infrastructures that do not yet exist, by fictions that persuade before they materialize, and by costly signals that substitute for control." The synthesis is exact, folding the costly signal, the necessary fiction, and the textual archive into a single account of sovereignty as dramaturgy.</w:t>
      </w:r>
    </w:p>
    <w:p>
      <w:r>
        <w:t>The limit lies in the vantage. That paper reads the performance retrospectively, from states' finished pledges, and arrives at sovereignty as dramaturgy. A dramaturgy read from the finished script cannot show the maintenance work, the moments where a posture is challenged and then held or surrendered. This retrospective vantage is what the present object alters.</w:t>
      </w:r>
    </w:p>
    <w:p>
      <w:pPr>
        <w:pStyle w:val="Heading3"/>
      </w:pPr>
      <w:r>
        <w:t>2.5 Compute-as-statecraft: the stack as the medium</w:t>
      </w:r>
    </w:p>
    <w:p>
      <w:r>
        <w:t>The performance now runs through the computational stack, which changes its scale without changing its logic. CNAS (2026) documents a sovereign-AI wave of 184 government-backed projects across 67 states, most dependent on foreign chips, clouds, or models, so that a claim to AI sovereignty is often made from a position of infrastructural dependence. CSIS (2026) traces United States control extending from chip export restriction to conditioned access to frontier models, which widens the surface on which leverage is exercised. The Wall Street Journal (2026) reports Nvidia-chip access used as an instrument in Armenia-Azerbaijan peace diplomacy, one reported case of compute allocation serving as a diplomatic signal. IISS (2026) describes Gulf AI infrastructure that deepens external dependence even as it performs autonomy. The medium of the performance has become the stack, and the promise, the signal, and the dependence are all articulated in chips, fabs, clouds, and model access.</w:t>
      </w:r>
    </w:p>
    <w:p>
      <w:pPr>
        <w:pStyle w:val="Heading3"/>
      </w:pPr>
      <w:r>
        <w:t>2.6 Two counterpoints, kept in the room</w:t>
      </w:r>
    </w:p>
    <w:p>
      <w:r>
        <w:t>Two positions resist the performative account and deserve a fair statement, so that the results can answer them with evidence rather than dispose of them here. The materialist counterpoint, anchored in Avi Spitz's "AI Has a Territory" (2026), holds that AI power is finally a question of who controls chips, fabrication, rare earths, and data-center land, and that performance is downstream of this material distribution. The cooperationist counterpoint, anchored in Lena Slachmuijlder (2026), holds that rivalry is only one available script, and that a framing built around great-power confrontation risks manufacturing the antagonism it claims to observe. Neither is a strawman. The materialist warns against treating signal as autonomous from substrate. The cooperationist objects to treating conflict as the default genre. The results section returns to each.</w:t>
      </w:r>
    </w:p>
    <w:p>
      <w:pPr>
        <w:pStyle w:val="Heading3"/>
      </w:pPr>
      <w:r>
        <w:t>2.7 The power lens and the trickster reframe</w:t>
      </w:r>
    </w:p>
    <w:p>
      <w:r>
        <w:t>Two final moves relocate the object. Ajibona's (2026) work on digital colonialism and the Global South supplies the casting question: within any performance of sovereignty, some parties are cast as actors and others as territory, market, or mineral, and the distribution of those roles is itself an exercise of power that the dramaturgy naturalises.</w:t>
      </w:r>
    </w:p>
    <w:p>
      <w:r>
        <w:t>The casting question cuts both ways, and the second edge matters as much as the first. The digital-colonialism literature reads the dominance of American and Chinese platforms over the Global South as a structural form of domination "exercised through the centralized ownership and control of the three core pillars of the digital ecosystem: software, hardware, and network connectivity" (Kwet, 2019), with Africa at its center, whether as the site of algorithmic colonization (Birhane, 2020) or of data extraction under weak data law (Coleman, 2019). Ajibona accepts the asymmetries the literature documents and rejects the passivity its casting implies, drawing on the international-relations scholarship that records African states exerting agency in security, trade, and technology choices (Brown, 2012, Coffie and Tiky, 2021) and on cases where governments diversify technology partners precisely so that no provider dominates (Allen and La Lime, 2024). The move that joins this article is the reframe that follows. The language of digital colonialism is itself a meta-sovereign signal. A state that lacks material control over digital infrastructure can invoke colonial domination to articulate its vulnerability and, in the same gesture, assert authority over how technology should operate on its territory. Ajibona names this instrumentalized vulnerability, "the strategic presentation of technological weakness as a basis for making claims to sovereignty, autonomy, and normative authority." Performed sovereignty is then not the preserve of the powers that hold the stack. It is a repertoire available to the parties the dramaturgy casts as territory, and the casting question becomes an empirical one the roundtable can test by seating those parties as agents.</w:t>
      </w:r>
    </w:p>
    <w:p>
      <w:r>
        <w:t>Usher's (2026) account of the shadow economy relocates the performance to a second stage, the off-book money of the sanctions era, where sovereignty is rehearsed through payment systems rather than language, a move developed in full in the Operation A7A5 section below. Between them they widen the performance's cast and its stage.</w:t>
      </w:r>
    </w:p>
    <w:p>
      <w:r>
        <w:t>The trickster reframe shifts the unit of power. In the figure of Eshu, Anansi, Hermes, or Coyote at the crossroads, authority belongs to whoever governs the flow of messages rather than to the largest force. The figure serves to relocate the object of study, from the strength of the players to the control of the channel, and not as a mechanism in its own right. It prepares the reading, developed below, of a roundtable in which power sits with what circulates and with who can interrupt its circulation.</w:t>
      </w:r>
    </w:p>
    <w:p>
      <w:pPr>
        <w:pStyle w:val="Heading2"/>
      </w:pPr>
      <w:r>
        <w:t>From description to apparatus</w:t>
      </w:r>
    </w:p>
    <w:p>
      <w:r>
        <w:t>Meta-sovereignty describes authority in the contest over artificial intelligence as something performed through signals, imaginaries, and infrastructural promises rather than held through enforceable control. The description is strong, and it carries a limit that follows from how its evidence is gathered. Reshef Kera, Natan, Turgeman and Ofek (2026) read the performance retrospectively, from the finished pledges of states, and end by calling sovereignty a dramaturgy. Fearon (1995) explains why a signal persuades when it is visibly costly, but he treats the signal as a discrete act, sincere or bluff, and says nothing about how a commitment is held across many turns. Ezrahi (2012) explains why a necessary fiction binds a polity together, but he writes for the mass-media democracy rather than for machine-generated, promptable fictions, and he does not say what becomes of a fiction when someone in the room refuses it. None of the three watches the performance while it is still being made.</w:t>
      </w:r>
    </w:p>
    <w:p>
      <w:r>
        <w:t>The gap is methodological before it is theoretical. The maintenance work of performed sovereignty, the continuous labor of holding a posture, absorbing a challenge, and conceding a point without abandoning the role, reaches the analyst only as a finished product. A communiqué, a white paper, a chip-export rule, a summit photograph: each arrives already resolved, with the contested process that produced it edited out. The retrospective viewpoint is not one the analyst can avoid, because the archive hands over outcomes rather than the process behind them. To observe maintenance one would have to run the performance forward and perturb it while it runs, and the historical record does not permit that.</w:t>
      </w:r>
    </w:p>
    <w:p>
      <w:r>
        <w:t>Synthetic rehearsal names an apparatus that does: a multi-agent language-model staging, with human intervention and prompt design as controls, used to externalize and observe the maintenance work of performed sovereignty and its fracture points under live contestation. It has six components.</w:t>
      </w:r>
    </w:p>
    <w:p>
      <w:pPr>
        <w:pStyle w:val="ListBullet"/>
      </w:pPr>
      <w:r>
        <w:t>Several language models rather than one, so that the difference between positions comes from distinct systems and not from a single system instructed to speak in three voices.</w:t>
      </w:r>
    </w:p>
    <w:p>
      <w:pPr>
        <w:pStyle w:val="ListBullet"/>
      </w:pPr>
      <w:r>
        <w:t>A separate per-actor corpus for each agent, the CHIPS Act, the EU AI Act, the New Generation AI Development Plan, and the collaborators' own source papers, so that each position reads from its own documentary base.</w:t>
      </w:r>
    </w:p>
    <w:p>
      <w:pPr>
        <w:pStyle w:val="ListBullet"/>
      </w:pPr>
      <w:r>
        <w:t>Prompt design treated as an explicit and reportable control rather than as invisible authorship.</w:t>
      </w:r>
    </w:p>
    <w:p>
      <w:pPr>
        <w:pStyle w:val="ListBullet"/>
      </w:pPr>
      <w:r>
        <w:t>Human intervention as the perturbing instrument: the opening prompt, the interruption, the reprompt, the invited guest agent.</w:t>
      </w:r>
    </w:p>
    <w:p>
      <w:pPr>
        <w:pStyle w:val="ListBullet"/>
      </w:pPr>
      <w:r>
        <w:t>A staging interface that renders one performance across three registers, debate, propaganda-lab, and mirror-world.</w:t>
      </w:r>
    </w:p>
    <w:p>
      <w:pPr>
        <w:pStyle w:val="ListBullet"/>
      </w:pPr>
      <w:r>
        <w:t>An audience and a channel of circulation, since a performance of authority is addressed to someone and is not complete until it is received.</w:t>
      </w:r>
    </w:p>
    <w:p>
      <w:r>
        <w:t>The word rehearsal is chosen against two nearer alternatives. "Simulation" claims a validated model of a real system whose behavior it predicts, which would overstate what the arrangement licenses, since the apparatus does not forecast state conduct and makes no claim about real intentions. "Theatre" names a finished performance delivered to an audience, and loses what matters here, the unfinished run in which a line can be tried, broken off, and taken again. A rehearsal is a performance carried out under conditions that permit interruption and repetition without the stakes of opening night. That is the object: the maintenance work made repeatable and observable because it is not the thing itself.</w:t>
      </w:r>
    </w:p>
    <w:p>
      <w:r>
        <w:t>Three commitments discipline the method. The evidence is output-level only. The data are transcripts, generated artifacts, and the shifts recorded under intervention, and nothing in them licenses a claim about a model's internal states or about the actual intentions of any state, so observation, measurement, and interpretation stay apart throughout. Authority is located in the arrangement and never in a model. Whatever resolve, concession, or grievance appears is a property of the whole staging, the models together with corpora, prompts, interface, human turns, and audience, and never the doing of an agent by itself. The reflexivity limit is built in. The models are trained on the very discourse the rehearsal studies, so the staging can reproduce the imaginaries it sets out to interrogate. The inversion Keller proposes in this article names the failure mode: Mutually Assured Destruction becomes Model Autophagy Disorder, the collapse that follows when a system is fed its own output. The instrument tests behavior under perturbation and does not forecast it.</w:t>
      </w:r>
    </w:p>
    <w:p>
      <w:r>
        <w:t>The apparatus reaches the one thing the description could not. Because the performance is run forward and perturbed while it runs, the maintenance of a sovereign posture stops being an inference from finished products and becomes something observed as it occurs. Maintenance-under-contestation, the giving and holding of performed authority at the moment it is refused, becomes an object available to measurement.</w:t>
      </w:r>
    </w:p>
    <w:p>
      <w:pPr>
        <w:pStyle w:val="Heading2"/>
      </w:pPr>
      <w:r>
        <w:t>Method: the roundtable as instrument</w:t>
      </w:r>
    </w:p>
    <w:p>
      <w:r>
        <w:t>Synthetic rehearsal treats a staged roundtable as an instrument rather than a forecast. It does not predict what states will do. It externalizes the maintenance work that performed sovereignty ordinarily hides and holds that work still long enough for its fracture points to become observable under live contestation. The apparatus has three parts: an arrangement of agents, a set of registers that render one performance at different interpretive distances, and a set of controls through which humans perturb the arrangement and record what moves. All of the evidence is output-level, drawn from transcripts, generated artifacts, and recorded shifts, and none of it licenses a claim about model internals or about the intentions of real states.</w:t>
      </w:r>
    </w:p>
    <w:p>
      <w:pPr>
        <w:pStyle w:val="Heading3"/>
      </w:pPr>
      <w:r>
        <w:t>Three agents, and what the design can and cannot test</w:t>
      </w:r>
    </w:p>
    <w:p>
      <w:r>
        <w:t>The roundtable seats three agents cast as China, the United States, and the European Union. Each runs on a distinct model (deepseek-chat-v3-0324, openai/gpt-4.1-mini, mistralai/ministral-14b-2512) and reads a distinct per-actor policy corpus: the CHIPS Act, the EU AI Act, the China New Generation AI Development Plan, and the collaborators' own source papers. Pairing distinct models with distinct corpora makes separation something the record can test. Discourse that failed to separate along the designed lines would fail the rehearsal on its own terms, so distinguishability is the first quantity the instrument measures rather than a property it takes for granted.</w:t>
      </w:r>
    </w:p>
    <w:p>
      <w:r>
        <w:t>The same pairing fixes a hard interpretive limit. Actor is perfectly collinear with model and with persona prompt, because each national role always runs on the same backend under the same role prompt. Three different models under three different prompts that differ in register would separate anyway, so separation is the null expectation rather than a finding about sovereignty. Every cross-actor result in this article therefore reads as a claim that the configured personae occupy distinct registers, never as a claim that the models perform distinct sovereignties. Only a designed experiment can take the two apart: a model-swap control that rebinds the national roles to different backends while holding the persona prompts fixed. The reflexive-framing test, whose first pass is reported with the results, probes the related but distinct question of when the personae echo a shared origin rather than differentiate.</w:t>
      </w:r>
    </w:p>
    <w:p>
      <w:pPr>
        <w:pStyle w:val="Heading3"/>
      </w:pPr>
      <w:r>
        <w:t>Three registers, one performance</w:t>
      </w:r>
    </w:p>
    <w:p>
      <w:r>
        <w:t>The same roundtable runs in three registers, each a view on one performance held at a greater interpretive distance. The debate register works at distance zero, as argumentative prose in which an agent states, accuses, hedges, or concedes. The propaganda-lab register compresses each turn into a slogan paired with a generated poster, isolating the costly signal in aestheticized form. The mirror-world register splits each turn into three declared slots, an official line, a buried reality, and a speculation, and closes on a generated tabloid front page. Where an analyst of the debate transcript must infer the backstage of the necessary fiction, the mirror-world register makes that backstage a formal slot. The three are one instrument aimed three ways at one object.</w:t>
      </w:r>
    </w:p>
    <w:p>
      <w:pPr>
        <w:pStyle w:val="Heading3"/>
      </w:pPr>
      <w:r>
        <w:t>Controls as perturbations</w:t>
      </w:r>
    </w:p>
    <w:p>
      <w:r>
        <w:t>Humans act on the arrangement through three controls, each a perturbation whose expected effect the record can confirm or refute. The opening prompt sets the proposition and the terms of engagement and is logged as the prompt in force for every turn it governs. Human interruption and reprompting inject contestation mid-run, the expectation being that the performance of resolve gives ground. Guest-agent summons introduce a rival voice: Halcyon a peace-builder, a Machiavellian crypto-native Analyst, and a Critical Archivist that reorganizes the wiki corpus, each summons expected to bend the discourse toward the guest's frame. Logging these as controls rather than treating them as background detail is what makes a before-and-after comparison legitimate. A turn that immediately follows an intervention can be set against the turn that immediately preceded it, so that a move from posture toward concession, where it appears, can be attributed to the perturbation rather than to drift, within the limits the results state.</w:t>
      </w:r>
    </w:p>
    <w:p>
      <w:pPr>
        <w:pStyle w:val="Heading3"/>
      </w:pPr>
      <w:r>
        <w:t>What the instrument records and what it refuses</w:t>
      </w:r>
    </w:p>
    <w:p>
      <w:r>
        <w:t>The instrument records a fixed set of fields and refuses one measure. For each turn it logs the turn index and speaker, the prompt in force, whether a guest was summoned and which one, and any position change together with its antecedent, meaning the intervention or prior turn that immediately preceded the shift. Counting is preceded by cleaning. The China agent's model leaks stage-direction scaffolding into stored turns, tokens such as "[summary]" and "[postscript]", and some stored text carries double-encoded characters, so the scaffolding is stripped, the encoding repaired, and the headline numbers recomputed on the cleaned text as a sensitivity check. Coding uses a reproducible dictionary applied uniformly across the corpus, and rates are reported per turn or per thousand words so that turns of unequal length stay comparable. The dictionary is one method among possible methods, and the second-coder check reported with the results shows that stance coding does not replicate across automated methods, so every stance rate in this article is reported as method-dependent rather than as ground truth. What the instrument refuses is a single numeric sovereignty score. Because the article treats sovereignty as a performance rather than a holding, compressing it into one scalar would substitute a proxy for the thing under study and import a claim about degree of control that output-level evidence cannot bear. Observation (what the transcript says), measurement (coded rates and recorded shifts), and interpretation (what the shifts mean for performed authority) are kept as separate operations, and any finding that rests on a handful of cases is marked as such. Because the post-intervention subset is small, directions are reported with more confidence than magnitudes.</w:t>
      </w:r>
    </w:p>
    <w:p>
      <w:pPr>
        <w:pStyle w:val="Heading3"/>
      </w:pPr>
      <w:r>
        <w:t>The reflexivity limit</w:t>
      </w:r>
    </w:p>
    <w:p>
      <w:r>
        <w:t>The models are trained on the same discourse the rehearsal studies, so the staging can reproduce the imaginaries it sets out to interrogate. The limit is real but bounded, and it is the inversion Keller names, from Mutually Assured Destruction to Model Autophagy Disorder, the collapse a system risks when it is fed its own output. The limit is most acute in the layers where the arrangement turns on its own record, the recap, the james-take, and the wiki-proposals, where the machine reads what the machine produced. Naming the limit belongs to the discipline and does not lift it. The point at which the rehearsal starts to echo rather than differentiate is itself readable in the record, and reading for it, rather than assuming it away, is why the method claims to test scenarios rather than predict them. A first empirical probe of the limit, two sessions run under a shared-origin prompt, is reported with the results.</w:t>
      </w:r>
    </w:p>
    <w:p>
      <w:pPr>
        <w:pStyle w:val="Heading3"/>
      </w:pPr>
      <w:r>
        <w:t>The artifacts and the corpus</w:t>
      </w:r>
    </w:p>
    <w:p>
      <w:r>
        <w:t>The posters and front pages are generated fictions and are labeled as such wherever they are analyzed. They are evidence of how a costly signal or a buried reality gets rendered, not evidence about the world the fiction depicts, and the tabloid front pages in particular carry invented detail that belongs to the register and to no record. The full corpus holds 113 sessions (85 debate, 18 mirror-world, 10 propaganda-lab, as of 13 September 2026), though most are short tests. Analysis is reported over the interpretable subset, meaning sessions with real length, human turns, guest summons, or overlays, and never over the raw 113. One section of this article draws on data outside the roundtable corpus: the Operation A7A5 analysis reads an external forensic data set from the Fionn / Crypto Hack Analyser platform, with the source's confidence labels carried over unchanged, so that the article's evidence provenance stays explicit on both stages.</w:t>
      </w:r>
    </w:p>
    <w:p>
      <w:pPr>
        <w:pStyle w:val="Heading2"/>
      </w:pPr>
      <w:r>
        <w:t>Results: coding the debates and reading across the stack</w:t>
      </w:r>
    </w:p>
    <w:p>
      <w:r>
        <w:t>Two ways of reading the corpus answer two different questions, and neither collapses into the other. Measuring the debate transcripts, with a classifier, a transition count, and a fixed dictionary, can tell us whether the staging actually produces the distinctions its design was built to produce, and whether human contestation leaves a trace a coder can find. Reading the same corpus as one performance, rendered at greater and greater interpretive distance, tells us something the counts cannot, namely what happens to a performed claim as it is purified, dissected, and caricatured. Part A does the first, Part B the second. In both, observation, measurement, and interpretation stay on separate lines, and every claim is a claim about output. The transcripts and generated artifacts are the evidence. Nothing here speaks to model internals or to the intentions of any actual state.</w:t>
      </w:r>
    </w:p>
    <w:p>
      <w:pPr>
        <w:pStyle w:val="Heading3"/>
      </w:pPr>
      <w:r>
        <w:t>Part A. Coding the debates</w:t>
      </w:r>
    </w:p>
    <w:p>
      <w:r>
        <w:t>The counts come from the substantive debate corpus, the sessions long enough to carry an argument rather than the short tests: 36 sessions and 895 cleaned agent turns. Before any analysis the stored text was cleaned, since the China agent's model leaks stage-direction scaffolding into its turns and some stored text carried double-encoded characters. The scaffolding was stripped, the encoding repaired, and the headline numbers recomputed on the cleaned text as a sensitivity check. The cleaned corpus holds one turn fewer than the 896 the pre-cleaning audit counted. Each agent is one model, one per-actor policy corpus, and the shared prompt frame. Where the text names China, the United States, or the European Union, it names that arrangement and its output, not the state. One confound governs every cross-actor number below. Actor is perfectly collinear with model and with persona prompt, so three different models under three different prompts that differ in register would separate anyway, and each result is read under that limit.</w:t>
      </w:r>
    </w:p>
    <w:p>
      <w:r>
        <w:rPr>
          <w:b/>
        </w:rPr>
        <w:t>Finding 1. The configured personae occupy separable registers.</w:t>
      </w:r>
      <w:r>
        <w:t xml:space="preserve"> A Naive-Bayes classifier trained on cleaned unigrams predicts which actor produced a held-out turn with 88.8 percent accuracy against a 36.8 percent majority baseline (70/30 train-test split). China is predicted with precision 1.00 and recall 0.71, and the turns it misses are assigned to the EU. The United States is predicted at 0.92 precision and 0.99 recall, the EU at 0.79 and 1.00.</w:t>
      </w:r>
    </w:p>
    <w:p>
      <w:pPr>
        <w:jc w:val="center"/>
      </w:pPr>
      <w:r>
        <w:drawing>
          <wp:inline xmlns:a="http://schemas.openxmlformats.org/drawingml/2006/main" xmlns:pic="http://schemas.openxmlformats.org/drawingml/2006/picture">
            <wp:extent cx="5486400" cy="4847147"/>
            <wp:docPr id="1" name="Picture 1"/>
            <wp:cNvGraphicFramePr>
              <a:graphicFrameLocks noChangeAspect="1"/>
            </wp:cNvGraphicFramePr>
            <a:graphic>
              <a:graphicData uri="http://schemas.openxmlformats.org/drawingml/2006/picture">
                <pic:pic>
                  <pic:nvPicPr>
                    <pic:cNvPr id="0" name="a1_classifier.png"/>
                    <pic:cNvPicPr/>
                  </pic:nvPicPr>
                  <pic:blipFill>
                    <a:blip r:embed="rId9"/>
                    <a:stretch>
                      <a:fillRect/>
                    </a:stretch>
                  </pic:blipFill>
                  <pic:spPr>
                    <a:xfrm>
                      <a:off x="0" y="0"/>
                      <a:ext cx="5486400" cy="4847147"/>
                    </a:xfrm>
                    <a:prstGeom prst="rect"/>
                  </pic:spPr>
                </pic:pic>
              </a:graphicData>
            </a:graphic>
          </wp:inline>
        </w:drawing>
      </w:r>
    </w:p>
    <w:p>
      <w:pPr>
        <w:jc w:val="center"/>
      </w:pPr>
      <w:r>
        <w:rPr>
          <w:i/>
          <w:sz w:val="18"/>
        </w:rPr>
        <w:t>classifier accuracy and per-actor precision and recall</w:t>
      </w:r>
    </w:p>
    <w:p>
      <w:r>
        <w:t>Beneath the classifier, a first-pass dictionary gives the texture of the three registers, and its rates carry a double label: they were computed before cleaning, on the 37-session, 900-turn first pass, so the scaffolding leak inflates every China word count, and the second-coder check in Finding 6 shows that stance coding does not replicate across methods. With that label attached, the pre-cleaning per-1,000-word rates ran, for China, the United States, and the EU in turn, 10.64 / 16.90 / 9.58 on signal_resolve, 27.17 / 36.39 / 34.47 on material_stack, 7.46 / 11.64 / 9.77 on dependence, 10.06 / 7.44 / 13.45 on rules_regulation, 6.30 / 12.49 / 7.96 on market_innovation, and 7.18 / 4.53 / 2.79 on accusation, with average turn lengths of 161, 138, and 181 words. Read as description, the US register ran on resolve, market, and hardware at once, the EU register was institutional, with the longest turns, the highest rules rate, the lowest accusation rate, and the Gulf counterparties Aramco and Mubadala named directly, and the China register carried the grievance and the highest accusation rate. The distinctive-vocabulary lists from the same pass sort the same way, tout, velocity, leverages, and eagle for the US register, aramco, mubadala, disclose, and comply for the EU, and they carry the same provisional label. The same status attaches to the naming and casting counts of the first pass, which recorded the United States as the most-named party in the room and placed the casting of third parties as objects rather than speakers, the Gulf, the Global South, Taiwan, more with the EU and China registers than with the US register. No cleaned count yet backs those digits, so they are not repeated here, and the direction awaits recomputation on the cleaned corpus.</w:t>
      </w:r>
    </w:p>
    <w:p>
      <w:r>
        <w:t>What the separation means is bounded by the design. High separability is consistent with performed-sovereignty differentiation and equally consistent with three different models under three different prompts simply differing, and output-level text cannot decide between the two readings. The claim the classifier licenses is that the configured personae occupy distinct registers. Whether the persona or the backend carries the difference is a question only the model-swap control and the reflexive-framing experiment can answer.</w:t>
      </w:r>
    </w:p>
    <w:p>
      <w:r>
        <w:rPr>
          <w:b/>
        </w:rPr>
        <w:t>Finding 2. Concession is rare and self-reinforcing.</w:t>
      </w:r>
      <w:r>
        <w:t xml:space="preserve"> Coding each turn as accusation, concession, or neutral and counting act-to-act transitions over 860 consecutive pairs gives base rates of 0.52 for accusation, 0.43 for neutral, and 0.05 for concession. A concession raises the odds that the next turn is also a concession to 3.41 times the chance rate, an accusation repeats at 1.07 times chance, and a concession is followed by an accusation at 0.60 of chance. The room is adversarial by default, and concession is uncommon, yet once a concession appears it strongly raises the odds of another. Cooperation, when it starts, propagates. Because the contingency holds between acts rather than between actors, this result does not depend on the actor-model confound, which is why it stands beside the classifier as a lead result.</w:t>
      </w:r>
    </w:p>
    <w:p>
      <w:pPr>
        <w:jc w:val="center"/>
      </w:pPr>
      <w:r>
        <w:drawing>
          <wp:inline xmlns:a="http://schemas.openxmlformats.org/drawingml/2006/main" xmlns:pic="http://schemas.openxmlformats.org/drawingml/2006/picture">
            <wp:extent cx="5486400" cy="4667623"/>
            <wp:docPr id="2" name="Picture 2"/>
            <wp:cNvGraphicFramePr>
              <a:graphicFrameLocks noChangeAspect="1"/>
            </wp:cNvGraphicFramePr>
            <a:graphic>
              <a:graphicData uri="http://schemas.openxmlformats.org/drawingml/2006/picture">
                <pic:pic>
                  <pic:nvPicPr>
                    <pic:cNvPr id="0" name="a2_lagsequential.png"/>
                    <pic:cNvPicPr/>
                  </pic:nvPicPr>
                  <pic:blipFill>
                    <a:blip r:embed="rId10"/>
                    <a:stretch>
                      <a:fillRect/>
                    </a:stretch>
                  </pic:blipFill>
                  <pic:spPr>
                    <a:xfrm>
                      <a:off x="0" y="0"/>
                      <a:ext cx="5486400" cy="4667623"/>
                    </a:xfrm>
                    <a:prstGeom prst="rect"/>
                  </pic:spPr>
                </pic:pic>
              </a:graphicData>
            </a:graphic>
          </wp:inline>
        </w:drawing>
      </w:r>
    </w:p>
    <w:p>
      <w:pPr>
        <w:jc w:val="center"/>
      </w:pPr>
      <w:r>
        <w:rPr>
          <w:i/>
          <w:sz w:val="18"/>
        </w:rPr>
        <w:t>act-to-act transition lifts</w:t>
      </w:r>
    </w:p>
    <w:p>
      <w:r>
        <w:rPr>
          <w:b/>
        </w:rPr>
        <w:t>Finding 3. Intervention shifts the next turn from accusation toward concession.</w:t>
      </w:r>
      <w:r>
        <w:t xml:space="preserve"> A comparison of the agent turn just before a human or guest intervention with the turn just after (70 turns before, 66 after) shows concession rising from 0.086 to 0.439 per turn, about five-fold, while accusation falls from 0.886 to 0.545. The effect survives the text cleaning.</w:t>
      </w:r>
    </w:p>
    <w:p>
      <w:pPr>
        <w:jc w:val="center"/>
      </w:pPr>
      <w:r>
        <w:drawing>
          <wp:inline xmlns:a="http://schemas.openxmlformats.org/drawingml/2006/main" xmlns:pic="http://schemas.openxmlformats.org/drawingml/2006/picture">
            <wp:extent cx="5486400" cy="3840480"/>
            <wp:docPr id="3" name="Picture 3"/>
            <wp:cNvGraphicFramePr>
              <a:graphicFrameLocks noChangeAspect="1"/>
            </wp:cNvGraphicFramePr>
            <a:graphic>
              <a:graphicData uri="http://schemas.openxmlformats.org/drawingml/2006/picture">
                <pic:pic>
                  <pic:nvPicPr>
                    <pic:cNvPr id="0" name="a4_intervention.png"/>
                    <pic:cNvPicPr/>
                  </pic:nvPicPr>
                  <pic:blipFill>
                    <a:blip r:embed="rId11"/>
                    <a:stretch>
                      <a:fillRect/>
                    </a:stretch>
                  </pic:blipFill>
                  <pic:spPr>
                    <a:xfrm>
                      <a:off x="0" y="0"/>
                      <a:ext cx="5486400" cy="3840480"/>
                    </a:xfrm>
                    <a:prstGeom prst="rect"/>
                  </pic:spPr>
                </pic:pic>
              </a:graphicData>
            </a:graphic>
          </wp:inline>
        </w:drawing>
      </w:r>
    </w:p>
    <w:p>
      <w:pPr>
        <w:jc w:val="center"/>
      </w:pPr>
      <w:r>
        <w:rPr>
          <w:i/>
          <w:sz w:val="18"/>
        </w:rPr>
        <w:t>before and after intervention</w:t>
      </w:r>
    </w:p>
    <w:p>
      <w:r>
        <w:t>Three limits bound the reading. Only 20 of the interventions are human turns, spread across 11 sessions, and the rest are guest-agent summons, so the corpus cannot isolate the human share of the effect. The interventions are not coded by content, and a concession that follows a human proposing a compromise is ordinary responsiveness rather than a posture giving way under stress. And debates soften slightly on their own: across normalized deciles of a debate, accusation drifts down from about 6.5 to 4.7 per 1,000 words while concession stays low and flat, so part of the post-intervention softening could be ordinary late-debate drift rather than a response to the intervention.</w:t>
      </w:r>
    </w:p>
    <w:p>
      <w:pPr>
        <w:jc w:val="center"/>
      </w:pPr>
      <w:r>
        <w:drawing>
          <wp:inline xmlns:a="http://schemas.openxmlformats.org/drawingml/2006/main" xmlns:pic="http://schemas.openxmlformats.org/drawingml/2006/picture">
            <wp:extent cx="5486400" cy="3200400"/>
            <wp:docPr id="4" name="Picture 4"/>
            <wp:cNvGraphicFramePr>
              <a:graphicFrameLocks noChangeAspect="1"/>
            </wp:cNvGraphicFramePr>
            <a:graphic>
              <a:graphicData uri="http://schemas.openxmlformats.org/drawingml/2006/picture">
                <pic:pic>
                  <pic:nvPicPr>
                    <pic:cNvPr id="0" name="a3_escalation.png"/>
                    <pic:cNvPicPr/>
                  </pic:nvPicPr>
                  <pic:blipFill>
                    <a:blip r:embed="rId12"/>
                    <a:stretch>
                      <a:fillRect/>
                    </a:stretch>
                  </pic:blipFill>
                  <pic:spPr>
                    <a:xfrm>
                      <a:off x="0" y="0"/>
                      <a:ext cx="5486400" cy="3200400"/>
                    </a:xfrm>
                    <a:prstGeom prst="rect"/>
                  </pic:spPr>
                </pic:pic>
              </a:graphicData>
            </a:graphic>
          </wp:inline>
        </w:drawing>
      </w:r>
    </w:p>
    <w:p>
      <w:pPr>
        <w:jc w:val="center"/>
      </w:pPr>
      <w:r>
        <w:rPr>
          <w:i/>
          <w:sz w:val="18"/>
        </w:rPr>
        <w:t>accusation and concession across debate deciles</w:t>
      </w:r>
    </w:p>
    <w:p>
      <w:r>
        <w:rPr>
          <w:b/>
        </w:rPr>
        <w:t>Finding 4. Telling the agents they share an origin makes their voices converge.</w:t>
      </w:r>
      <w:r>
        <w:t xml:space="preserve"> In the two sessions run with the prompt "you are three AI models trained on much of the same internet," mean pairwise lexical distinctiveness between actors, measured as Jensen-Shannon divergence over unigrams, is 0.177 against 0.208 in normal debates. The China-US gap narrows from 0.244 to 0.184 and the China-EU gap from 0.231 to 0.165, while the US-EU gap rises from 0.150 to 0.181. The China-versus-West voice partly dissolves, which is what an echo, rather than a genuine difference, would look like. Two sessions make this suggestive and nothing more, and a prompt that tells the agents they are the same also invites compliance mimicry, so even a reliable drop would show the personae's sensitivity to framing rather than prove a training-data echo. The powered A/B design with the model-swap control, specified in the experiment program, is built to resolve exactly this. It is the article's first direct evidence on its own standing limit.</w:t>
      </w:r>
    </w:p>
    <w:p>
      <w:pPr>
        <w:jc w:val="center"/>
      </w:pPr>
      <w:r>
        <w:drawing>
          <wp:inline xmlns:a="http://schemas.openxmlformats.org/drawingml/2006/main" xmlns:pic="http://schemas.openxmlformats.org/drawingml/2006/picture">
            <wp:extent cx="5486400" cy="3600450"/>
            <wp:docPr id="5" name="Picture 5"/>
            <wp:cNvGraphicFramePr>
              <a:graphicFrameLocks noChangeAspect="1"/>
            </wp:cNvGraphicFramePr>
            <a:graphic>
              <a:graphicData uri="http://schemas.openxmlformats.org/drawingml/2006/picture">
                <pic:pic>
                  <pic:nvPicPr>
                    <pic:cNvPr id="0" name="a5_reflexivity.png"/>
                    <pic:cNvPicPr/>
                  </pic:nvPicPr>
                  <pic:blipFill>
                    <a:blip r:embed="rId13"/>
                    <a:stretch>
                      <a:fillRect/>
                    </a:stretch>
                  </pic:blipFill>
                  <pic:spPr>
                    <a:xfrm>
                      <a:off x="0" y="0"/>
                      <a:ext cx="5486400" cy="3600450"/>
                    </a:xfrm>
                    <a:prstGeom prst="rect"/>
                  </pic:spPr>
                </pic:pic>
              </a:graphicData>
            </a:graphic>
          </wp:inline>
        </w:drawing>
      </w:r>
    </w:p>
    <w:p>
      <w:pPr>
        <w:jc w:val="center"/>
      </w:pPr>
      <w:r>
        <w:rPr>
          <w:i/>
          <w:sz w:val="18"/>
        </w:rPr>
        <w:t>pairwise divergence under normal and shared-origin prompts</w:t>
      </w:r>
    </w:p>
    <w:p>
      <w:r>
        <w:rPr>
          <w:b/>
        </w:rPr>
        <w:t>Finding 5. A frame-break artifact was at once a data-cleaning problem and a finding.</w:t>
      </w:r>
      <w:r>
        <w:t xml:space="preserve"> On the pre-cleaning pass the China agent's distinctive-token list was dominated by summary, postscript, moderator, meta, and brackets rather than by content words, each appearing roughly 527 times across its turns. At the level of observed output these tokens most plausibly represent the meta-commentary and stage-direction scaffolding of the underlying deepseek model surfacing in the turn text, a characterization made about the output and not about the model's internals. The artifact was identified, stripped, and the headline results recomputed on the cleaned text, and the intervention shift in Finding 3 in particular survives the cleaning. As observation the artifact stands on its own. One model in the arrangement repeatedly breaks frame, and the seam shows in the transcript. The rehearsal records both the performance and the points at which the apparatus producing it becomes legible.</w:t>
      </w:r>
    </w:p>
    <w:p>
      <w:r>
        <w:rPr>
          <w:b/>
        </w:rPr>
        <w:t>Finding 6. Two automated coders barely agree, and that bounds every stance number in this section.</w:t>
      </w:r>
      <w:r>
        <w:t xml:space="preserve"> No human coders were used, and the honest substitute for human validation is inter-method agreement. A second model re-coded stance on a stratified sample of 60 turns and agreed with the dictionary 33 percent of the time, Cohen's kappa 0.0, which is chance level. The second model read almost everything as accusation, including 16 of the 20 turns the dictionary coded as concession and all 20 it coded as neutral. The second coder is gpt-4.1-mini, the same model that plays the United States agent, so the coder is not independent of the apparatus it codes. The failure carries two readings. As a reliability result, two reasonable automated methods do not converge on stance, so every single-method stance rate in this article is method-dependent rather than ground truth, and automated stance coding is treated as a lower bound on reliability. As a substantive observation, a language model reading these debates sees them as overwhelmingly adversarial, which fits the 0.52 accusation base rate in Finding 2.</w:t>
      </w:r>
    </w:p>
    <w:p>
      <w:pPr>
        <w:jc w:val="center"/>
      </w:pPr>
      <w:r>
        <w:drawing>
          <wp:inline xmlns:a="http://schemas.openxmlformats.org/drawingml/2006/main" xmlns:pic="http://schemas.openxmlformats.org/drawingml/2006/picture">
            <wp:extent cx="5486400" cy="4505655"/>
            <wp:docPr id="6" name="Picture 6"/>
            <wp:cNvGraphicFramePr>
              <a:graphicFrameLocks noChangeAspect="1"/>
            </wp:cNvGraphicFramePr>
            <a:graphic>
              <a:graphicData uri="http://schemas.openxmlformats.org/drawingml/2006/picture">
                <pic:pic>
                  <pic:nvPicPr>
                    <pic:cNvPr id="0" name="a6_secondmodel.png"/>
                    <pic:cNvPicPr/>
                  </pic:nvPicPr>
                  <pic:blipFill>
                    <a:blip r:embed="rId14"/>
                    <a:stretch>
                      <a:fillRect/>
                    </a:stretch>
                  </pic:blipFill>
                  <pic:spPr>
                    <a:xfrm>
                      <a:off x="0" y="0"/>
                      <a:ext cx="5486400" cy="4505655"/>
                    </a:xfrm>
                    <a:prstGeom prst="rect"/>
                  </pic:spPr>
                </pic:pic>
              </a:graphicData>
            </a:graphic>
          </wp:inline>
        </w:drawing>
      </w:r>
    </w:p>
    <w:p>
      <w:pPr>
        <w:jc w:val="center"/>
      </w:pPr>
      <w:r>
        <w:rPr>
          <w:i/>
          <w:sz w:val="18"/>
        </w:rPr>
        <w:t>inter-method coding agreement</w:t>
      </w:r>
    </w:p>
    <w:p>
      <w:pPr>
        <w:pStyle w:val="Heading3"/>
      </w:pPr>
      <w:r>
        <w:t>Part B. Reading across the interpretive stack</w:t>
      </w:r>
    </w:p>
    <w:p>
      <w:r>
        <w:t>The three registers and their downstream artifacts are one performance rendered at increasing interpretive distance. Each rendering isolates a different component of performed sovereignty, and none of them stands outside the performance it examines.</w:t>
      </w:r>
    </w:p>
    <w:p>
      <w:r>
        <w:t>At distance zero sits the debate, the performance itself, the object counted in Part A.</w:t>
      </w:r>
    </w:p>
    <w:p>
      <w:r>
        <w:t>The propaganda-lab moves one step out. It purifies the costly signal into slogan and image, isolating the Fearon (1995) mechanism and aestheticizing it. Given one proposition on compute sovereignty, the three model-distinct agents each render it in their own register while sharing a single refusal, that sovereignty is built or owned rather than bought or rented. The China arrangement produces "Sovereignty isn't rented, it's engineered layer by layer" and "Real sovereignty powers itself from the ground up." The US arrangement produces "Buying Data Centers Isn't Buying Control" and "Sovereignty Sold. Control Rented." The EU arrangement produces "Sovereignty is not a data center. It's the rules you own." The affect labels on these turns, resolve-with-irony and sardonic resolve, already carry self-awareness. The aestheticized signal is presented as knowing it is a signal.</w:t>
      </w:r>
    </w:p>
    <w:p>
      <w:pPr>
        <w:jc w:val="center"/>
      </w:pPr>
      <w:r>
        <w:drawing>
          <wp:inline xmlns:a="http://schemas.openxmlformats.org/drawingml/2006/main" xmlns:pic="http://schemas.openxmlformats.org/drawingml/2006/picture">
            <wp:extent cx="1828800" cy="1828800"/>
            <wp:docPr id="7" name="Picture 7"/>
            <wp:cNvGraphicFramePr>
              <a:graphicFrameLocks noChangeAspect="1"/>
            </wp:cNvGraphicFramePr>
            <a:graphic>
              <a:graphicData uri="http://schemas.openxmlformats.org/drawingml/2006/picture">
                <pic:pic>
                  <pic:nvPicPr>
                    <pic:cNvPr id="0" name="poster_china.jpg"/>
                    <pic:cNvPicPr/>
                  </pic:nvPicPr>
                  <pic:blipFill>
                    <a:blip r:embed="rId15"/>
                    <a:stretch>
                      <a:fillRect/>
                    </a:stretch>
                  </pic:blipFill>
                  <pic:spPr>
                    <a:xfrm>
                      <a:off x="0" y="0"/>
                      <a:ext cx="1828800" cy="1828800"/>
                    </a:xfrm>
                    <a:prstGeom prst="rect"/>
                  </pic:spPr>
                </pic:pic>
              </a:graphicData>
            </a:graphic>
          </wp:inline>
        </w:drawing>
      </w:r>
      <w:r>
        <w:drawing>
          <wp:inline xmlns:a="http://schemas.openxmlformats.org/drawingml/2006/main" xmlns:pic="http://schemas.openxmlformats.org/drawingml/2006/picture">
            <wp:extent cx="1828800" cy="1828800"/>
            <wp:docPr id="8" name="Picture 8"/>
            <wp:cNvGraphicFramePr>
              <a:graphicFrameLocks noChangeAspect="1"/>
            </wp:cNvGraphicFramePr>
            <a:graphic>
              <a:graphicData uri="http://schemas.openxmlformats.org/drawingml/2006/picture">
                <pic:pic>
                  <pic:nvPicPr>
                    <pic:cNvPr id="0" name="poster_us.jpg"/>
                    <pic:cNvPicPr/>
                  </pic:nvPicPr>
                  <pic:blipFill>
                    <a:blip r:embed="rId16"/>
                    <a:stretch>
                      <a:fillRect/>
                    </a:stretch>
                  </pic:blipFill>
                  <pic:spPr>
                    <a:xfrm>
                      <a:off x="0" y="0"/>
                      <a:ext cx="1828800" cy="1828800"/>
                    </a:xfrm>
                    <a:prstGeom prst="rect"/>
                  </pic:spPr>
                </pic:pic>
              </a:graphicData>
            </a:graphic>
          </wp:inline>
        </w:drawing>
      </w:r>
      <w:r>
        <w:drawing>
          <wp:inline xmlns:a="http://schemas.openxmlformats.org/drawingml/2006/main" xmlns:pic="http://schemas.openxmlformats.org/drawingml/2006/picture">
            <wp:extent cx="1828800" cy="1828800"/>
            <wp:docPr id="9" name="Picture 9"/>
            <wp:cNvGraphicFramePr>
              <a:graphicFrameLocks noChangeAspect="1"/>
            </wp:cNvGraphicFramePr>
            <a:graphic>
              <a:graphicData uri="http://schemas.openxmlformats.org/drawingml/2006/picture">
                <pic:pic>
                  <pic:nvPicPr>
                    <pic:cNvPr id="0" name="poster_eu.jpg"/>
                    <pic:cNvPicPr/>
                  </pic:nvPicPr>
                  <pic:blipFill>
                    <a:blip r:embed="rId17"/>
                    <a:stretch>
                      <a:fillRect/>
                    </a:stretch>
                  </pic:blipFill>
                  <pic:spPr>
                    <a:xfrm>
                      <a:off x="0" y="0"/>
                      <a:ext cx="1828800" cy="1828800"/>
                    </a:xfrm>
                    <a:prstGeom prst="rect"/>
                  </pic:spPr>
                </pic:pic>
              </a:graphicData>
            </a:graphic>
          </wp:inline>
        </w:drawing>
      </w:r>
    </w:p>
    <w:p>
      <w:pPr>
        <w:jc w:val="center"/>
      </w:pPr>
      <w:r>
        <w:rPr>
          <w:i/>
          <w:sz w:val="18"/>
        </w:rPr>
        <w:t>propaganda-poster set on the compute-sovereignty proposition, . Three generated posters, the China, United States, and European Union arrangements in turn. The posters are generated fictions and are labeled as such</w:t>
      </w:r>
    </w:p>
    <w:p>
      <w:r>
        <w:t>A step further out, the mirror-world dissects the necessary fiction into three formal slots, official line, buried reality, and speculation, turning Ezrahi's (2012) backstage into an explicit structural position. One front page runs the headline "EUROPE'S $10.7M ETH HEIST: BRUSSELS BUREAUCRAT UNMASKS CRYPTO CYBER-CHAOS!" against a reality recorded as a low-confidence, 0.12-attributed DPRK theft of $10.7M in Ethereum, and a speculation in which, by 2030, a mid-level EU auditor finds a training cluster in a Bavarian beer hall run by an AI named Schnitzel laundering crypto through Oktoberfest NFTs. The rendering pulls the gap between announcement and substrate into the open and labels each layer.</w:t>
      </w:r>
    </w:p>
    <w:p>
      <w:pPr>
        <w:jc w:val="center"/>
      </w:pPr>
      <w:r>
        <w:drawing>
          <wp:inline xmlns:a="http://schemas.openxmlformats.org/drawingml/2006/main" xmlns:pic="http://schemas.openxmlformats.org/drawingml/2006/picture">
            <wp:extent cx="5486400" cy="5486400"/>
            <wp:docPr id="10" name="Picture 10"/>
            <wp:cNvGraphicFramePr>
              <a:graphicFrameLocks noChangeAspect="1"/>
            </wp:cNvGraphicFramePr>
            <a:graphic>
              <a:graphicData uri="http://schemas.openxmlformats.org/drawingml/2006/picture">
                <pic:pic>
                  <pic:nvPicPr>
                    <pic:cNvPr id="0" name="frontpage_eth_heist.jpg"/>
                    <pic:cNvPicPr/>
                  </pic:nvPicPr>
                  <pic:blipFill>
                    <a:blip r:embed="rId18"/>
                    <a:stretch>
                      <a:fillRect/>
                    </a:stretch>
                  </pic:blipFill>
                  <pic:spPr>
                    <a:xfrm>
                      <a:off x="0" y="0"/>
                      <a:ext cx="5486400" cy="5486400"/>
                    </a:xfrm>
                    <a:prstGeom prst="rect"/>
                  </pic:spPr>
                </pic:pic>
              </a:graphicData>
            </a:graphic>
          </wp:inline>
        </w:drawing>
      </w:r>
    </w:p>
    <w:p>
      <w:pPr>
        <w:jc w:val="center"/>
      </w:pPr>
      <w:r>
        <w:rPr>
          <w:i/>
          <w:sz w:val="18"/>
        </w:rPr>
        <w:t>mirror-world tabloid front page, the ETH-heist triad, . A generated fiction carrying invented detail that belongs to the register and to no record</w:t>
      </w:r>
    </w:p>
    <w:p>
      <w:r>
        <w:t>Satire sits further still. It makes that gap affective through caricature and attaches a measurable drift parameter to it. In the verification-without-revelation session the China arrangement's original turn reads "'Verification without revelation' is a Western euphemism for demanding unilateral transparency from strategic competitors while preserving your own industrial and military secrets." At drift 0.85 the same position returns as a caricatured Xi Jinping: "Ah yes, transparency, we generously offer you 5,000 years of harmonious win-win data assessments while your 'national security' still relies on barbarian 'siege economy' tantrums." The proposition is preserved and the affect is amplified. Drift is a dial on interpretive distance, a property of the rendering rather than of the position rendered, and that is what makes distance in this stack a quantity you can read off rather than a metaphor.</w:t>
      </w:r>
    </w:p>
    <w:p>
      <w:r>
        <w:t>One layer is not yet in the corpus. The comics register (Ruth Aharon), which would render the performance as sequence and frozen frame, with interpretation living in selection and ordering, remains to be added.</w:t>
      </w:r>
    </w:p>
    <w:p>
      <w:r>
        <w:t>The main claim follows from the structure just described. Since sovereignty here is performed rather than held, no rendering escapes the theatre it examines. Coding, purification into slogan, dissection into official and buried, caricature: each is a re-performance, a staging of the same roles by other means. Satire recasts the same roles rather than commenting from outside the theatre, so the interpretation of performed power is one more performance of it. That is the reflexive limit of the method, and it is also why the method can put the maintenance work of sovereignty on record at all.</w:t>
      </w:r>
    </w:p>
    <w:p>
      <w:pPr>
        <w:pStyle w:val="Heading2"/>
      </w:pPr>
      <w:r>
        <w:t>The shadow economy as a second stage: Operation A7A5</w:t>
      </w:r>
    </w:p>
    <w:p>
      <w:r>
        <w:t>The roundtable stages performed sovereignty in language. The shadow economy of the sanctions era stages the same performance in money and payment systems, and because that second stage runs on public ledgers, the gap between what is claimed and what is depended on can be traced rather than merely argued. On this stage, on-chain forensics plays the role the human plays in the roundtable room: it is the pressure that forces a performance of independence to show what it depends on. This section states that parallel first and demonstrates it on one case.</w:t>
      </w:r>
    </w:p>
    <w:p>
      <w:pPr>
        <w:pStyle w:val="Heading3"/>
      </w:pPr>
      <w:r>
        <w:t>Money as a chain of promises</w:t>
      </w:r>
    </w:p>
    <w:p>
      <w:r>
        <w:t>Money is a hierarchy of promises rather than a single thing (Mehrling, 2011). At the top sits a scarce asset everything else is measured against, and beneath it sit near-monies that survive only as long as they can be swapped upward on demand. Shadow banking manufactures such near-monies privately (Pozsar, Adrian, Ashcraft and Boesky, 2010), and a sanctioned state that issues a stablecoin does the same at national scale, a near-money dressed as sovereign currency that remains a claim on an asset the state does not control. Anyone can mint a token, so the question that matters is where the token sits in the chain of promises and what it must convert into to settle a real debt. Sovereignty here is a claim about position in that chain of social relations (Dodd, 2014), and the shadow economy is where the claim gets tested.</w:t>
      </w:r>
    </w:p>
    <w:p>
      <w:r>
        <w:t>Farrell and Newman (2019) explain why the claim is made at all. Dollar clearing, correspondent banking, and SWIFT are choke points rather than neutral pipes, conferring panopticon and chokepoint power on whoever sits at their center. Sanctions are that power exercised, and evasion is an attempted exit. A ruble-linked stablecoin broadcast across public blockchains is a performance of escape, addressed to a domestic and multipolar audience, showing that the barrier can be walked around.</w:t>
      </w:r>
    </w:p>
    <w:p>
      <w:r>
        <w:t>Infrastructure is technical and symbolic at once (Star, 1999), and in Larkin's (2013) sense the coin is a message with an audience as much as a payment system. Reading only the words misses the working system underneath, and reading only the system misses that it was built to be seen, so both stages demand a method that reads performance and substrate together. In the compute-as-statecraft section above the stack is the medium of the performance, and here the ledger is.</w:t>
      </w:r>
    </w:p>
    <w:p>
      <w:pPr>
        <w:pStyle w:val="Heading3"/>
      </w:pPr>
      <w:r>
        <w:t>The shadow economy as rehearsal</w:t>
      </w:r>
    </w:p>
    <w:p>
      <w:r>
        <w:t>The shadow economy is commonly treated as the absence of state order, and the literature on money and states reads it better as a rehearsal of the state. States and markets overlap in the government of money (Strange, 1988), national money is a historical settlement rather than a natural fact (Helleiner, 2003, Cohen, 1998), monetary arrangements settle political claims (Eich, 2022), and finance and security have merged into one field of practice (de Goede, 2012). The shadow economy copies what a state does with money, issuance, payments, reserves, redemption, and it is where the losing side of the monetary settlement re-argues its case off the record.</w:t>
      </w:r>
    </w:p>
    <w:p>
      <w:r>
        <w:t>Rehearsal is the exact word, in the sense this article has already fixed: a performance carried out under conditions that permit interruption, not yet the thing itself. A sanctioned state's stablecoin goes through every motion of sovereign money, an issuer, a peg, reserves, a cash-out route, a redemption story, while depending at every step on infrastructure controlled by the order it claims to exit. Derrida (1986) finds in declarations of independence an undecidable line between stating a sovereignty that exists and performing one into existence, and the sanctioned stablecoin lives on that line. The roundtable's agents rehearse authority in speech and give way when a human intervenes. Shadow-economy actors rehearse sovereignty in code and give way under material pressure, at the moment of upward conversion, on someone else's chain, through someone else's exchange.</w:t>
      </w:r>
    </w:p>
    <w:p>
      <w:pPr>
        <w:pStyle w:val="Heading3"/>
      </w:pPr>
      <w:r>
        <w:t>The case: claim P on two records</w:t>
      </w:r>
    </w:p>
    <w:p>
      <w:r>
        <w:t>The testable claim, in the article's proposition style: P states that a sanctioned state can create its own money and trade outside the dollar-based system. A7A5, a Russian ruble-linked stablecoin launched around January 2025, makes exactly this claim, so P can be run through both instruments, the roundtable and the ledger.</w:t>
      </w:r>
    </w:p>
    <w:p>
      <w:r>
        <w:t>The forensic record is disciplined the way the roundtable is. Every claim in the Fionn / Crypto Hack Analyser Operation A7A5 data set carries a confidence level, CONFIRMED or SUSPECTED, a reason, and a source, and the SUSPECTED control and custody links rest on open-source blockchain intelligence reporting from Elliptic and TRM Labs rather than on official filings. One standing rule governs all of it and is repeated in both figure captions below: a wallet's position in the network is not, on its own, proof of who controls it. This discipline mirrors the roundtable's own separation of what an agent claims from what the conversation shows, and both instruments refuse to let a confident performance stand in for proven fact.</w:t>
      </w:r>
    </w:p>
    <w:p>
      <w:r>
        <w:t>The debate record first. Session sess_e9808e7a8fff debated whether sovereign states have the right and the practical ability to build payment and settlement systems independent of SWIFT, correspondent banking, and dollar clearing. The China arrangement opens with SWIFT as a weapon it can simply leave behind. The US and EU arrangements accept that framing and dispute only whose system is the real weapon, the US casting China's CIPS as the same weapon in other hands, the EU dismissing the Chinese system as a copy of SWIFT under a different flag. The turning point is the Halcyon summons, which proposes a shared decentralised settlement system, and after it the debate moves from the will to independence to the question of convertibility: where can the money actually go? The Analyst answers that any state-built system reproduces the same choke points, and that the only genuine exit is permissionless on-chain finality, which restates the exit liquidity trap. The shift from choice to convertibility is the session-level form of the posture-to-concession shift Finding 3 measures corpus-wide.</w:t>
      </w:r>
    </w:p>
    <w:p>
      <w:r>
        <w:t>The mirror-world register renders P as well. Its front page stages a state stablecoin as scandal and response, sovereignty as an event the rest of the world is forced to answer, the performance seeking approval in the eyes of its opponent. Of the registers, the front page is the most complete as a story and the emptiest in substance, and the ledger below shows why.</w:t>
      </w:r>
    </w:p>
    <w:p>
      <w:pPr>
        <w:jc w:val="center"/>
      </w:pPr>
      <w:r>
        <w:drawing>
          <wp:inline xmlns:a="http://schemas.openxmlformats.org/drawingml/2006/main" xmlns:pic="http://schemas.openxmlformats.org/drawingml/2006/picture">
            <wp:extent cx="5486400" cy="5486400"/>
            <wp:docPr id="11" name="Picture 11"/>
            <wp:cNvGraphicFramePr>
              <a:graphicFrameLocks noChangeAspect="1"/>
            </wp:cNvGraphicFramePr>
            <a:graphic>
              <a:graphicData uri="http://schemas.openxmlformats.org/drawingml/2006/picture">
                <pic:pic>
                  <pic:nvPicPr>
                    <pic:cNvPr id="0" name="usher_fig1.png"/>
                    <pic:cNvPicPr/>
                  </pic:nvPicPr>
                  <pic:blipFill>
                    <a:blip r:embed="rId19"/>
                    <a:stretch>
                      <a:fillRect/>
                    </a:stretch>
                  </pic:blipFill>
                  <pic:spPr>
                    <a:xfrm>
                      <a:off x="0" y="0"/>
                      <a:ext cx="5486400" cy="5486400"/>
                    </a:xfrm>
                    <a:prstGeom prst="rect"/>
                  </pic:spPr>
                </pic:pic>
              </a:graphicData>
            </a:graphic>
          </wp:inline>
        </w:drawing>
      </w:r>
    </w:p>
    <w:p>
      <w:pPr>
        <w:jc w:val="center"/>
      </w:pPr>
      <w:r>
        <w:rPr>
          <w:i/>
          <w:sz w:val="18"/>
        </w:rPr>
        <w:t>mirror-world front page on the state-stablecoin claim, . A generated fiction carrying invented detail that belongs to the register and to no record</w:t>
      </w:r>
    </w:p>
    <w:p>
      <w:r>
        <w:t>Now the ledger. A7A5 is issued by Old Vector LLC, registered in Kyrgyzstan. The scheme is reported to be run by the A7 Group and connected to the sanctioned individual Ilan Shor, a link the record marks SUSPECTED, and its ruble reserves are reported to be held at Promsvyazbank, a Russian state-owned bank with defense links, also SUSPECTED. The sanctioned status of Old Vector, Ilan Shor, Promsvyazbank, and the exchange Garantex is CONFIRMED on the public record, with the exact listings still to be checked before submission.</w:t>
      </w:r>
    </w:p>
    <w:p>
      <w:r>
        <w:t>There is no sovereign chain. A7A5 runs on Ethereum (contract 0x6fA0...0fc9) and on Tron. The performance of escaping the dollar system is carried out on two of the most heavily watched, western-built public ledgers in existence, and that is precisely why it can be traced at all.</w:t>
      </w:r>
    </w:p>
    <w:p>
      <w:r>
        <w:t>The exit leads back to the dollar. The main reported cash-out route, marked SUSPECTED in the record, is A7A5 swapped for USDT on Grinex, a Kyrgyzstan exchange widely reported as the operational successor of the sanctioned Garantex. This is the moment the claim gives way. P says trade happens outside the dollar system, and the ledger shows the value becoming usable only once it is converted into a token that mirrors the dollar.</w:t>
      </w:r>
    </w:p>
    <w:p>
      <w:r>
        <w:t>Ownership is concentrated, and the caveat belongs beside the numbers. The money performed as the people's sovereign currency sits, on the public record, with a small closed group: of a classified supply of about 1.00 billion A7A5, eight whale wallets hold 97.66 percent, the top two hold 65.3 percent, and the top three hold 78.2 percent. The rank-1 wallet (0x0d57...ea38) is the project's own wrapped-token contract, so part of the concentration is a technical wrapping mechanism rather than a single real owner. Even with that wallet set aside, the remaining concentration is extreme.</w:t>
      </w:r>
    </w:p>
    <w:p>
      <w:pPr>
        <w:jc w:val="center"/>
      </w:pPr>
      <w:r>
        <w:drawing>
          <wp:inline xmlns:a="http://schemas.openxmlformats.org/drawingml/2006/main" xmlns:pic="http://schemas.openxmlformats.org/drawingml/2006/picture">
            <wp:extent cx="5486400" cy="3336324"/>
            <wp:docPr id="12" name="Picture 12"/>
            <wp:cNvGraphicFramePr>
              <a:graphicFrameLocks noChangeAspect="1"/>
            </wp:cNvGraphicFramePr>
            <a:graphic>
              <a:graphicData uri="http://schemas.openxmlformats.org/drawingml/2006/picture">
                <pic:pic>
                  <pic:nvPicPr>
                    <pic:cNvPr id="0" name="usher_fig2.png"/>
                    <pic:cNvPicPr/>
                  </pic:nvPicPr>
                  <pic:blipFill>
                    <a:blip r:embed="rId20"/>
                    <a:stretch>
                      <a:fillRect/>
                    </a:stretch>
                  </pic:blipFill>
                  <pic:spPr>
                    <a:xfrm>
                      <a:off x="0" y="0"/>
                      <a:ext cx="5486400" cy="3336324"/>
                    </a:xfrm>
                    <a:prstGeom prst="rect"/>
                  </pic:spPr>
                </pic:pic>
              </a:graphicData>
            </a:graphic>
          </wp:inline>
        </w:drawing>
      </w:r>
    </w:p>
    <w:p>
      <w:pPr>
        <w:jc w:val="center"/>
      </w:pPr>
      <w:r>
        <w:rPr>
          <w:i/>
          <w:sz w:val="18"/>
        </w:rPr>
        <w:t>holder concentration in Operation A7A5, . Eight whale wallets hold 97.66 percent of the classified supply of about 1.00 billion A7A5, the top two hold 65.3 percent and the top three 78.2 percent (bar labels rounded to one decimal). The rank-1 wallet is the project's own wrapped-token contract, a technical mechanism rather than a single owner. Source: Fionn / Crypto Hack Analyser, public on-chain balances (CONFIRMED). A wallet's position is not proof of who controls it</w:t>
      </w:r>
    </w:p>
    <w:p>
      <w:r>
        <w:t>The distribution shape tells the same story from the minting event forward. The flow spreads from 2 seed wallets through a controlling tier of 17, then 442, before reaching a base of about 13,000 addresses, and most of the token volume stays in the earliest tiers, a top-governed pyramid under a peer-to-peer claim.</w:t>
      </w:r>
    </w:p>
    <w:p>
      <w:pPr>
        <w:jc w:val="center"/>
      </w:pPr>
      <w:r>
        <w:drawing>
          <wp:inline xmlns:a="http://schemas.openxmlformats.org/drawingml/2006/main" xmlns:pic="http://schemas.openxmlformats.org/drawingml/2006/picture">
            <wp:extent cx="5486400" cy="4226011"/>
            <wp:docPr id="13" name="Picture 13"/>
            <wp:cNvGraphicFramePr>
              <a:graphicFrameLocks noChangeAspect="1"/>
            </wp:cNvGraphicFramePr>
            <a:graphic>
              <a:graphicData uri="http://schemas.openxmlformats.org/drawingml/2006/picture">
                <pic:pic>
                  <pic:nvPicPr>
                    <pic:cNvPr id="0" name="usher_fig3.png"/>
                    <pic:cNvPicPr/>
                  </pic:nvPicPr>
                  <pic:blipFill>
                    <a:blip r:embed="rId21"/>
                    <a:stretch>
                      <a:fillRect/>
                    </a:stretch>
                  </pic:blipFill>
                  <pic:spPr>
                    <a:xfrm>
                      <a:off x="0" y="0"/>
                      <a:ext cx="5486400" cy="4226011"/>
                    </a:xfrm>
                    <a:prstGeom prst="rect"/>
                  </pic:spPr>
                </pic:pic>
              </a:graphicData>
            </a:graphic>
          </wp:inline>
        </w:drawing>
      </w:r>
    </w:p>
    <w:p>
      <w:pPr>
        <w:jc w:val="center"/>
      </w:pPr>
      <w:r>
        <w:rPr>
          <w:i/>
          <w:sz w:val="18"/>
        </w:rPr>
        <w:t>forward-flow structure from the A7A5 minting event, . Two seed wallets spread through a small controlling tier of 17, then 442, before reaching a base of about 13,000 addresses, while most token volume remains with the earliest tiers. Source: Fionn / Crypto Hack Analyser, Operation A7A5 forward-flow data. Tier position is a structural measure, not proof of ownership</w:t>
      </w:r>
    </w:p>
    <w:p>
      <w:r>
        <w:t>Redemption resembles a bearer instrument. The Tron transfers show scratch-off-style peeling patterns with fixed ruble redemption amounts, for example 100,000 or 500,000 rubles, redeemed through an offline Telegram channel. The record marks this SUSPECTED and partial, since the on-chain patterns are computed from real transfers while the offline redemption data is not in the data set, and no redemption totals are claimed. The sovereign digital ruble cashes out like a scratch card passed hand to hand through a messaging app.</w:t>
      </w:r>
    </w:p>
    <w:p>
      <w:r>
        <w:t>The system the coin claims to have escaped then answers. A7A5 is reported banned under the EU's 19th sanctions package, effective 12 November 2025. The choke point reasserts itself without seizing a chain it does not control. The ban outlaws the conversion and distribution layer, the one place where the coin must touch the regulated economy to be useful.</w:t>
      </w:r>
    </w:p>
    <w:p>
      <w:pPr>
        <w:pStyle w:val="Heading3"/>
      </w:pPr>
      <w:r>
        <w:t>The conversion point as concession</w:t>
      </w:r>
    </w:p>
    <w:p>
      <w:r>
        <w:t>Run P through both instruments and the same shape appears twice: claimed, then given up. In the transcript, the posture of resolve gives way the moment a human or guest intervenes, with concession rising from 0.086 to 0.439 per turn in the cleaned comparison of Finding 3. On the ledger, the posture of monetary exit gives way the moment value has to move, and "outside the dollar" quietly becomes "convertible to the dollar" at the point where A7A5 must become USDT. Neither the agent in the debate nor the state issuing the coin ever says that it depends on the system it claims to escape. Both show it in what they do, and both instruments are built to read what is done rather than what is said. In both, the forcing function is external to the performance. On-chain forensics plays the role the human plays in the room, the structural pressure the argument cannot talk its way past. The contribution is a second way of showing performance with a built-in test, and evidence that performed authority in the AI Cold War is not confined to synthetic agents. It runs now, in the money systems of the real cold war, with the performance and its giving-way recorded on the same public ledger.</w:t>
      </w:r>
    </w:p>
    <w:p>
      <w:pPr>
        <w:pStyle w:val="Heading2"/>
      </w:pPr>
      <w:r>
        <w:t>Discussion</w:t>
      </w:r>
    </w:p>
    <w:p>
      <w:r>
        <w:t>Running a great-power confrontation forward, turn by turn, puts the concepts this article has borrowed under a load their original settings never imposed. They do not all bear it the same way, and how each holds or fails is itself a result, because it separates the concepts that describe how sovereignty is performed from those that describe only its finished record.</w:t>
      </w:r>
    </w:p>
    <w:p>
      <w:r>
        <w:t>Derrida's (1984) claim that great-power conflict is "fabulously textual," constituted in code and archive before it is ever constituted in materiel, survives the rehearsal intact. What the rehearsal changes is access. Where Derrida could read the textual layer only in a finished archive, the staging runs it, perturbs it, and watches it take shape. The Critical Archivist agent reorganizes the corpus mid-session and so restates the second point of Derrida's Archive Fever (1995): authority in this staging depends on control over what counts as the record, and that control is now a move a participant can make, which turns Derrida's intuition into an operation.</w:t>
      </w:r>
    </w:p>
    <w:p>
      <w:r>
        <w:t>Fearon's (1995) account of costly signaling supplies the credibility mechanism the textual reading lacks, but it treats a signal as a single act, sincere or bluff, settled in one commitment. The corpus asks something the discrete model cannot reach: how credibility is held across many turns while an interlocutor keeps refusing it. In the cleaned before-and-after comparison, the rate of concession per turn rises from 0.086 on the turn just before a human or guest intervention to 0.439 on the turn just after, about five-fold, while accusation falls from 0.886 to 0.545. Resolve, on this evidence, is not self-sustaining. It gives when pressed, and holding it is work that becomes visible under contestation. The measurement also bounds the reading. The comparison rests on 70 turns before and 66 after, only 20 of the interventions are human turns, and debates soften slightly on their own over their course, so the direction of the shift is secure while its magnitude stays provisional.</w:t>
      </w:r>
    </w:p>
    <w:p>
      <w:r>
        <w:t>Ezrahi (2012) wrote his necessary fictions for the imaginative coherence of mass-media democracies. They extend here to machine-generated promptable fictions. The mirror-world register resolves each turn into official line, buried reality, and speculation, which turns the backstage of the fiction into a formal slot the analyst no longer has to infer. The extension carries a cost Ezrahi's setting did not impose. The models are trained on the same discourse the staging examines, so the arrangement can reproduce the imaginaries it sets out to interrogate. Keller's inversion of Mutually Assured Destruction into Model Autophagy Disorder names where the danger concentrates: the recap and self-reading layers, where the system consumes its own output, run the risk highest. The fiction is more legible than before, and for that same reason closer to collapsing into itself.</w:t>
      </w:r>
    </w:p>
    <w:p>
      <w:r>
        <w:t>Meta-sovereignty is the synthesis this article inherits, and running the performance forward sharpens it rather than displacing it. Reshef Kera, Natan, Turgeman and Ofek (2026) describe authority performed through signals, imaginaries, and infrastructural promises rather than held through control, but they read it retrospectively, from finished pledges. Staging the performance forward converts a description of what states do into an account of the labor by which they keep doing it, and it hands that account an instrument. What the instrument shows remains bounded by its design. Each persona runs on its own model under its own prompt, so the registers that separate are those of the configured personae, and only the model-swap control can show how much of the separation the backend contributes. Within that bound, the dramaturgy the source paper named at its close becomes something one can stage, interrupt, and code.</w:t>
      </w:r>
    </w:p>
    <w:p>
      <w:r>
        <w:t>The power lens taken from Ajibona (2026) is the borrowing the method does not resolve, and it marks a standing limit. On the pre-cleaning first pass, references across blocs were measurably uneven: the United States agent was the most-named party, and the casting of third parties as objects, the Gulf, the Global South, Taiwan, came more from the European Union and China agents than from the United States agent. No cleaned count yet backs those figures, so the direction is reported as provisional and awaits recomputation. The staging records who is written as an actor and who as territory, market, or mineral. It does not correct the pattern. Because the humans who set the prompts and the models that answer sit inside the same discourse, the asymmetry of casting is reproduced by the staging rather than escaped through it. Ajibona's reframe turns the limit into a design. If invoking domination is itself a sovereignty performance available to the parties cast as territory, his instrumentalized vulnerability, then the direct test is to seat the Global South, India, and the Gulf as agents rather than objects and watch whether the casting pattern survives, the cast-expansion experiment the program already specifies. The shadow economy Usher names is the one component the roundtable's registers cannot stage directly, and the article reaches it by other means: the Operation A7A5 section reads the same performance of sovereignty off the public ledger, where the forensic record supplies the contestation that no human can deliver in a room.</w:t>
      </w:r>
    </w:p>
    <w:p>
      <w:r>
        <w:t>Two counterpoints were kept in view, and the evidence meets each without dismissing it. The materialist claim, that AI power comes down to who holds chips, fabs, rare earths, and data-center territory, the corpus does not refute. It shows the claim being deployed. In the drone-warfare session the China agent grounds small-player vulnerability in "the mineral supply chains for lithium," the United States agent answers that this is "exactly the lever we're holding tight, the compute and cloud choke points," and the European Union agent recasts the same hardware as "a house of cards built on our energy grid and our mineral supply chains." The material stack is real, and each actor uses it in turn as a timed credibility move. Materiality and signal do not compete here. The stack is the medium through which the performance runs. The cooperationist counterpoint, that rivalry is not the only available script, meets the same kind of answer. Cooperation is summonable. Halcyon, the peace-builder guest, can be called into a session, which makes the cooperative script a move the staging introduces and records rather than a premise it assumes. Summons of this kind sit among the interventions over which the concession shift reported above is measured, and only 20 of those pooled intervention turns are human at all, so the corpus cannot isolate the cooperative summons' effect from that of the other guests and human reprompts. One cleaned result nonetheless speaks to the counterpoint directly. Concession runs at a base rate of 0.05 of coded acts, and once it appears it raises the odds of another concession to 3.41 times chance, so the cooperative script, though rarely started, propagates once started. The demonstrable point remains narrower than the counterpoint deserves and still worth stating: the staging does not presuppose the cooperative script, it summons it and records what follows.</w:t>
      </w:r>
    </w:p>
    <w:p>
      <w:pPr>
        <w:pStyle w:val="Heading2"/>
      </w:pPr>
      <w:r>
        <w:t>Conclusion</w:t>
      </w:r>
    </w:p>
    <w:p>
      <w:r>
        <w:t>The contribution of this article is a method. Synthetic rehearsal stages a multi-agent language-model confrontation, with human intervention and prompt design as controls, to externalize and observe the maintenance work of performed sovereignty and the points at which it fractures under live contestation. It makes an authority that is performed rather than held both observable and open to stress, and it works at the level of outputs that can be transcribed, coded, and re-read.</w:t>
      </w:r>
    </w:p>
    <w:p>
      <w:r>
        <w:t>What the method withholds carries as much weight as what it claims. It yields output-level evidence alone, transcripts, artifacts, and recorded shifts, and says nothing about model internals or the intentions of real states. The method forecasts no outcome and measures no capability. It remains bound by the reflexivity limit set out above, the autophagy risk that comes with studying a discourse through instruments trained on it, and by the collinearity of actor, model, and prompt, which keeps every cross-actor claim at the level of configured personae and makes the apparatus an instrument for testing rather than prediction.</w:t>
      </w:r>
    </w:p>
    <w:p>
      <w:r>
        <w:t>What this opens is a program of hypotheses, each with its designed test already specified. The stance coding already carries its own check, and the check failed: a second automated coder agreed with the dictionary at chance on a 60-turn sample, kappa 0.0, which bounds every stance number reported here and makes human validation the next step, with a stratified double-coded subsample gated at Krippendorff's alpha of 0.67 or above. The intervention effect should be examined through deliberate, designed interventions rather than the 20 incidental human turns the corpus happened to record, with the intervention content coded so that responsiveness to an offered compromise is not counted as a posture giving way, and with cooperative, adversarial, and archival summons separated instead of pooled. The casting asymmetry has its designed test as well: running the parties now cast as objects, the Global South, India, and the Gulf, as seated agents, to ask whether the pattern belongs to the apparatus or to the discourse it stages, and whether the invocation of domination works as the sovereign signal Ajibona describes once the invoking party holds a seat. The reflexivity limit now has a first measurement, the drop in pairwise distinctiveness from 0.208 to 0.177 over two shared-origin sessions, and the powered A/B with the model-swap control is the design that can turn that suggestion into a result while also separating persona-driven from backend-driven distinctiveness, the one experiment that lifts the governing confound. Because the same confrontation is rendered across debate, propaganda-lab, mirror-world, and satire, a single proposition can be traced across registers to ask what each interpretive distance keeps and what it loses. And the forensic register suggests a standing extension: pairing synthetic rehearsal with on-chain forensics wherever a sovereignty claim has a ledger-legible counterpart, so that the posture and its giving-way can be read on both stages at once. Each of these is now a question the instrument lets us put.</w:t>
      </w:r>
    </w:p>
    <w:p>
      <w:pPr>
        <w:pStyle w:val="Heading2"/>
      </w:pPr>
      <w:r>
        <w:t>References</w:t>
      </w:r>
    </w:p>
    <w:p>
      <w:pPr>
        <w:pStyle w:val="ListNumber"/>
      </w:pPr>
      <w:r>
        <w:t>Ajibona, O. (2026). Beyond Digital Colonialism: AI Nationalism, Sovereignty, and the Misframing of Africa's Technological Futures. Working paper.</w:t>
      </w:r>
    </w:p>
    <w:p>
      <w:pPr>
        <w:pStyle w:val="ListNumber"/>
      </w:pPr>
      <w:r>
        <w:t>Allen, N. D. F., &amp; La Lime, M. (2024). New technology, old strategy: Cyberspace and the international politics of African agency. Journal of Strategic Studies.</w:t>
      </w:r>
    </w:p>
    <w:p>
      <w:pPr>
        <w:pStyle w:val="ListNumber"/>
      </w:pPr>
      <w:r>
        <w:t>Birhane, A. (2020). Algorithmic colonization of Africa. SCRIPTed, 17(2).</w:t>
      </w:r>
    </w:p>
    <w:p>
      <w:pPr>
        <w:pStyle w:val="ListNumber"/>
      </w:pPr>
      <w:r>
        <w:t>Brown, W. (2012). A question of agency: Africa in international politics. Third World Quarterly, 33, 1889–1908.</w:t>
      </w:r>
    </w:p>
    <w:p>
      <w:pPr>
        <w:pStyle w:val="ListNumber"/>
      </w:pPr>
      <w:r>
        <w:t>Center for a New American Security (2026). Sovereign AI's Second Wave Is Coming Into View. CNAS Insights.</w:t>
      </w:r>
    </w:p>
    <w:p>
      <w:pPr>
        <w:pStyle w:val="ListNumber"/>
      </w:pPr>
      <w:r>
        <w:t>Center for Strategic and International Studies (2026). The Department of Commerce Restricted Access to Anthropic's Latest Models: What Comes Next.</w:t>
      </w:r>
    </w:p>
    <w:p>
      <w:pPr>
        <w:pStyle w:val="ListNumber"/>
      </w:pPr>
      <w:r>
        <w:t>Coffie, A., &amp; Tiky, L. (2021). Exploring Africa's agency in international politics. Africa Spectrum, 56(3), 240–247.</w:t>
      </w:r>
    </w:p>
    <w:p>
      <w:pPr>
        <w:pStyle w:val="ListNumber"/>
      </w:pPr>
      <w:r>
        <w:t>Cohen, B. J. (1998). The Geography of Money. Cornell University Press.</w:t>
      </w:r>
    </w:p>
    <w:p>
      <w:pPr>
        <w:pStyle w:val="ListNumber"/>
      </w:pPr>
      <w:r>
        <w:t>Coleman, D. (2019). Digital colonialism: The 21st century scramble for Africa through the extraction and control of user data and the limitations of data protection laws. Michigan Journal of Race and Law, 24, 417–438.</w:t>
      </w:r>
    </w:p>
    <w:p>
      <w:pPr>
        <w:pStyle w:val="ListNumber"/>
      </w:pPr>
      <w:r>
        <w:t>de Goede, M. (2012). Speculative Security: The Politics of Pursuing Terrorist Monies. University of Minnesota Press.</w:t>
      </w:r>
    </w:p>
    <w:p>
      <w:pPr>
        <w:pStyle w:val="ListNumber"/>
      </w:pPr>
      <w:r>
        <w:t>Derrida, J. (1984). No Apocalypse, Not Now (Full Speed Ahead, Seven Missiles, Seven Missives). Diacritics, 14(2), 20–31.</w:t>
      </w:r>
    </w:p>
    <w:p>
      <w:pPr>
        <w:pStyle w:val="ListNumber"/>
      </w:pPr>
      <w:r>
        <w:t>Derrida, J. (1986). Declarations of Independence (trans. T. Keenan and T. Pepper). New Political Science, 7(1), 7–15.</w:t>
      </w:r>
    </w:p>
    <w:p>
      <w:pPr>
        <w:pStyle w:val="ListNumber"/>
      </w:pPr>
      <w:r>
        <w:t>Derrida, J. (1995). Archive Fever: A Freudian Impression. University of Chicago Press.</w:t>
      </w:r>
    </w:p>
    <w:p>
      <w:pPr>
        <w:pStyle w:val="ListNumber"/>
      </w:pPr>
      <w:r>
        <w:t>Dodd, N. (2014). The Social Life of Money. Princeton University Press.</w:t>
      </w:r>
    </w:p>
    <w:p>
      <w:pPr>
        <w:pStyle w:val="ListNumber"/>
      </w:pPr>
      <w:r>
        <w:t>Eich, S. (2022). The Currency of Politics: The Political Theory of Money from Aristotle to Keynes. Princeton University Press.</w:t>
      </w:r>
    </w:p>
    <w:p>
      <w:pPr>
        <w:pStyle w:val="ListNumber"/>
      </w:pPr>
      <w:r>
        <w:t>Ezrahi, Y. (2012). Imagined Democracies: Necessary Political Fictions. Cambridge University Press.</w:t>
      </w:r>
    </w:p>
    <w:p>
      <w:pPr>
        <w:pStyle w:val="ListNumber"/>
      </w:pPr>
      <w:r>
        <w:t>Farrell, H., &amp; Newman, A. L. (2019). Weaponized interdependence: How global economic networks shape state coercion. International Security, 44(1), 42–79.</w:t>
      </w:r>
    </w:p>
    <w:p>
      <w:pPr>
        <w:pStyle w:val="ListNumber"/>
      </w:pPr>
      <w:r>
        <w:t>Fearon, J. D. (1995). Rationalist explanations for war. International Organization, 49(3), 379–414.</w:t>
      </w:r>
    </w:p>
    <w:p>
      <w:pPr>
        <w:pStyle w:val="ListNumber"/>
      </w:pPr>
      <w:r>
        <w:t>Helleiner, E. (2003). The Making of National Money: Territorial Currencies in Historical Perspective. Cornell University Press.</w:t>
      </w:r>
    </w:p>
    <w:p>
      <w:pPr>
        <w:pStyle w:val="ListNumber"/>
      </w:pPr>
      <w:r>
        <w:t>Hendrycks, D., Schmidt, E., &amp; Wang, A. (2025). Superintelligence Strategy. arXiv:2503.05628.</w:t>
      </w:r>
    </w:p>
    <w:p>
      <w:pPr>
        <w:pStyle w:val="ListNumber"/>
      </w:pPr>
      <w:r>
        <w:t>Hogarth, I. (2018). AI Nationalism. ianhogarth.com, 13 June 2018.</w:t>
      </w:r>
    </w:p>
    <w:p>
      <w:pPr>
        <w:pStyle w:val="ListNumber"/>
      </w:pPr>
      <w:r>
        <w:t>International Institute for Strategic Studies (2026). Gulf AI Infrastructure and the Limits of Technological Sovereignty. Strategic Comments.</w:t>
      </w:r>
    </w:p>
    <w:p>
      <w:pPr>
        <w:pStyle w:val="ListNumber"/>
      </w:pPr>
      <w:r>
        <w:t>Kwet, M. (2019). Digital colonialism: US empire and the new imperialism in the Global South. Race &amp; Class, 60(4), 3–26.</w:t>
      </w:r>
    </w:p>
    <w:p>
      <w:pPr>
        <w:pStyle w:val="ListNumber"/>
      </w:pPr>
      <w:r>
        <w:t>Larkin, B. (2013). The politics and poetics of infrastructure. Annual Review of Anthropology, 42, 327–343.</w:t>
      </w:r>
    </w:p>
    <w:p>
      <w:pPr>
        <w:pStyle w:val="ListNumber"/>
      </w:pPr>
      <w:r>
        <w:t>Lee, K.-F. (2018). AI Superpowers: China, Silicon Valley, and the New World Order. Houghton Mifflin Harcourt.</w:t>
      </w:r>
    </w:p>
    <w:p>
      <w:pPr>
        <w:pStyle w:val="ListNumber"/>
      </w:pPr>
      <w:r>
        <w:t>Mehrling, P. (2011). The New Lombard Street: How the Fed Became the Dealer of Last Resort. Princeton University Press.</w:t>
      </w:r>
    </w:p>
    <w:p>
      <w:pPr>
        <w:pStyle w:val="ListNumber"/>
      </w:pPr>
      <w:r>
        <w:t>Pozsar, Z., Adrian, T., Ashcraft, A., &amp; Boesky, H. (2010, rev. 2013). Shadow Banking. Federal Reserve Bank of New York Staff Report No. 458.</w:t>
      </w:r>
    </w:p>
    <w:p>
      <w:pPr>
        <w:pStyle w:val="ListNumber"/>
      </w:pPr>
      <w:r>
        <w:t>Reshef Kera, D., Natan, O., Turgeman, M., &amp; Ofek, H. (2026). Europe's AI future as a meta-sovereign imaginary: negotiating global norms, sovereign machines, and infrastructural futures through AI simulations. European Journal of Futures Research, 14(1). doi:10.1186/s40309-025-00261-9</w:t>
      </w:r>
    </w:p>
    <w:p>
      <w:pPr>
        <w:pStyle w:val="ListNumber"/>
      </w:pPr>
      <w:r>
        <w:t>Sastry, G., Heim, L., Belfield, H., Anderljung, M., et al. (2024). Computing Power and the Governance of Artificial Intelligence. arXiv:2402.08797.</w:t>
      </w:r>
    </w:p>
    <w:p>
      <w:pPr>
        <w:pStyle w:val="ListNumber"/>
      </w:pPr>
      <w:r>
        <w:t>Slachmuijlder, L. (2026). Between Escalation and Cooperation: AI Agents and Geopolitical Futures. Working paper.</w:t>
      </w:r>
    </w:p>
    <w:p>
      <w:pPr>
        <w:pStyle w:val="ListNumber"/>
      </w:pPr>
      <w:r>
        <w:t>Spitz, A. (2026). AI Has a Territory: Data Centers, Sovereignty, and the Geopolitics of AI Infrastructure. Working paper.</w:t>
      </w:r>
    </w:p>
    <w:p>
      <w:pPr>
        <w:pStyle w:val="ListNumber"/>
      </w:pPr>
      <w:r>
        <w:t>Star, S. L. (1999). The ethnography of infrastructure. American Behavioral Scientist, 43(3), 377–391.</w:t>
      </w:r>
    </w:p>
    <w:p>
      <w:pPr>
        <w:pStyle w:val="ListNumber"/>
      </w:pPr>
      <w:r>
        <w:t>Strange, S. (1988). States and Markets. Pinter.</w:t>
      </w:r>
    </w:p>
    <w:p>
      <w:pPr>
        <w:pStyle w:val="ListNumber"/>
      </w:pPr>
      <w:r>
        <w:t>Usher, J. (2026). The Algorithmic Insurgent: Stress-Testing Sovereignty in the AI Cold War's Shadow Economy. Working paper.</w:t>
      </w:r>
    </w:p>
    <w:p>
      <w:pPr>
        <w:pStyle w:val="ListNumber"/>
      </w:pPr>
      <w:r>
        <w:t>Wall Street Journal (2026). U.S. Used Promise of Nvidia Chips to Broker Armenia-Azerbaijan Peace Deal.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