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8"/>
          <w:szCs w:val="48"/>
        </w:rPr>
        <w:t xml:space="preserve">CascadeShield</w:t>
      </w:r>
    </w:p>
    <w:p>
      <w:pPr>
        <w:spacing w:after="40"/>
      </w:pPr>
      <w:r>
        <w:rPr>
          <w:color w:val="2E75B6"/>
          <w:sz w:val="26"/>
          <w:szCs w:val="26"/>
        </w:rPr>
        <w:t xml:space="preserve">Weekly Progress Check-in</w:t>
      </w:r>
    </w:p>
    <w:p>
      <w:pPr>
        <w:pBdr>
          <w:bottom w:val="single" w:color="2E75B6" w:sz="6" w:space="4"/>
        </w:pBdr>
        <w:spacing w:after="160"/>
      </w:pPr>
      <w:r>
        <w:rPr>
          <w:sz w:val="2"/>
          <w:szCs w:val="2"/>
        </w:rPr>
        <w:t xml:space="preserve"/>
      </w:r>
    </w:p>
    <w:p>
      <w:pPr>
        <w:spacing w:after="30"/>
      </w:pPr>
      <w:r>
        <w:rPr>
          <w:b/>
          <w:bCs/>
        </w:rPr>
        <w:t xml:space="preserve">Project:  </w:t>
      </w:r>
      <w:r>
        <w:t xml:space="preserve">Threshold-sensitivity analysis of circuit-breaker configurations in a microservice mesh</w:t>
      </w:r>
    </w:p>
    <w:p>
      <w:pPr>
        <w:spacing w:after="30"/>
      </w:pPr>
      <w:r>
        <w:rPr>
          <w:b/>
          <w:bCs/>
        </w:rPr>
        <w:t xml:space="preserve">Team:  </w:t>
      </w:r>
      <w:r>
        <w:t xml:space="preserve">Soham More (domain services, exception hierarchy, dataset schema, ML pipeline)  ·  Jay Joshi (infrastructure, chaos tooling, experiment automation)</w:t>
      </w:r>
    </w:p>
    <w:p>
      <w:pPr>
        <w:spacing w:after="30"/>
      </w:pPr>
      <w:r>
        <w:rPr>
          <w:b/>
          <w:bCs/>
        </w:rPr>
        <w:t xml:space="preserve">Programme:  </w:t>
      </w:r>
      <w:r>
        <w:t xml:space="preserve">B.Tech Computer Engineering, NMIMS Navi Mumbai</w:t>
      </w:r>
    </w:p>
    <w:p>
      <w:pPr>
        <w:spacing w:after="200"/>
      </w:pPr>
      <w:r>
        <w:rPr>
          <w:b/>
          <w:bCs/>
        </w:rPr>
        <w:t xml:space="preserve">Date:  </w:t>
      </w:r>
      <w:r>
        <w:t xml:space="preserve">24 June 2026</w:t>
      </w:r>
      <w:r>
        <w:t xml:space="preserve">        </w:t>
      </w:r>
      <w:r>
        <w:rPr>
          <w:b/>
          <w:bCs/>
        </w:rPr>
        <w:t xml:space="preserve">Repository:  </w:t>
      </w:r>
      <w:r>
        <w:rPr>
          <w:rFonts w:ascii="Consolas" w:cs="Consolas" w:eastAsia="Consolas" w:hAnsi="Consolas"/>
          <w:sz w:val="20"/>
          <w:szCs w:val="20"/>
        </w:rPr>
        <w:t xml:space="preserve">github.com/anonjj/CascadeShield</w:t>
      </w:r>
      <w:r>
        <w:t xml:space="preserve"> (public, MIT)</w:t>
      </w:r>
    </w:p>
    <w:p>
      <w:pPr>
        <w:pStyle w:val="Heading1"/>
      </w:pPr>
      <w:r>
        <w:t xml:space="preserve">1.  Project at a Glance</w:t>
      </w:r>
    </w:p>
    <w:p>
      <w:pPr>
        <w:spacing w:after="120" w:line="276"/>
      </w:pPr>
      <w:r>
        <w:t xml:space="preserve">CascadeShield is a controlled study of how </w:t>
      </w:r>
      <w:r>
        <w:rPr>
          <w:b/>
          <w:bCs/>
        </w:rPr>
        <w:t xml:space="preserve">Resilience4j circuit-breaker configurations</w:t>
      </w:r>
      <w:r>
        <w:t xml:space="preserve"> affect the </w:t>
      </w:r>
      <w:r>
        <w:rPr>
          <w:b/>
          <w:bCs/>
        </w:rPr>
        <w:t xml:space="preserve">blast radius</w:t>
      </w:r>
      <w:r>
        <w:t xml:space="preserve"> of a cascading failure across a six-service Spring Boot microservice mesh (Gateway, Order, Inventory, Payment, Notification and a shared database). We inject faults under controlled load and measure how far the failure spreads under each breaker configuration. The study runs on both a local Docker Compose stack and AWS ECS Fargate so we can compare environments.</w:t>
      </w:r>
    </w:p>
    <w:p>
      <w:pPr>
        <w:spacing w:after="120" w:line="276"/>
      </w:pPr>
      <w:r>
        <w:rPr>
          <w:b/>
          <w:bCs/>
        </w:rPr>
        <w:t xml:space="preserve">Central research question: </w:t>
      </w:r>
      <w:r>
        <w:t xml:space="preserve">for a given fault and topology, which circuit-breaker setting contains the damage best? The headline comparison is between the two sliding-window strategies the breaker can use — </w:t>
      </w:r>
      <w:r>
        <w:rPr>
          <w:b/>
          <w:bCs/>
        </w:rPr>
        <w:t xml:space="preserve">COUNT_BASED</w:t>
      </w:r>
      <w:r>
        <w:t xml:space="preserve"> versus </w:t>
      </w:r>
      <w:r>
        <w:rPr>
          <w:b/>
          <w:bCs/>
        </w:rPr>
        <w:t xml:space="preserve">TIME_BASED</w:t>
      </w:r>
      <w:r>
        <w:t xml:space="preserve">.</w:t>
      </w:r>
    </w:p>
    <w:p>
      <w:pPr>
        <w:pBdr>
          <w:top w:val="single" w:color="2E75B6" w:sz="4" w:space="6"/>
          <w:left w:val="single" w:color="2E75B6" w:sz="18" w:space="10"/>
          <w:bottom w:val="single" w:color="2E75B6" w:sz="4" w:space="6"/>
          <w:right w:val="single" w:color="2E75B6" w:sz="4" w:space="6"/>
        </w:pBdr>
        <w:shd w:fill="EEF3FB" w:color="auto" w:val="clear"/>
        <w:spacing w:after="0" w:before="80"/>
      </w:pPr>
      <w:r>
        <w:rPr>
          <w:b/>
          <w:bCs/>
          <w:color w:val="1F3864"/>
        </w:rPr>
        <w:t xml:space="preserve">Where we are this week</w:t>
      </w:r>
    </w:p>
    <w:p>
      <w:pPr>
        <w:pBdr>
          <w:left w:val="single" w:color="2E75B6" w:sz="18" w:space="10"/>
          <w:bottom w:val="single" w:color="2E75B6" w:sz="4" w:space="6"/>
          <w:right w:val="single" w:color="2E75B6" w:sz="4" w:space="6"/>
        </w:pBdr>
        <w:shd w:fill="EEF3FB" w:color="auto" w:val="clear"/>
        <w:spacing w:after="160"/>
      </w:pPr>
      <w:r>
        <w:t xml:space="preserve">The experiment design is locked, the application services and the full ML pipeline are built and verified, and the chaos harness has passed an end-to-end canary run. We are now closing the gap between the harness output and the final dataset schema so the real measurement sweep can begin.</w:t>
      </w:r>
    </w:p>
    <w:p>
      <w:pPr>
        <w:pStyle w:val="Heading1"/>
      </w:pPr>
      <w:r>
        <w:t xml:space="preserve">2.  Work Completed Since Last Check-in</w:t>
      </w:r>
    </w:p>
    <w:p>
      <w:pPr>
        <w:pStyle w:val="Heading2"/>
      </w:pPr>
      <w:r>
        <w:t xml:space="preserve">2.1  Experiment Design (locked)</w:t>
      </w:r>
    </w:p>
    <w:p>
      <w:pPr>
        <w:pStyle w:val="ListParagraph"/>
        <w:numPr>
          <w:ilvl w:val="0"/>
          <w:numId w:val="2"/>
        </w:numPr>
        <w:spacing w:after="60" w:line="268"/>
      </w:pPr>
      <w:r>
        <w:rPr>
          <w:b/>
          <w:bCs/>
        </w:rPr>
        <w:t xml:space="preserve">Experiment matrix corrected and locked: </w:t>
      </w:r>
      <w:r>
        <w:t xml:space="preserve">162 configurations × 3 replicates = 486 runs for Topology 1, with roughly 1,370 runs planned across all topologies.</w:t>
      </w:r>
    </w:p>
    <w:p>
      <w:pPr>
        <w:pStyle w:val="ListParagraph"/>
        <w:numPr>
          <w:ilvl w:val="0"/>
          <w:numId w:val="2"/>
        </w:numPr>
        <w:spacing w:after="60" w:line="268"/>
      </w:pPr>
      <w:r>
        <w:rPr>
          <w:b/>
          <w:bCs/>
        </w:rPr>
        <w:t xml:space="preserve">Dataset contract finalised: </w:t>
      </w:r>
      <w:r>
        <w:t xml:space="preserve">a 15-column master schema, a full data dictionary, and an experiment matrix with deterministic, human-readable run IDs (for example </w:t>
      </w:r>
      <w:r>
        <w:rPr>
          <w:rFonts w:ascii="Consolas" w:cs="Consolas" w:eastAsia="Consolas" w:hAnsi="Consolas"/>
          <w:sz w:val="20"/>
          <w:szCs w:val="20"/>
        </w:rPr>
        <w:t xml:space="preserve">LIN-LAT-CNT-T50-W50-D10</w:t>
      </w:r>
      <w:r>
        <w:t xml:space="preserve">).</w:t>
      </w:r>
    </w:p>
    <w:p>
      <w:pPr>
        <w:pStyle w:val="ListParagraph"/>
        <w:numPr>
          <w:ilvl w:val="0"/>
          <w:numId w:val="2"/>
        </w:numPr>
        <w:spacing w:after="60" w:line="268"/>
      </w:pPr>
      <w:r>
        <w:rPr>
          <w:b/>
          <w:bCs/>
        </w:rPr>
        <w:t xml:space="preserve">Methodology tightened: </w:t>
      </w:r>
      <w:r>
        <w:t xml:space="preserve">the novelty claim was narrowed to the defensible Resilience4j application layer; the false-positive-rate protocol was defined (a 5-minute healthy warm-up); and retries were declared OFF as the baseline, with a separate retry-storm sub-experiment.</w:t>
      </w:r>
    </w:p>
    <w:p>
      <w:pPr>
        <w:pStyle w:val="Heading2"/>
      </w:pPr>
      <w:r>
        <w:t xml:space="preserve">2.2  Application Services  —  Soham</w:t>
      </w:r>
    </w:p>
    <w:p>
      <w:pPr>
        <w:pStyle w:val="ListParagraph"/>
        <w:numPr>
          <w:ilvl w:val="0"/>
          <w:numId w:val="2"/>
        </w:numPr>
        <w:spacing w:after="60" w:line="268"/>
      </w:pPr>
      <w:r>
        <w:rPr>
          <w:b/>
          <w:bCs/>
        </w:rPr>
        <w:t xml:space="preserve">service-a-order</w:t>
      </w:r>
      <w:r>
        <w:t xml:space="preserve"> and </w:t>
      </w:r>
      <w:r>
        <w:rPr>
          <w:b/>
          <w:bCs/>
        </w:rPr>
        <w:t xml:space="preserve">service-b-inventory</w:t>
      </w:r>
      <w:r>
        <w:t xml:space="preserve"> built from scratch; both compile and have been run-tested.</w:t>
      </w:r>
    </w:p>
    <w:p>
      <w:pPr>
        <w:pStyle w:val="ListParagraph"/>
        <w:numPr>
          <w:ilvl w:val="0"/>
          <w:numId w:val="2"/>
        </w:numPr>
        <w:spacing w:after="60" w:line="268"/>
      </w:pPr>
      <w:r>
        <w:t xml:space="preserve">service-b is a leaf service with typed custom exceptions and a ProblemDetail error handler.</w:t>
      </w:r>
    </w:p>
    <w:p>
      <w:pPr>
        <w:pStyle w:val="ListParagraph"/>
        <w:numPr>
          <w:ilvl w:val="0"/>
          <w:numId w:val="2"/>
        </w:numPr>
        <w:spacing w:after="60" w:line="268"/>
      </w:pPr>
      <w:r>
        <w:t xml:space="preserve">service-a is the upstream caller with a deliberate 4xx/5xx exception split (</w:t>
      </w:r>
      <w:r>
        <w:rPr>
          <w:rFonts w:ascii="Consolas" w:cs="Consolas" w:eastAsia="Consolas" w:hAnsi="Consolas"/>
          <w:sz w:val="20"/>
          <w:szCs w:val="20"/>
        </w:rPr>
        <w:t xml:space="preserve">InventoryRejectedException</w:t>
      </w:r>
      <w:r>
        <w:t xml:space="preserve"> vs. </w:t>
      </w:r>
      <w:r>
        <w:rPr>
          <w:rFonts w:ascii="Consolas" w:cs="Consolas" w:eastAsia="Consolas" w:hAnsi="Consolas"/>
          <w:sz w:val="20"/>
          <w:szCs w:val="20"/>
        </w:rPr>
        <w:t xml:space="preserve">InventoryUnavailableException</w:t>
      </w:r>
      <w:r>
        <w:t xml:space="preserve"> → 503). This split is load-bearing: it is what makes the blast-radius measurement trustworthy, because it cleanly separates a rejected request from an unavailable dependency.</w:t>
      </w:r>
    </w:p>
    <w:p>
      <w:pPr>
        <w:pStyle w:val="ListParagraph"/>
        <w:numPr>
          <w:ilvl w:val="0"/>
          <w:numId w:val="2"/>
        </w:numPr>
        <w:spacing w:after="60" w:line="268"/>
      </w:pPr>
      <w:r>
        <w:t xml:space="preserve">Exception hierarchy and the updated downstream-service files have been merged (PR1 and PR2 both merged).</w:t>
      </w:r>
    </w:p>
    <w:p>
      <w:pPr>
        <w:pStyle w:val="Heading2"/>
      </w:pPr>
      <w:r>
        <w:t xml:space="preserve">2.3  Machine-Learning Pipeline  —  Soham  (complete)</w:t>
      </w:r>
    </w:p>
    <w:p>
      <w:pPr>
        <w:spacing w:after="80"/>
      </w:pPr>
      <w:r>
        <w:t xml:space="preserve">The ML layer turns the measurement dataset into two interpretable models plus a recommendation service:</w:t>
      </w:r>
    </w:p>
    <w:p>
      <w:pPr>
        <w:pStyle w:val="ListParagraph"/>
        <w:numPr>
          <w:ilvl w:val="0"/>
          <w:numId w:val="2"/>
        </w:numPr>
        <w:spacing w:after="60" w:line="268"/>
      </w:pPr>
      <w:r>
        <w:rPr>
          <w:b/>
          <w:bCs/>
        </w:rPr>
        <w:t xml:space="preserve">Decision-Tree recommender — </w:t>
      </w:r>
      <w:r>
        <w:t xml:space="preserve">a classifier (safe / unsafe) plus a regressor (predicts blast radius), both capped at depth 6 for interpretability, with tree depth chosen by 5-fold cross-validation. Given a topology and fault, it searches the 54-config breaker grid and returns the configuration with the lowest predicted blast radius, together with the human-readable decision path that justifies it.</w:t>
      </w:r>
    </w:p>
    <w:p>
      <w:pPr>
        <w:pStyle w:val="ListParagraph"/>
        <w:numPr>
          <w:ilvl w:val="0"/>
          <w:numId w:val="2"/>
        </w:numPr>
        <w:spacing w:after="60" w:line="268"/>
      </w:pPr>
      <w:r>
        <w:rPr>
          <w:b/>
          <w:bCs/>
        </w:rPr>
        <w:t xml:space="preserve">Isolation-Forest anomaly detector — </w:t>
      </w:r>
      <w:r>
        <w:t xml:space="preserve">fitted on the measured outcomes; flags runs whose results are internally contradictory (for example, a high blast radius without a matching error spike). Missing timing values are treated as </w:t>
      </w:r>
      <w:r>
        <w:rPr>
          <w:b/>
          <w:bCs/>
        </w:rPr>
        <w:t xml:space="preserve">meaningful</w:t>
      </w:r>
      <w:r>
        <w:t xml:space="preserve"> (breaker never opened / never recovered) and encoded as flags rather than averaged away.</w:t>
      </w:r>
    </w:p>
    <w:p>
      <w:pPr>
        <w:pStyle w:val="ListParagraph"/>
        <w:numPr>
          <w:ilvl w:val="0"/>
          <w:numId w:val="2"/>
        </w:numPr>
        <w:spacing w:after="60" w:line="268"/>
      </w:pPr>
      <w:r>
        <w:rPr>
          <w:b/>
          <w:bCs/>
        </w:rPr>
        <w:t xml:space="preserve">Shared preprocessing module — </w:t>
      </w:r>
      <w:r>
        <w:t xml:space="preserve">a single source of truth so a configuration is encoded identically during training and during serving, eliminating train/serve skew.</w:t>
      </w:r>
    </w:p>
    <w:p>
      <w:pPr>
        <w:pStyle w:val="ListParagraph"/>
        <w:numPr>
          <w:ilvl w:val="0"/>
          <w:numId w:val="2"/>
        </w:numPr>
        <w:spacing w:after="60" w:line="268"/>
      </w:pPr>
      <w:r>
        <w:rPr>
          <w:b/>
          <w:bCs/>
        </w:rPr>
        <w:t xml:space="preserve">Serving + demo — </w:t>
      </w:r>
      <w:r>
        <w:t xml:space="preserve">an AWS Lambda </w:t>
      </w:r>
      <w:r>
        <w:rPr>
          <w:rFonts w:ascii="Consolas" w:cs="Consolas" w:eastAsia="Consolas" w:hAnsi="Consolas"/>
          <w:sz w:val="20"/>
          <w:szCs w:val="20"/>
        </w:rPr>
        <w:t xml:space="preserve">/recommend</w:t>
      </w:r>
      <w:r>
        <w:t xml:space="preserve"> endpoint, and a closed-loop adaptive-reconfiguration demo that emits the exact </w:t>
      </w:r>
      <w:r>
        <w:rPr>
          <w:rFonts w:ascii="Consolas" w:cs="Consolas" w:eastAsia="Consolas" w:hAnsi="Consolas"/>
          <w:sz w:val="20"/>
          <w:szCs w:val="20"/>
        </w:rPr>
        <w:t xml:space="preserve">CB_*</w:t>
      </w:r>
      <w:r>
        <w:t xml:space="preserve"> environment variables the Compose stack already reads. A one-command orchestrator (</w:t>
      </w:r>
      <w:r>
        <w:rPr>
          <w:rFonts w:ascii="Consolas" w:cs="Consolas" w:eastAsia="Consolas" w:hAnsi="Consolas"/>
          <w:sz w:val="20"/>
          <w:szCs w:val="20"/>
        </w:rPr>
        <w:t xml:space="preserve">train_all.py</w:t>
      </w:r>
      <w:r>
        <w:t xml:space="preserve">) reproduces every artifact.</w:t>
      </w:r>
    </w:p>
    <w:p>
      <w:pPr>
        <w:pStyle w:val="Heading2"/>
      </w:pPr>
      <w:r>
        <w:t xml:space="preserve">2.4  Chaos Harness  —  Jay</w:t>
      </w:r>
    </w:p>
    <w:p>
      <w:pPr>
        <w:pStyle w:val="ListParagraph"/>
        <w:numPr>
          <w:ilvl w:val="0"/>
          <w:numId w:val="2"/>
        </w:numPr>
        <w:spacing w:after="60" w:line="268"/>
      </w:pPr>
      <w:r>
        <w:rPr>
          <w:b/>
          <w:bCs/>
        </w:rPr>
        <w:t xml:space="preserve">Canary run succeeded: </w:t>
      </w:r>
      <w:r>
        <w:t xml:space="preserve">produced valid 30-row output with the correct schema, confirming the fault-injection harness works end to end.</w:t>
      </w:r>
    </w:p>
    <w:p>
      <w:pPr>
        <w:pStyle w:val="Heading1"/>
      </w:pPr>
      <w:r>
        <w:t xml:space="preserve">3.  Current Finding (early and directional)</w:t>
      </w:r>
    </w:p>
    <w:p>
      <w:pPr>
        <w:spacing w:after="120" w:line="276"/>
      </w:pPr>
      <w:r>
        <w:t xml:space="preserve">Under a </w:t>
      </w:r>
      <w:r>
        <w:rPr>
          <w:b/>
          <w:bCs/>
        </w:rPr>
        <w:t xml:space="preserve">latency fault</w:t>
      </w:r>
      <w:r>
        <w:t xml:space="preserve">, the two window strategies behave in opposite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60"/>
        <w:gridCol w:w="1400"/>
        <w:gridCol w:w="2800"/>
      </w:tblGrid>
      <w:tr>
        <w:trPr>
          <w:tblHeader/>
        </w:trPr>
        <w:tc>
          <w:tcPr>
            <w:tcW w:type="dxa" w:w="21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0"/>
                <w:szCs w:val="20"/>
              </w:rPr>
              <w:t xml:space="preserve">Window strategy</w:t>
            </w:r>
          </w:p>
        </w:tc>
        <w:tc>
          <w:tcPr>
            <w:tcW w:type="dxa" w:w="306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0"/>
                <w:szCs w:val="20"/>
              </w:rPr>
              <w:t xml:space="preserve">Breaker behaviour</w:t>
            </w:r>
          </w:p>
        </w:tc>
        <w:tc>
          <w:tcPr>
            <w:tcW w:type="dxa" w:w="14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0"/>
                <w:szCs w:val="20"/>
              </w:rPr>
              <w:t xml:space="preserve">Blast radius</w:t>
            </w:r>
          </w:p>
        </w:tc>
        <w:tc>
          <w:tcPr>
            <w:tcW w:type="dxa" w:w="2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0"/>
                <w:szCs w:val="20"/>
              </w:rPr>
              <w:t xml:space="preserve">Trade-off</w:t>
            </w:r>
          </w:p>
        </w:tc>
      </w:tr>
      <w:tr>
        <w:tc>
          <w:tcPr>
            <w:tcW w:type="dxa" w:w="210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b/>
                <w:bCs/>
                <w:color w:val="2E75B6"/>
              </w:rPr>
              <w:t xml:space="preserve">● </w:t>
            </w:r>
            <w:r>
              <w:rPr>
                <w:sz w:val="20"/>
                <w:szCs w:val="20"/>
              </w:rPr>
              <w:t xml:space="preserve">COUNT_BASED</w:t>
            </w:r>
          </w:p>
        </w:tc>
        <w:tc>
          <w:tcPr>
            <w:tcW w:type="dxa" w:w="306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sz w:val="20"/>
                <w:szCs w:val="20"/>
              </w:rPr>
              <w:t xml:space="preserve">Opens the breaker, isolates the failure</w:t>
            </w:r>
          </w:p>
        </w:tc>
        <w:tc>
          <w:tcPr>
            <w:tcW w:type="dxa" w:w="140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sz w:val="20"/>
                <w:szCs w:val="20"/>
              </w:rPr>
              <w:t xml:space="preserve">~20%</w:t>
            </w:r>
          </w:p>
        </w:tc>
        <w:tc>
          <w:tcPr>
            <w:tcW w:type="dxa" w:w="280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sz w:val="20"/>
                <w:szCs w:val="20"/>
              </w:rPr>
              <w:t xml:space="preserve">High error rate, but failure is contained</w:t>
            </w:r>
          </w:p>
        </w:tc>
      </w:tr>
      <w:tr>
        <w:tc>
          <w:tcPr>
            <w:tcW w:type="dxa" w:w="210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b/>
                <w:bCs/>
                <w:color w:val="595959"/>
              </w:rPr>
              <w:t xml:space="preserve">● </w:t>
            </w:r>
            <w:r>
              <w:rPr>
                <w:sz w:val="20"/>
                <w:szCs w:val="20"/>
              </w:rPr>
              <w:t xml:space="preserve">TIME_BASED</w:t>
            </w:r>
          </w:p>
        </w:tc>
        <w:tc>
          <w:tcPr>
            <w:tcW w:type="dxa" w:w="306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sz w:val="20"/>
                <w:szCs w:val="20"/>
              </w:rPr>
              <w:t xml:space="preserve">Never opens under latency fault</w:t>
            </w:r>
          </w:p>
        </w:tc>
        <w:tc>
          <w:tcPr>
            <w:tcW w:type="dxa" w:w="140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sz w:val="20"/>
                <w:szCs w:val="20"/>
              </w:rPr>
              <w:t xml:space="preserve">0%</w:t>
            </w:r>
          </w:p>
        </w:tc>
        <w:tc>
          <w:tcPr>
            <w:tcW w:type="dxa" w:w="280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sz w:val="20"/>
                <w:szCs w:val="20"/>
              </w:rPr>
              <w:t xml:space="preserve">Degradation absorbed silently as throughput loss</w:t>
            </w:r>
          </w:p>
        </w:tc>
      </w:tr>
    </w:tbl>
    <w:p>
      <w:pPr>
        <w:spacing w:after="120" w:before="120"/>
      </w:pPr>
      <w:r>
        <w:t xml:space="preserve">In other words, COUNT_BASED chooses to fail loudly and contain the damage, while TIME_BASED hides the problem and quietly bleeds throughput. This contrast is the core comparison the paper is built around.</w:t>
      </w:r>
    </w:p>
    <w:p>
      <w:pPr>
        <w:pBdr>
          <w:top w:val="single" w:color="B7791F" w:sz="4" w:space="6"/>
          <w:left w:val="single" w:color="B7791F" w:sz="18" w:space="10"/>
          <w:bottom w:val="single" w:color="B7791F" w:sz="4" w:space="6"/>
          <w:right w:val="single" w:color="B7791F" w:sz="4" w:space="6"/>
        </w:pBdr>
        <w:shd w:fill="FBF6EC" w:color="auto" w:val="clear"/>
        <w:spacing w:after="0" w:before="80"/>
      </w:pPr>
      <w:r>
        <w:rPr>
          <w:b/>
          <w:bCs/>
          <w:color w:val="B7791F"/>
        </w:rPr>
        <w:t xml:space="preserve">Important caveat — measured vs. simulated</w:t>
      </w:r>
    </w:p>
    <w:p>
      <w:pPr>
        <w:pBdr>
          <w:left w:val="single" w:color="B7791F" w:sz="18" w:space="10"/>
          <w:bottom w:val="single" w:color="B7791F" w:sz="4" w:space="6"/>
          <w:right w:val="single" w:color="B7791F" w:sz="4" w:space="6"/>
        </w:pBdr>
        <w:shd w:fill="FBF6EC" w:color="auto" w:val="clear"/>
        <w:spacing w:after="160"/>
      </w:pPr>
      <w:r>
        <w:t xml:space="preserve">The ML models are currently trained on a </w:t>
      </w:r>
      <w:r>
        <w:rPr>
          <w:b/>
          <w:bCs/>
        </w:rPr>
        <w:t xml:space="preserve">synthetic, schema-conformant</w:t>
      </w:r>
      <w:r>
        <w:t xml:space="preserve"> stand-in dataset that encodes our working hypotheses, so the pipeline could be built and demoed before the full sweep is run. The canary validated the harness and gave an early directional signal, but the headline finding is </w:t>
      </w:r>
      <w:r>
        <w:rPr>
          <w:b/>
          <w:bCs/>
        </w:rPr>
        <w:t xml:space="preserve">confirmed only once the real 486-config sweep populates the dataset</w:t>
      </w:r>
      <w:r>
        <w:t xml:space="preserve">. The swap to real data is a one-command change (</w:t>
      </w:r>
      <w:r>
        <w:rPr>
          <w:rFonts w:ascii="Consolas" w:cs="Consolas" w:eastAsia="Consolas" w:hAnsi="Consolas"/>
          <w:sz w:val="20"/>
          <w:szCs w:val="20"/>
        </w:rPr>
        <w:t xml:space="preserve">train_all.py --no-generate</w:t>
      </w:r>
      <w:r>
        <w:t xml:space="preserve">) — the 15-column schema is the only coupling point.</w:t>
      </w:r>
    </w:p>
    <w:p>
      <w:pPr>
        <w:pStyle w:val="Heading1"/>
      </w:pPr>
      <w:r>
        <w:t xml:space="preserve">4.  Component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0"/>
                <w:szCs w:val="20"/>
              </w:rPr>
              <w:t xml:space="preserve">Area</w:t>
            </w:r>
          </w:p>
        </w:tc>
        <w:tc>
          <w:tcPr>
            <w:tcW w:type="dxa" w:w="2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0"/>
                <w:szCs w:val="20"/>
              </w:rPr>
              <w:t xml:space="preserve">Status</w:t>
            </w:r>
          </w:p>
        </w:tc>
      </w:tr>
      <w:tr>
        <w:tc>
          <w:tcPr>
            <w:tcW w:type="dxa" w:w="676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sz w:val="20"/>
                <w:szCs w:val="20"/>
              </w:rPr>
              <w:t xml:space="preserve">Train/serve skew prevention (shared preprocessing)</w:t>
            </w:r>
          </w:p>
        </w:tc>
        <w:tc>
          <w:tcPr>
            <w:tcW w:type="dxa" w:w="260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b/>
                <w:bCs/>
                <w:color w:val="2E7D32"/>
              </w:rPr>
              <w:t xml:space="preserve">✓ </w:t>
            </w:r>
            <w:r>
              <w:rPr>
                <w:sz w:val="20"/>
                <w:szCs w:val="20"/>
              </w:rPr>
              <w:t xml:space="preserve">Solved</w:t>
            </w:r>
          </w:p>
        </w:tc>
      </w:tr>
      <w:tr>
        <w:tc>
          <w:tcPr>
            <w:tcW w:type="dxa" w:w="676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sz w:val="20"/>
                <w:szCs w:val="20"/>
              </w:rPr>
              <w:t xml:space="preserve">Meaningful-null handling</w:t>
            </w:r>
          </w:p>
        </w:tc>
        <w:tc>
          <w:tcPr>
            <w:tcW w:type="dxa" w:w="260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b/>
                <w:bCs/>
                <w:color w:val="2E7D32"/>
              </w:rPr>
              <w:t xml:space="preserve">✓ </w:t>
            </w:r>
            <w:r>
              <w:rPr>
                <w:sz w:val="20"/>
                <w:szCs w:val="20"/>
              </w:rPr>
              <w:t xml:space="preserve">Correct</w:t>
            </w:r>
          </w:p>
        </w:tc>
      </w:tr>
      <w:tr>
        <w:tc>
          <w:tcPr>
            <w:tcW w:type="dxa" w:w="676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sz w:val="20"/>
                <w:szCs w:val="20"/>
              </w:rPr>
              <w:t xml:space="preserve">Cross-validation + interpretability cap</w:t>
            </w:r>
          </w:p>
        </w:tc>
        <w:tc>
          <w:tcPr>
            <w:tcW w:type="dxa" w:w="260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b/>
                <w:bCs/>
                <w:color w:val="2E7D32"/>
              </w:rPr>
              <w:t xml:space="preserve">✓ </w:t>
            </w:r>
            <w:r>
              <w:rPr>
                <w:sz w:val="20"/>
                <w:szCs w:val="20"/>
              </w:rPr>
              <w:t xml:space="preserve">Solid</w:t>
            </w:r>
          </w:p>
        </w:tc>
      </w:tr>
      <w:tr>
        <w:tc>
          <w:tcPr>
            <w:tcW w:type="dxa" w:w="676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sz w:val="20"/>
                <w:szCs w:val="20"/>
              </w:rPr>
              <w:t xml:space="preserve">Lambda cold-start model caching</w:t>
            </w:r>
          </w:p>
        </w:tc>
        <w:tc>
          <w:tcPr>
            <w:tcW w:type="dxa" w:w="260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b/>
                <w:bCs/>
                <w:color w:val="2E7D32"/>
              </w:rPr>
              <w:t xml:space="preserve">✓ </w:t>
            </w:r>
            <w:r>
              <w:rPr>
                <w:sz w:val="20"/>
                <w:szCs w:val="20"/>
              </w:rPr>
              <w:t xml:space="preserve">Correct</w:t>
            </w:r>
          </w:p>
        </w:tc>
      </w:tr>
      <w:tr>
        <w:tc>
          <w:tcPr>
            <w:tcW w:type="dxa" w:w="676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sz w:val="20"/>
                <w:szCs w:val="20"/>
              </w:rPr>
              <w:t xml:space="preserve">Closed-loop env-var mapping</w:t>
            </w:r>
          </w:p>
        </w:tc>
        <w:tc>
          <w:tcPr>
            <w:tcW w:type="dxa" w:w="260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b/>
                <w:bCs/>
                <w:color w:val="2E7D32"/>
              </w:rPr>
              <w:t xml:space="preserve">✓ </w:t>
            </w:r>
            <w:r>
              <w:rPr>
                <w:sz w:val="20"/>
                <w:szCs w:val="20"/>
              </w:rPr>
              <w:t xml:space="preserve">Correct</w:t>
            </w:r>
          </w:p>
        </w:tc>
      </w:tr>
      <w:tr>
        <w:tc>
          <w:tcPr>
            <w:tcW w:type="dxa" w:w="676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sz w:val="20"/>
                <w:szCs w:val="20"/>
              </w:rPr>
              <w:t xml:space="preserve">window_size cross-type comparability</w:t>
            </w:r>
          </w:p>
        </w:tc>
        <w:tc>
          <w:tcPr>
            <w:tcW w:type="dxa" w:w="260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b/>
                <w:bCs/>
                <w:color w:val="B7791F"/>
              </w:rPr>
              <w:t xml:space="preserve">! </w:t>
            </w:r>
            <w:r>
              <w:rPr>
                <w:sz w:val="20"/>
                <w:szCs w:val="20"/>
              </w:rPr>
              <w:t xml:space="preserve">Needs a documented decision</w:t>
            </w:r>
          </w:p>
        </w:tc>
      </w:tr>
      <w:tr>
        <w:tc>
          <w:tcPr>
            <w:tcW w:type="dxa" w:w="676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sz w:val="20"/>
                <w:szCs w:val="20"/>
              </w:rPr>
              <w:t xml:space="preserve">Replicate-aggregation policy</w:t>
            </w:r>
          </w:p>
        </w:tc>
        <w:tc>
          <w:tcPr>
            <w:tcW w:type="dxa" w:w="2600"/>
            <w:tcBorders>
              <w:top w:val="single" w:color="BFBFBF" w:sz="1"/>
              <w:left w:val="single" w:color="BFBFBF" w:sz="1"/>
              <w:bottom w:val="single" w:color="BFBFBF" w:sz="1"/>
              <w:right w:val="single" w:color="BFBFBF" w:sz="1"/>
            </w:tcBorders>
            <w:shd w:fill="F2F5FB" w:color="auto" w:val="clear"/>
            <w:tcMar>
              <w:top w:type="dxa" w:w="70"/>
              <w:left w:type="dxa" w:w="120"/>
              <w:bottom w:type="dxa" w:w="70"/>
              <w:right w:type="dxa" w:w="120"/>
            </w:tcMar>
          </w:tcPr>
          <w:p>
            <w:r>
              <w:rPr>
                <w:b/>
                <w:bCs/>
                <w:color w:val="B7791F"/>
              </w:rPr>
              <w:t xml:space="preserve">! </w:t>
            </w:r>
            <w:r>
              <w:rPr>
                <w:sz w:val="20"/>
                <w:szCs w:val="20"/>
              </w:rPr>
              <w:t xml:space="preserve">Needs a written statement</w:t>
            </w:r>
          </w:p>
        </w:tc>
      </w:tr>
      <w:tr>
        <w:tc>
          <w:tcPr>
            <w:tcW w:type="dxa" w:w="676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sz w:val="20"/>
                <w:szCs w:val="20"/>
              </w:rPr>
              <w:t xml:space="preserve">Anomaly contamination rate</w:t>
            </w:r>
          </w:p>
        </w:tc>
        <w:tc>
          <w:tcPr>
            <w:tcW w:type="dxa" w:w="2600"/>
            <w:tcBorders>
              <w:top w:val="single" w:color="BFBFBF" w:sz="1"/>
              <w:left w:val="single" w:color="BFBFBF" w:sz="1"/>
              <w:bottom w:val="single" w:color="BFBFBF" w:sz="1"/>
              <w:right w:val="single" w:color="BFBFBF" w:sz="1"/>
            </w:tcBorders>
            <w:shd w:fill="FFFFFF" w:color="auto" w:val="clear"/>
            <w:tcMar>
              <w:top w:type="dxa" w:w="70"/>
              <w:left w:type="dxa" w:w="120"/>
              <w:bottom w:type="dxa" w:w="70"/>
              <w:right w:type="dxa" w:w="120"/>
            </w:tcMar>
          </w:tcPr>
          <w:p>
            <w:r>
              <w:rPr>
                <w:b/>
                <w:bCs/>
                <w:color w:val="B7791F"/>
              </w:rPr>
              <w:t xml:space="preserve">! </w:t>
            </w:r>
            <w:r>
              <w:rPr>
                <w:sz w:val="20"/>
                <w:szCs w:val="20"/>
              </w:rPr>
              <w:t xml:space="preserve">Re-tune on real data</w:t>
            </w:r>
          </w:p>
        </w:tc>
      </w:tr>
    </w:tbl>
    <w:p>
      <w:pPr>
        <w:pStyle w:val="Heading1"/>
      </w:pPr>
      <w:r>
        <w:t xml:space="preserve">5.  Outstanding Blockers</w:t>
      </w:r>
    </w:p>
    <w:p>
      <w:pPr>
        <w:spacing w:after="80"/>
      </w:pPr>
      <w:r>
        <w:t xml:space="preserve">These are mostly on the infrastructure side and are the critical path to running the real sweep.</w:t>
      </w:r>
    </w:p>
    <w:p>
      <w:pPr>
        <w:pStyle w:val="ListParagraph"/>
        <w:numPr>
          <w:ilvl w:val="0"/>
          <w:numId w:val="2"/>
        </w:numPr>
        <w:spacing w:after="60" w:line="268"/>
      </w:pPr>
      <w:r>
        <w:rPr>
          <w:b/>
          <w:bCs/>
        </w:rPr>
        <w:t xml:space="preserve">Schema gap in </w:t>
      </w:r>
      <w:r>
        <w:rPr>
          <w:rFonts w:ascii="Consolas" w:cs="Consolas" w:eastAsia="Consolas" w:hAnsi="Consolas"/>
          <w:sz w:val="20"/>
          <w:szCs w:val="20"/>
        </w:rPr>
        <w:t xml:space="preserve">runner.py</w:t>
      </w:r>
      <w:r>
        <w:rPr>
          <w:b/>
          <w:bCs/>
        </w:rPr>
        <w:t xml:space="preserve">: </w:t>
      </w:r>
      <w:r>
        <w:t xml:space="preserve">still emits a 13-column CSV — missing </w:t>
      </w:r>
      <w:r>
        <w:rPr>
          <w:rFonts w:ascii="Consolas" w:cs="Consolas" w:eastAsia="Consolas" w:hAnsi="Consolas"/>
          <w:sz w:val="20"/>
          <w:szCs w:val="20"/>
        </w:rPr>
        <w:t xml:space="preserve">replicate</w:t>
      </w:r>
      <w:r>
        <w:t xml:space="preserve">, </w:t>
      </w:r>
      <w:r>
        <w:rPr>
          <w:rFonts w:ascii="Consolas" w:cs="Consolas" w:eastAsia="Consolas" w:hAnsi="Consolas"/>
          <w:sz w:val="20"/>
          <w:szCs w:val="20"/>
        </w:rPr>
        <w:t xml:space="preserve">environment</w:t>
      </w:r>
      <w:r>
        <w:t xml:space="preserve">, </w:t>
      </w:r>
      <w:r>
        <w:rPr>
          <w:rFonts w:ascii="Consolas" w:cs="Consolas" w:eastAsia="Consolas" w:hAnsi="Consolas"/>
          <w:sz w:val="20"/>
          <w:szCs w:val="20"/>
        </w:rPr>
        <w:t xml:space="preserve">time_to_open</w:t>
      </w:r>
      <w:r>
        <w:t xml:space="preserve">, and </w:t>
      </w:r>
      <w:r>
        <w:rPr>
          <w:rFonts w:ascii="Consolas" w:cs="Consolas" w:eastAsia="Consolas" w:hAnsi="Consolas"/>
          <w:sz w:val="20"/>
          <w:szCs w:val="20"/>
        </w:rPr>
        <w:t xml:space="preserve">time_to_recover</w:t>
      </w:r>
      <w:r>
        <w:t xml:space="preserve">.</w:t>
      </w:r>
    </w:p>
    <w:p>
      <w:pPr>
        <w:pStyle w:val="ListParagraph"/>
        <w:numPr>
          <w:ilvl w:val="0"/>
          <w:numId w:val="2"/>
        </w:numPr>
        <w:spacing w:after="60" w:line="268"/>
      </w:pPr>
      <w:r>
        <w:rPr>
          <w:b/>
          <w:bCs/>
        </w:rPr>
        <w:t xml:space="preserve">No replicate loop yet</w:t>
      </w:r>
      <w:r>
        <w:t xml:space="preserve"> in the runner, so each configuration is run only once.</w:t>
      </w:r>
    </w:p>
    <w:p>
      <w:pPr>
        <w:pStyle w:val="ListParagraph"/>
        <w:numPr>
          <w:ilvl w:val="0"/>
          <w:numId w:val="2"/>
        </w:numPr>
        <w:spacing w:after="60" w:line="268"/>
      </w:pPr>
      <w:r>
        <w:rPr>
          <w:b/>
          <w:bCs/>
        </w:rPr>
        <w:t xml:space="preserve">Blast-radius sampling timing: </w:t>
      </w:r>
      <w:r>
        <w:t xml:space="preserve">currently sampled post-load instead of at peak fault, which understates the measurement.</w:t>
      </w:r>
    </w:p>
    <w:p>
      <w:pPr>
        <w:pStyle w:val="ListParagraph"/>
        <w:numPr>
          <w:ilvl w:val="0"/>
          <w:numId w:val="2"/>
        </w:numPr>
        <w:spacing w:after="60" w:line="268"/>
      </w:pPr>
      <w:r>
        <w:rPr>
          <w:rFonts w:ascii="Consolas" w:cs="Consolas" w:eastAsia="Consolas" w:hAnsi="Consolas"/>
          <w:sz w:val="20"/>
          <w:szCs w:val="20"/>
        </w:rPr>
        <w:t xml:space="preserve">docker-compose.yml</w:t>
      </w:r>
      <w:r>
        <w:rPr>
          <w:b/>
          <w:bCs/>
        </w:rPr>
        <w:t xml:space="preserve"> gaps: </w:t>
      </w:r>
      <w:r>
        <w:t xml:space="preserve">missing environment variables and a </w:t>
      </w:r>
      <w:r>
        <w:rPr>
          <w:rFonts w:ascii="Consolas" w:cs="Consolas" w:eastAsia="Consolas" w:hAnsi="Consolas"/>
          <w:sz w:val="20"/>
          <w:szCs w:val="20"/>
        </w:rPr>
        <w:t xml:space="preserve">depends_on</w:t>
      </w:r>
      <w:r>
        <w:t xml:space="preserve"> block for the notification service.</w:t>
      </w:r>
    </w:p>
    <w:p>
      <w:pPr>
        <w:pStyle w:val="ListParagraph"/>
        <w:numPr>
          <w:ilvl w:val="0"/>
          <w:numId w:val="2"/>
        </w:numPr>
        <w:spacing w:after="60" w:line="268"/>
      </w:pPr>
      <w:r>
        <w:rPr>
          <w:b/>
          <w:bCs/>
        </w:rPr>
        <w:t xml:space="preserve">Service integration: </w:t>
      </w:r>
      <w:r>
        <w:t xml:space="preserve">service-a and service-b still need Dockerfiles, Resilience4j wiring, and to be added into the Compose stack and the runner.</w:t>
      </w:r>
    </w:p>
    <w:p>
      <w:pPr>
        <w:pStyle w:val="Heading1"/>
      </w:pPr>
      <w:r>
        <w:t xml:space="preserve">6.  Next Steps</w:t>
      </w:r>
    </w:p>
    <w:p>
      <w:pPr>
        <w:pStyle w:val="ListParagraph"/>
        <w:numPr>
          <w:ilvl w:val="0"/>
          <w:numId w:val="3"/>
        </w:numPr>
        <w:spacing w:after="80" w:line="268"/>
      </w:pPr>
      <w:r>
        <w:t xml:space="preserve">Close the schema gap in </w:t>
      </w:r>
      <w:r>
        <w:rPr>
          <w:rFonts w:ascii="Consolas" w:cs="Consolas" w:eastAsia="Consolas" w:hAnsi="Consolas"/>
          <w:sz w:val="20"/>
          <w:szCs w:val="20"/>
        </w:rPr>
        <w:t xml:space="preserve">runner.py</w:t>
      </w:r>
      <w:r>
        <w:t xml:space="preserve"> (13 → 15 columns) and add the replicate loop.</w:t>
      </w:r>
    </w:p>
    <w:p>
      <w:pPr>
        <w:pStyle w:val="ListParagraph"/>
        <w:numPr>
          <w:ilvl w:val="0"/>
          <w:numId w:val="3"/>
        </w:numPr>
        <w:spacing w:after="80" w:line="268"/>
      </w:pPr>
      <w:r>
        <w:t xml:space="preserve">Fix blast-radius sampling so it captures the peak fault.</w:t>
      </w:r>
    </w:p>
    <w:p>
      <w:pPr>
        <w:pStyle w:val="ListParagraph"/>
        <w:numPr>
          <w:ilvl w:val="0"/>
          <w:numId w:val="3"/>
        </w:numPr>
        <w:spacing w:after="80" w:line="268"/>
      </w:pPr>
      <w:r>
        <w:t xml:space="preserve">Wire the two new services into Compose and the runner.</w:t>
      </w:r>
    </w:p>
    <w:p>
      <w:pPr>
        <w:pStyle w:val="ListParagraph"/>
        <w:numPr>
          <w:ilvl w:val="0"/>
          <w:numId w:val="3"/>
        </w:numPr>
        <w:spacing w:after="80" w:line="268"/>
      </w:pPr>
      <w:r>
        <w:t xml:space="preserve">Run a real canary batch (15–20 configs), then the full 486-config sweep.</w:t>
      </w:r>
    </w:p>
    <w:p>
      <w:pPr>
        <w:pStyle w:val="ListParagraph"/>
        <w:numPr>
          <w:ilvl w:val="0"/>
          <w:numId w:val="3"/>
        </w:numPr>
        <w:spacing w:after="80" w:line="268"/>
      </w:pPr>
      <w:r>
        <w:t xml:space="preserve">Resolve the two open ML decisions before writing the ML section: </w:t>
      </w:r>
      <w:r>
        <w:rPr>
          <w:rFonts w:ascii="Consolas" w:cs="Consolas" w:eastAsia="Consolas" w:hAnsi="Consolas"/>
          <w:sz w:val="20"/>
          <w:szCs w:val="20"/>
        </w:rPr>
        <w:t xml:space="preserve">window_size</w:t>
      </w:r>
      <w:r>
        <w:t xml:space="preserve"> cross-type comparability, and the replicate-aggregation policy.</w:t>
      </w:r>
    </w:p>
    <w:p>
      <w:pPr>
        <w:pBdr>
          <w:top w:val="single" w:color="1F3864" w:sz="4" w:space="6"/>
          <w:left w:val="single" w:color="1F3864" w:sz="18" w:space="10"/>
          <w:bottom w:val="single" w:color="1F3864" w:sz="4" w:space="6"/>
          <w:right w:val="single" w:color="1F3864" w:sz="4" w:space="6"/>
        </w:pBdr>
        <w:shd w:fill="EEF1F8" w:color="auto" w:val="clear"/>
        <w:spacing w:after="0" w:before="120"/>
      </w:pPr>
      <w:r>
        <w:rPr>
          <w:b/>
          <w:bCs/>
        </w:rPr>
        <w:t xml:space="preserve">Upcoming gate:  </w:t>
      </w:r>
      <w:r>
        <w:t xml:space="preserve">15 July is the controlled-phase gate (not the final paper deadline). The comparative work on Topologies 2 and 3 is deliberately deferred to Week 8.</w:t>
      </w:r>
    </w:p>
    <w:p>
      <w:pPr>
        <w:pBdr>
          <w:left w:val="single" w:color="1F3864" w:sz="18" w:space="10"/>
          <w:bottom w:val="single" w:color="1F3864" w:sz="4" w:space="6"/>
          <w:right w:val="single" w:color="1F3864" w:sz="4" w:space="6"/>
        </w:pBdr>
        <w:shd w:fill="EEF1F8" w:color="auto" w:val="clear"/>
        <w:spacing w:after="120"/>
      </w:pPr>
      <w:r>
        <w:rPr>
          <w:sz w:val="2"/>
          <w:szCs w:val="2"/>
        </w:rPr>
        <w:t xml:space="preserve"/>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space="2"/>
      </w:pBdr>
      <w:tabs>
        <w:tab w:val="right" w:pos="9360"/>
      </w:tabs>
    </w:pPr>
    <w:r>
      <w:rPr>
        <w:color w:val="595959"/>
        <w:sz w:val="16"/>
        <w:szCs w:val="16"/>
      </w:rPr>
      <w:t xml:space="preserve">Confidential — academic project draft</w:t>
    </w:r>
    <w:r>
      <w:rPr>
        <w:sz w:val="16"/>
        <w:szCs w:val="16"/>
      </w:rPr>
      <w:t xml:space="preserve">	</w:t>
    </w: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2"/>
      </w:pBdr>
      <w:jc w:val="right"/>
    </w:pPr>
    <w:r>
      <w:rPr>
        <w:color w:val="595959"/>
        <w:sz w:val="16"/>
        <w:szCs w:val="16"/>
      </w:rPr>
      <w:t xml:space="preserve">CascadeShield  ·  Weekly Check-in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75B6"/>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4" w:space="4"/>
      </w:pBdr>
      <w:spacing w:after="140" w:before="30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CascadeShield — Weekly Progress Check-in</dc:title>
  <dc:creator>CascadeShield Team</dc:creator>
  <cp:lastModifiedBy>Un-named</cp:lastModifiedBy>
  <cp:revision>1</cp:revision>
  <dcterms:created xsi:type="dcterms:W3CDTF">2026-06-24T15:51:53.963Z</dcterms:created>
  <dcterms:modified xsi:type="dcterms:W3CDTF">2026-06-24T15:51:53.963Z</dcterms:modified>
</cp:coreProperties>
</file>

<file path=docProps/custom.xml><?xml version="1.0" encoding="utf-8"?>
<Properties xmlns="http://schemas.openxmlformats.org/officeDocument/2006/custom-properties" xmlns:vt="http://schemas.openxmlformats.org/officeDocument/2006/docPropsVTypes"/>
</file>