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2352675" cy="225075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52675" cy="225075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Gender Health Gap: Addressing Inequalities in Women’s Healthcare Among Rohingya Refugees</w:t>
      </w:r>
    </w:p>
    <w:p w:rsidR="00000000" w:rsidDel="00000000" w:rsidP="00000000" w:rsidRDefault="00000000" w:rsidRPr="00000000" w14:paraId="00000006">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03</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Anonna Dev Nipa- 21301191</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Ishama Fatima Ismail- 21301118</w:t>
        <w:br w:type="textWrapping"/>
        <w:t xml:space="preserve">Sabiba Afifa Mojumder- 22305021</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Sadnima Amin Chowdhury- 21301260</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Samiya Islam - 23305036</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CST309: Global Citizenship</w:t>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Section- 04</w:t>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Md Tariqul Islam</w:t>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9, 2025</w:t>
      </w:r>
    </w:p>
    <w:p w:rsidR="00000000" w:rsidDel="00000000" w:rsidP="00000000" w:rsidRDefault="00000000" w:rsidRPr="00000000" w14:paraId="00000015">
      <w:pPr>
        <w:spacing w:after="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CONTRIBUTIONS</w:t>
      </w:r>
    </w:p>
    <w:p w:rsidR="00000000" w:rsidDel="00000000" w:rsidP="00000000" w:rsidRDefault="00000000" w:rsidRPr="00000000" w14:paraId="00000018">
      <w:pPr>
        <w:widowControl w:val="0"/>
        <w:spacing w:line="230.24130821228027" w:lineRule="auto"/>
        <w:ind w:right="72.120361328125"/>
        <w:rPr>
          <w:rFonts w:ascii="Times New Roman" w:cs="Times New Roman" w:eastAsia="Times New Roman" w:hAnsi="Times New Roman"/>
          <w:b w:val="1"/>
          <w:sz w:val="24"/>
          <w:szCs w:val="24"/>
        </w:rPr>
      </w:pPr>
      <w:r w:rsidDel="00000000" w:rsidR="00000000" w:rsidRPr="00000000">
        <w:rPr>
          <w:rtl w:val="0"/>
        </w:rPr>
      </w:r>
    </w:p>
    <w:tbl>
      <w:tblPr>
        <w:tblStyle w:val="Table1"/>
        <w:tblW w:w="1171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025"/>
        <w:gridCol w:w="1965"/>
        <w:gridCol w:w="1455"/>
        <w:gridCol w:w="1815"/>
        <w:gridCol w:w="1860"/>
        <w:gridCol w:w="960"/>
        <w:tblGridChange w:id="0">
          <w:tblGrid>
            <w:gridCol w:w="1635"/>
            <w:gridCol w:w="2025"/>
            <w:gridCol w:w="1965"/>
            <w:gridCol w:w="1455"/>
            <w:gridCol w:w="1815"/>
            <w:gridCol w:w="1860"/>
            <w:gridCol w:w="960"/>
          </w:tblGrid>
        </w:tblGridChange>
      </w:tblGrid>
      <w:tr>
        <w:trPr>
          <w:cantSplit w:val="0"/>
          <w:trHeight w:val="1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16.1599731445312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Background Research and 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Writing Introduction and 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Examples, Case Studies, or Evidence Gathering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Section Writing and Content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Argument Development and Critical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117.839965820312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 </w:t>
            </w:r>
          </w:p>
        </w:tc>
      </w:tr>
      <w:tr>
        <w:trPr>
          <w:cantSplit w:val="0"/>
          <w:trHeight w:val="7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Anonna Dev Nipa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110.399780273437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100 %</w:t>
            </w:r>
          </w:p>
        </w:tc>
      </w:tr>
      <w:tr>
        <w:trPr>
          <w:cantSplit w:val="0"/>
          <w:trHeight w:val="86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Ishama Fatima Ismail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110.399780273437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100 %</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Sabiba Afifa Mojumder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110.399780273437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100 %</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Sadnima Amin Chowdhury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ind w:left="110.399780273437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100 %</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Samiya Islam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ind w:left="110.399780273437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100 %</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ind w:left="120.24002075195312"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128.400268554687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left="125.99975585937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left="128.400268554687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ind w:left="125.99975585937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ind w:left="128.39965820312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4A">
      <w:pPr>
        <w:widowControl w:val="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D">
      <w:pPr>
        <w:spacing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0">
      <w:pPr>
        <w:spacing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1">
      <w:pPr>
        <w:spacing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2">
      <w:pPr>
        <w:spacing w:line="360" w:lineRule="auto"/>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3">
      <w:pPr>
        <w:spacing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4">
      <w:pPr>
        <w:spacing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5">
      <w:pPr>
        <w:spacing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6">
      <w:pPr>
        <w:spacing w:line="36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Title: Gender Health Gap: Addressing Inequalities in Women’s Healthcare Among Rohingya Refugees</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 </w:t>
      </w:r>
      <w:r w:rsidDel="00000000" w:rsidR="00000000" w:rsidRPr="00000000">
        <w:rPr>
          <w:rtl w:val="0"/>
        </w:rPr>
      </w:r>
    </w:p>
    <w:p w:rsidR="00000000" w:rsidDel="00000000" w:rsidP="00000000" w:rsidRDefault="00000000" w:rsidRPr="00000000" w14:paraId="0000005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Rohingyas are one of the largest stateless populations in the world, and their forced displacement has created a severe humanitarian crisis. Within this humanitarian crisis lies a less visible but urgent challenge, the gender health gap. Nearly one million Rohingya refugees now live in Cox’s Bazar, Bangladesh, most of whom fled Myanmar in 2017 due to persecution and human rights violations. Health services in the refugee camps are inadequate, especially for women and girls. They face limited access to reproductive healthcare, poor medical infrastructure,cultural stigma, and economic inequalities. As a result, many women experience poor menstrual health, high mortality rates during childbirth, and untreated chronic illness. Forced displacement, overcrowded camps, poverty and restricted mobility only make these challenges worse.</w:t>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inequality faced by the Rohingya women shows how forced displacement and internal conflict can lead to gender health gap. Therefore, by focusing on this community, this project sheds light on a neglected humanitarian crisis and also proposes an action plan to allow for an equitable access to healthcare for the Rohingya women. </w:t>
      </w:r>
    </w:p>
    <w:p w:rsidR="00000000" w:rsidDel="00000000" w:rsidP="00000000" w:rsidRDefault="00000000" w:rsidRPr="00000000" w14:paraId="0000005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Context and Stakeholders</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primary stakeholders are the women</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living in the Kutupalong refugee camps, in Ukhia Cox’s Bazar, </w:t>
      </w:r>
      <w:r w:rsidDel="00000000" w:rsidR="00000000" w:rsidRPr="00000000">
        <w:rPr>
          <w:rFonts w:ascii="Times New Roman" w:cs="Times New Roman" w:eastAsia="Times New Roman" w:hAnsi="Times New Roman"/>
          <w:sz w:val="24"/>
          <w:szCs w:val="24"/>
          <w:rtl w:val="0"/>
        </w:rPr>
        <w:t xml:space="preserve">because they are the ones who are being affected the most due to scarce or inaccessible healthcare. Poor living conditions, limited mobility, and weak healthcare delivery system, limits women and girls to access necessary items and information that would allow them to support their health and hygiene. For example, Toyoba Begum, a refugee currently living in the Rohingya camps, lost her newborn baby after a really difficult labour, which highlights how infrastructure and safety issues increase risks of death (Root, 2025). Similarly, Nasreen a 35-year-old woman living in Kutupalong refugee camp mentioned how due to malnutrition and no proper healthcare support, she suffers from diarrhea and many other illnesses (UNFPA, 2019). Approximately, there were 52 maternal deaths between 2017 and 2018 in the Rohingya refugee camps in Cox’s Bazar district (Parmar et al., 2019), also, women often experience severe abuse by their intimate partners, relatives and camp members, and over 30,000 children are born annually in the camp, indicating the urgent need for maternal and child health support (Guglielmi et al., 2024).  </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Healthcare providers are another group of stakeholders. This includes Bangladeshi government doctors deployed by MoHFW and Cox’s Bazar civil surgeon’s office, who provide services in government health facilities and referral hospitals that cater both refugees and host communities. It also includes NGOs and international organization doctors, who oversee camp based health facilities, maternal wards and mobile clinics. In addition, volunteer and internationally deployed doctors, nurses and midwives, coordinated by WHO, MSF, IOM and other foreign medical missions are essential for providing outbreak management, maternal health programs and training local health workers. Furthermore, local stakeholders include Rohingya community leaders, male head of the family, who influence cultural norms and family decision making. Since, the patriarchal structure in the households often limits women’s ability to seek healthcare, or make decisions regarding their reproductive health, menstrual hygiene management and family planning. Lastly, the government actors of both Bangladesh and Myanmar play an important role in formulating policies and allocating resources. </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to maintain the wellbeing of the Rohingya women healthcare services dedicated for these women must be systemic, evidence based and should be ventured combinedly by the stakeholders, to ensure sustainability. </w:t>
      </w:r>
    </w:p>
    <w:p w:rsidR="00000000" w:rsidDel="00000000" w:rsidP="00000000" w:rsidRDefault="00000000" w:rsidRPr="00000000" w14:paraId="00000063">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Description</w:t>
      </w:r>
    </w:p>
    <w:p w:rsidR="00000000" w:rsidDel="00000000" w:rsidP="00000000" w:rsidRDefault="00000000" w:rsidRPr="00000000" w14:paraId="00000065">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Goals:</w:t>
      </w:r>
    </w:p>
    <w:p w:rsidR="00000000" w:rsidDel="00000000" w:rsidP="00000000" w:rsidRDefault="00000000" w:rsidRPr="00000000" w14:paraId="00000066">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targets to improve the healthcare status of women and girls living in the Rohingya refugee camps in Cox’s Bazar, reducing maternal deaths, poor menstrual hygiene, and preventable diseases. The camp has approximately 1.3 million people, yet only 200 healthcare facilities exist out of which only 17% operate 24 hours, and only 3 surgical capacities (Guglielmi et al., 2024). These gaps leave women at risk of childbirth-related deaths, untreated illnesses, and abuse. This project also addresses cultural barriers such as men’s control over women’s health related decisions, including child bearing, pregnancy care, abortion and family planning, which particularly affects adolescent girls, women with disabilities and in women-headed households.</w:t>
      </w:r>
    </w:p>
    <w:p w:rsidR="00000000" w:rsidDel="00000000" w:rsidP="00000000" w:rsidRDefault="00000000" w:rsidRPr="00000000" w14:paraId="00000067">
      <w:pPr>
        <w:spacing w:line="276"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Action Plan:</w:t>
      </w:r>
    </w:p>
    <w:p w:rsidR="00000000" w:rsidDel="00000000" w:rsidP="00000000" w:rsidRDefault="00000000" w:rsidRPr="00000000" w14:paraId="00000068">
      <w:pPr>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health gaps, the project proposes a structured action plan consisting of four integrated strategies:</w:t>
      </w:r>
    </w:p>
    <w:p w:rsidR="00000000" w:rsidDel="00000000" w:rsidP="00000000" w:rsidRDefault="00000000" w:rsidRPr="00000000" w14:paraId="0000006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1110" w:tblpY="0"/>
        <w:tblW w:w="1174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965"/>
        <w:gridCol w:w="3015"/>
        <w:gridCol w:w="1860"/>
        <w:gridCol w:w="1155"/>
        <w:gridCol w:w="1830"/>
        <w:tblGridChange w:id="0">
          <w:tblGrid>
            <w:gridCol w:w="1920"/>
            <w:gridCol w:w="1965"/>
            <w:gridCol w:w="3015"/>
            <w:gridCol w:w="1860"/>
            <w:gridCol w:w="1155"/>
            <w:gridCol w:w="1830"/>
          </w:tblGrid>
        </w:tblGridChange>
      </w:tblGrid>
      <w:tr>
        <w:trPr>
          <w:cantSplit w:val="0"/>
          <w:tblHeader w:val="0"/>
        </w:trPr>
        <w:tc>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Goal/Strategies</w:t>
            </w:r>
          </w:p>
        </w:tc>
        <w:tc>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b w:val="1"/>
                <w:sz w:val="24"/>
                <w:szCs w:val="24"/>
                <w:rtl w:val="0"/>
              </w:rPr>
              <w:t xml:space="preserve">bjectives</w:t>
            </w:r>
          </w:p>
        </w:tc>
        <w:tc>
          <w:tcPr/>
          <w:p w:rsidR="00000000" w:rsidDel="00000000" w:rsidP="00000000" w:rsidRDefault="00000000" w:rsidRPr="00000000" w14:paraId="0000006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Tasks</w:t>
            </w:r>
          </w:p>
        </w:tc>
        <w:tc>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Responsibility</w:t>
            </w:r>
          </w:p>
        </w:tc>
        <w:tc>
          <w:tcPr/>
          <w:p w:rsidR="00000000" w:rsidDel="00000000" w:rsidP="00000000" w:rsidRDefault="00000000" w:rsidRPr="00000000" w14:paraId="0000006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Timeline</w:t>
            </w:r>
          </w:p>
        </w:tc>
        <w:tc>
          <w:tcPr/>
          <w:p w:rsidR="00000000" w:rsidDel="00000000" w:rsidP="00000000" w:rsidRDefault="00000000" w:rsidRPr="00000000" w14:paraId="0000006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w:t>
            </w:r>
          </w:p>
        </w:tc>
      </w:tr>
      <w:tr>
        <w:trPr>
          <w:cantSplit w:val="0"/>
          <w:trHeight w:val="2595" w:hRule="atLeast"/>
          <w:tblHeader w:val="0"/>
        </w:trPr>
        <w:tc>
          <w:tcPr>
            <w:vMerge w:val="restart"/>
          </w:tcPr>
          <w:p w:rsidR="00000000" w:rsidDel="00000000" w:rsidP="00000000" w:rsidRDefault="00000000" w:rsidRPr="00000000" w14:paraId="0000007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Strengthening Health Facilities:</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access to safe and gender-sensitive healthcare</w:t>
            </w:r>
          </w:p>
        </w:tc>
        <w:tc>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and equip women-friendly health facilities</w:t>
            </w:r>
          </w:p>
        </w:tc>
        <w:tc>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Renovate 2 or more clinical spaces</w:t>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women-only consultation rooms</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 constant supply of medicines &amp; sanitary products</w:t>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Establish referral systems for emergency  pregnancy care</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Promote/support fundraising for supplies</w:t>
            </w:r>
          </w:p>
        </w:tc>
        <w:tc>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BRAC, UNFPA, MSF, Ministry of Health and students</w:t>
            </w:r>
          </w:p>
        </w:tc>
        <w:tc>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of facilities upgraded</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 satisfaction surveys</w:t>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Reduction in wait times</w:t>
            </w:r>
          </w:p>
        </w:tc>
      </w:tr>
      <w:tr>
        <w:trPr>
          <w:cantSplit w:val="0"/>
          <w:trHeight w:val="1297.5" w:hRule="atLeast"/>
          <w:tblHeader w:val="0"/>
        </w:trPr>
        <w:tc>
          <w:tcPr>
            <w:vMerge w:val="continue"/>
          </w:tcPr>
          <w:p w:rsidR="00000000" w:rsidDel="00000000" w:rsidP="00000000" w:rsidRDefault="00000000" w:rsidRPr="00000000" w14:paraId="00000080">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mobile health clinics for underserved areas</w:t>
            </w:r>
          </w:p>
        </w:tc>
        <w:tc>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  mobile clinic vans or tents</w:t>
            </w:r>
          </w:p>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Deploy doctors, midwives, nurses</w:t>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Offer pregnancy check-ups, contraception, gender-based violence support</w:t>
            </w:r>
          </w:p>
        </w:tc>
        <w:tc>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MSF, WHO</w:t>
            </w:r>
          </w:p>
        </w:tc>
        <w:tc>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6-18</w:t>
            </w:r>
          </w:p>
        </w:tc>
        <w:tc>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of women reached</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Reduction in home births</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Monthly clinic reports</w:t>
            </w:r>
          </w:p>
        </w:tc>
      </w:tr>
      <w:tr>
        <w:trPr>
          <w:cantSplit w:val="0"/>
          <w:trHeight w:val="1070.91796875" w:hRule="atLeast"/>
          <w:tblHeader w:val="0"/>
        </w:trPr>
        <w:tc>
          <w:tcPr>
            <w:vMerge w:val="restart"/>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Capacity Building for Healthcare Providers:</w:t>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frontline workers’ skills</w:t>
            </w:r>
          </w:p>
        </w:tc>
        <w:tc>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healthcare providers in Sexual and Reproductive Health and Rights (SRHR) and maternal health</w:t>
            </w:r>
          </w:p>
        </w:tc>
        <w:tc>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Workshops on family planning, adolescent health, maternal care</w:t>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Training on gender-based violence response and safe treatment</w:t>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 workshops by preparing materials or assisting in training documentation</w:t>
            </w:r>
          </w:p>
        </w:tc>
        <w:tc>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NGOs, students  and  medical trainers</w:t>
            </w:r>
          </w:p>
        </w:tc>
        <w:tc>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3-12</w:t>
            </w:r>
          </w:p>
        </w:tc>
        <w:tc>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of trained educators active</w:t>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Women’s knowledge improvement</w:t>
            </w:r>
          </w:p>
        </w:tc>
      </w:tr>
      <w:tr>
        <w:trPr>
          <w:cantSplit w:val="0"/>
          <w:trHeight w:val="1070.91796875" w:hRule="atLeast"/>
          <w:tblHeader w:val="0"/>
        </w:trPr>
        <w:tc>
          <w:tcPr>
            <w:vMerge w:val="continue"/>
          </w:tcPr>
          <w:p w:rsidR="00000000" w:rsidDel="00000000" w:rsidP="00000000" w:rsidRDefault="00000000" w:rsidRPr="00000000" w14:paraId="00000097">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Rohingya peer educator</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w:t>
            </w:r>
          </w:p>
        </w:tc>
        <w:tc>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Recruit 15-20 Rohingya women as health educators</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 them in reproductive health and community engagement to help peers</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 peer-led awareness activities</w:t>
            </w:r>
          </w:p>
        </w:tc>
        <w:tc>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BRAC, students and community leaders</w:t>
            </w:r>
          </w:p>
        </w:tc>
        <w:tc>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6-18</w:t>
            </w:r>
          </w:p>
        </w:tc>
        <w:tc>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of awareness sessions</w:t>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Pre/post surveys on attitudes</w:t>
            </w:r>
          </w:p>
        </w:tc>
      </w:tr>
      <w:tr>
        <w:trPr>
          <w:cantSplit w:val="0"/>
          <w:trHeight w:val="1070.91796875" w:hRule="atLeast"/>
          <w:tblHeader w:val="0"/>
        </w:trPr>
        <w:tc>
          <w:tcPr>
            <w:vMerge w:val="restart"/>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Community Engagement &amp; Gender Sensitization</w:t>
            </w:r>
            <w:r w:rsidDel="00000000" w:rsidR="00000000" w:rsidRPr="00000000">
              <w:rPr>
                <w:rFonts w:ascii="Times New Roman" w:cs="Times New Roman" w:eastAsia="Times New Roman" w:hAnsi="Times New Roman"/>
                <w:sz w:val="24"/>
                <w:szCs w:val="24"/>
                <w:rtl w:val="0"/>
              </w:rPr>
              <w:t xml:space="preserve">: Empower women &amp; shift cultural barriers</w:t>
            </w:r>
          </w:p>
        </w:tc>
        <w:tc>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awareness campaigns for men, women &amp; adolescents</w:t>
            </w:r>
          </w:p>
        </w:tc>
        <w:tc>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sessions with men, women, adolescents</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Teach menstrual hygiene and Sexual and Reproductive Health and Rights (SRHR) to women and adolescents girls</w:t>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 posters, social media campaigns</w:t>
            </w:r>
          </w:p>
        </w:tc>
        <w:tc>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educators, NGOs and  students</w:t>
            </w:r>
          </w:p>
        </w:tc>
        <w:tc>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6-18</w:t>
            </w:r>
          </w:p>
        </w:tc>
        <w:tc>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of awareness sessions</w:t>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 and post surveys on attitudes</w:t>
            </w:r>
          </w:p>
        </w:tc>
      </w:tr>
      <w:tr>
        <w:trPr>
          <w:cantSplit w:val="0"/>
          <w:trHeight w:val="1070.91796875" w:hRule="atLeast"/>
          <w:tblHeader w:val="0"/>
        </w:trPr>
        <w:tc>
          <w:tcPr>
            <w:vMerge w:val="continue"/>
          </w:tcPr>
          <w:p w:rsidR="00000000" w:rsidDel="00000000" w:rsidP="00000000" w:rsidRDefault="00000000" w:rsidRPr="00000000" w14:paraId="000000AD">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women-only safe spaces</w:t>
            </w:r>
          </w:p>
        </w:tc>
        <w:tc>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up 2-3 safe spaces in camps</w:t>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menstrual kits &amp; counseling services</w:t>
            </w:r>
          </w:p>
        </w:tc>
        <w:tc>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UNFPA  and  peer educators</w:t>
            </w:r>
          </w:p>
        </w:tc>
        <w:tc>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9-18</w:t>
            </w:r>
          </w:p>
        </w:tc>
        <w:tc>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Attendance numbers</w:t>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Feedback from participants</w:t>
            </w:r>
          </w:p>
        </w:tc>
      </w:tr>
      <w:tr>
        <w:trPr>
          <w:cantSplit w:val="0"/>
          <w:trHeight w:val="794.94140625" w:hRule="atLeast"/>
          <w:tblHeader w:val="0"/>
        </w:trPr>
        <w:tc>
          <w:tcPr>
            <w:vMerge w:val="restart"/>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Monitoring &amp; Policy Advocacy:</w:t>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sustainability</w:t>
            </w:r>
          </w:p>
        </w:tc>
        <w:tc>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&amp; evaluate outcomes</w:t>
            </w:r>
          </w:p>
        </w:tc>
        <w:tc>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Collect baseline &amp; follow-up health data like maternal mortality, contraceptive use</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Conduct interviews with Rohingya women</w:t>
            </w:r>
          </w:p>
        </w:tc>
        <w:tc>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educators and research team</w:t>
            </w:r>
          </w:p>
        </w:tc>
        <w:tc>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12-24</w:t>
            </w:r>
          </w:p>
        </w:tc>
        <w:tc>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comparison of before and after</w:t>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Testimonies from women</w:t>
            </w:r>
          </w:p>
        </w:tc>
      </w:tr>
      <w:tr>
        <w:trPr>
          <w:cantSplit w:val="0"/>
          <w:trHeight w:val="794.94140625" w:hRule="atLeast"/>
          <w:tblHeader w:val="0"/>
        </w:trPr>
        <w:tc>
          <w:tcPr>
            <w:vMerge w:val="continue"/>
          </w:tcPr>
          <w:p w:rsidR="00000000" w:rsidDel="00000000" w:rsidP="00000000" w:rsidRDefault="00000000" w:rsidRPr="00000000" w14:paraId="000000C0">
            <w:pPr>
              <w:widowControl w:val="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Advocate for policy change</w:t>
            </w:r>
          </w:p>
        </w:tc>
        <w:tc>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Share results with UNHCR &amp; Bangladesh Health Ministry</w:t>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 findings</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Advocate for refugee-inclusive maternal health policies</w:t>
            </w:r>
          </w:p>
        </w:tc>
        <w:tc>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 coalition and advocacy groups</w:t>
            </w:r>
          </w:p>
        </w:tc>
        <w:tc>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18-24</w:t>
            </w:r>
          </w:p>
        </w:tc>
        <w:tc>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Policy dialogues held</w:t>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Reports cited in planning</w:t>
            </w:r>
          </w:p>
        </w:tc>
      </w:tr>
    </w:tbl>
    <w:p w:rsidR="00000000" w:rsidDel="00000000" w:rsidP="00000000" w:rsidRDefault="00000000" w:rsidRPr="00000000" w14:paraId="000000CA">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Action plan table for Women’s Healthcare among Rohingya Refugee</w:t>
      </w:r>
    </w:p>
    <w:p w:rsidR="00000000" w:rsidDel="00000000" w:rsidP="00000000" w:rsidRDefault="00000000" w:rsidRPr="00000000" w14:paraId="000000C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action plan is feasible, evidence-based and respectful of  cultural norms. Challenges include potential resistance to mobile clinics, staffing shortages, and resource limitations. These can be mitigated through stakeholder collaboration, peer educator engagement, and phased implementation. Based on successful outcomes, a policy recommendation will be proposed to integrate refugee-inclusive maternal health guidelines into Bangladesh’s national health policy.</w:t>
      </w:r>
    </w:p>
    <w:p w:rsidR="00000000" w:rsidDel="00000000" w:rsidP="00000000" w:rsidRDefault="00000000" w:rsidRPr="00000000" w14:paraId="000000C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Global Citizenship Analysis</w:t>
      </w:r>
      <w:r w:rsidDel="00000000" w:rsidR="00000000" w:rsidRPr="00000000">
        <w:rPr>
          <w:rtl w:val="0"/>
        </w:rPr>
      </w:r>
    </w:p>
    <w:p w:rsidR="00000000" w:rsidDel="00000000" w:rsidP="00000000" w:rsidRDefault="00000000" w:rsidRPr="00000000" w14:paraId="000000C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project supports the concept of cosmopolitanism, which  Appiah (2006)  defined as the idea that all humans have equal moral worth, no matter their nationality, ethnicity or legal status. The situation of Rohingya women living in Cox’s Bazar, Bangladesh, illustrates why applying this principle is important. These women have fled decades of persecution in Myanmar and now live as stateless refugees, facing limited access to basic needs such as sanitary pads, proper hygiene system as a result these women suffer from life threatening diseases and preventable deaths. Also, they are constantly being subjected to sexual abuse and unwanted pregnancies. According to Khan (2024), 47% of the women living in these camps were unable to access any antenatal healthcare services, which shows how vulnerable these women are and how urgent it is for both the national and international community to act. </w:t>
      </w:r>
    </w:p>
    <w:p w:rsidR="00000000" w:rsidDel="00000000" w:rsidP="00000000" w:rsidRDefault="00000000" w:rsidRPr="00000000" w14:paraId="000000C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Cosmopolitanism calls for shared responsibility of governments, NGOs and global citizens, where everyone has a role in ensuring that Rohingya women receive the care and protection they need. Programs such as UNFPA midwifery diploma and UNICEF Safe Spaces reflect cosmopolitan principals by providing life saving care and education regardless of national boundaries. These projects ensure that Rohingya’s are not treated as outsiders, rather as equal members of the global community whose rights and health matters. </w:t>
      </w:r>
    </w:p>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and Reflection</w:t>
      </w:r>
    </w:p>
    <w:p w:rsidR="00000000" w:rsidDel="00000000" w:rsidP="00000000" w:rsidRDefault="00000000" w:rsidRPr="00000000" w14:paraId="000000D3">
      <w:pPr>
        <w:spacing w:line="360" w:lineRule="auto"/>
        <w:ind w:firstLine="8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preserve equity and challenge systemic inequalities affecting the vulnerable populations, an integrative approach is required. This is to make sure women have proper access to health care services. The challenges encountered while preparing this project included dealing with sensitive, cultural and ethical issues and recognizing the gap between theory and practice. Consequently, to make this project effective, it is fundamental to take the ideology of this community into consideration, so that insightful and efficient solutions are implemented.  Overall, as a global citizen, it is important to advocate for the reforms that reframe women’s healthcare not as a privilege, but as a fundamental right so that women’s struggles will be eradicated.</w:t>
      </w:r>
    </w:p>
    <w:p w:rsidR="00000000" w:rsidDel="00000000" w:rsidP="00000000" w:rsidRDefault="00000000" w:rsidRPr="00000000" w14:paraId="000000D4">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D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Appiah, K. A. (2006). The Counter-Cosmopolitans. In Cosmopolitanism Ethics in the World of</w:t>
      </w:r>
    </w:p>
    <w:p w:rsidR="00000000" w:rsidDel="00000000" w:rsidP="00000000" w:rsidRDefault="00000000" w:rsidRPr="00000000" w14:paraId="000000DA">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Strangers. W. W Norton.</w:t>
      </w:r>
    </w:p>
    <w:p w:rsidR="00000000" w:rsidDel="00000000" w:rsidP="00000000" w:rsidRDefault="00000000" w:rsidRPr="00000000" w14:paraId="000000D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Guglielmi, S., Seager, J., Mitu, K., &amp; Jones, N. (2024). Sexual and reproductive health for </w:t>
      </w:r>
    </w:p>
    <w:p w:rsidR="00000000" w:rsidDel="00000000" w:rsidP="00000000" w:rsidRDefault="00000000" w:rsidRPr="00000000" w14:paraId="000000DC">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Rohingya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people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living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Bangladesh</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sz w:val="24"/>
            <w:szCs w:val="24"/>
            <w:rtl w:val="0"/>
          </w:rPr>
          <w:t xml:space="preserve">https://gage.odi.org/wp-content/uploads/2024/04/Bangladesh-SRH-Midline-Report-2024-WEB50.pdf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M. N., Khanam, S. J., &amp; Alam, M. B. (2024). Exploring the impact of preconception care</w:t>
      </w:r>
    </w:p>
    <w:p w:rsidR="00000000" w:rsidDel="00000000" w:rsidP="00000000" w:rsidRDefault="00000000" w:rsidRPr="00000000" w14:paraId="000000DE">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unintended pregnancy on access to antenatal healthcare services among Rohingya </w:t>
      </w:r>
    </w:p>
    <w:p w:rsidR="00000000" w:rsidDel="00000000" w:rsidP="00000000" w:rsidRDefault="00000000" w:rsidRPr="00000000" w14:paraId="000000DF">
      <w:pPr>
        <w:spacing w:after="240" w:before="24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women: Insights from a cross</w:t>
      </w:r>
      <w:r w:rsidDel="00000000" w:rsidR="00000000" w:rsidRPr="00000000">
        <w:rPr>
          <w:rFonts w:ascii="Times New Roman" w:cs="Times New Roman" w:eastAsia="Times New Roman" w:hAnsi="Times New Roman"/>
          <w:sz w:val="24"/>
          <w:szCs w:val="24"/>
          <w:highlight w:val="white"/>
          <w:rtl w:val="0"/>
        </w:rPr>
        <w:t xml:space="preserve">-sectional survey. </w:t>
      </w:r>
      <w:r w:rsidDel="00000000" w:rsidR="00000000" w:rsidRPr="00000000">
        <w:rPr>
          <w:rFonts w:ascii="Times New Roman" w:cs="Times New Roman" w:eastAsia="Times New Roman" w:hAnsi="Times New Roman"/>
          <w:i w:val="1"/>
          <w:sz w:val="24"/>
          <w:szCs w:val="24"/>
          <w:highlight w:val="white"/>
          <w:rtl w:val="0"/>
        </w:rPr>
        <w:t xml:space="preserve">Journal of Migration and Health</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9</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E0">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100213. </w:t>
      </w:r>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Parmar, P. K., Jin, R. O., Walsh, M., &amp; Scott, J. (2019). Mortality in Rohingya refugee camps in </w:t>
      </w:r>
    </w:p>
    <w:p w:rsidR="00000000" w:rsidDel="00000000" w:rsidP="00000000" w:rsidRDefault="00000000" w:rsidRPr="00000000" w14:paraId="000000E2">
      <w:pPr>
        <w:spacing w:line="360" w:lineRule="auto"/>
        <w:ind w:firstLine="720"/>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Bangladesh: historical, social, and political context. </w:t>
      </w:r>
      <w:r w:rsidDel="00000000" w:rsidR="00000000" w:rsidRPr="00000000">
        <w:rPr>
          <w:rFonts w:ascii="Times New Roman" w:cs="Times New Roman" w:eastAsia="Times New Roman" w:hAnsi="Times New Roman"/>
          <w:i w:val="1"/>
          <w:sz w:val="24"/>
          <w:szCs w:val="24"/>
          <w:highlight w:val="white"/>
          <w:rtl w:val="0"/>
        </w:rPr>
        <w:t xml:space="preserve">Sexual and reproductive health </w:t>
      </w:r>
    </w:p>
    <w:p w:rsidR="00000000" w:rsidDel="00000000" w:rsidP="00000000" w:rsidRDefault="00000000" w:rsidRPr="00000000" w14:paraId="000000E3">
      <w:pPr>
        <w:spacing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matters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27</w:t>
      </w:r>
      <w:r w:rsidDel="00000000" w:rsidR="00000000" w:rsidRPr="00000000">
        <w:rPr>
          <w:rFonts w:ascii="Times New Roman" w:cs="Times New Roman" w:eastAsia="Times New Roman" w:hAnsi="Times New Roman"/>
          <w:sz w:val="24"/>
          <w:szCs w:val="24"/>
          <w:highlight w:val="white"/>
          <w:rtl w:val="0"/>
        </w:rPr>
        <w:t xml:space="preserve">(2), 39-49.</w:t>
      </w:r>
    </w:p>
    <w:p w:rsidR="00000000" w:rsidDel="00000000" w:rsidP="00000000" w:rsidRDefault="00000000" w:rsidRPr="00000000" w14:paraId="000000E4">
      <w:pPr>
        <w:spacing w:line="36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Root, R. (2025, January 2). </w:t>
      </w:r>
      <w:r w:rsidDel="00000000" w:rsidR="00000000" w:rsidRPr="00000000">
        <w:rPr>
          <w:rFonts w:ascii="Times New Roman" w:cs="Times New Roman" w:eastAsia="Times New Roman" w:hAnsi="Times New Roman"/>
          <w:i w:val="1"/>
          <w:sz w:val="24"/>
          <w:szCs w:val="24"/>
          <w:rtl w:val="0"/>
        </w:rPr>
        <w:t xml:space="preserve">Threadbare facilities, high mortality, cats in the corridors: The </w:t>
      </w:r>
    </w:p>
    <w:p w:rsidR="00000000" w:rsidDel="00000000" w:rsidP="00000000" w:rsidRDefault="00000000" w:rsidRPr="00000000" w14:paraId="000000E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realities of life for new Rohingya mothers in Cox’s Bazar</w:t>
      </w:r>
      <w:r w:rsidDel="00000000" w:rsidR="00000000" w:rsidRPr="00000000">
        <w:rPr>
          <w:rFonts w:ascii="Times New Roman" w:cs="Times New Roman" w:eastAsia="Times New Roman" w:hAnsi="Times New Roman"/>
          <w:sz w:val="24"/>
          <w:szCs w:val="24"/>
          <w:rtl w:val="0"/>
        </w:rPr>
        <w:t xml:space="preserve">. The Guardian. </w:t>
      </w:r>
    </w:p>
    <w:p w:rsidR="00000000" w:rsidDel="00000000" w:rsidP="00000000" w:rsidRDefault="00000000" w:rsidRPr="00000000" w14:paraId="000000E7">
      <w:pPr>
        <w:spacing w:line="360" w:lineRule="auto"/>
        <w:ind w:firstLine="72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rtl w:val="0"/>
          </w:rPr>
          <w:t xml:space="preserve">https://www.theguardian.com/global-development/2025/jan/02/threadbare-facilities-high-</w:t>
        </w:r>
      </w:hyperlink>
      <w:r w:rsidDel="00000000" w:rsidR="00000000" w:rsidRPr="00000000">
        <w:rPr>
          <w:rtl w:val="0"/>
        </w:rPr>
      </w:r>
    </w:p>
    <w:p w:rsidR="00000000" w:rsidDel="00000000" w:rsidP="00000000" w:rsidRDefault="00000000" w:rsidRPr="00000000" w14:paraId="000000E8">
      <w:pPr>
        <w:spacing w:line="360" w:lineRule="auto"/>
        <w:ind w:firstLine="72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rtl w:val="0"/>
          </w:rPr>
          <w:t xml:space="preserve">mortality-cats-in-the-corridors-the-realities-of-life-for-new-rohingya-mothers-in-coxs-baz</w:t>
        </w:r>
      </w:hyperlink>
      <w:r w:rsidDel="00000000" w:rsidR="00000000" w:rsidRPr="00000000">
        <w:rPr>
          <w:rtl w:val="0"/>
        </w:rPr>
      </w:r>
    </w:p>
    <w:p w:rsidR="00000000" w:rsidDel="00000000" w:rsidP="00000000" w:rsidRDefault="00000000" w:rsidRPr="00000000" w14:paraId="000000E9">
      <w:pPr>
        <w:spacing w:line="360" w:lineRule="auto"/>
        <w:ind w:firstLine="72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rtl w:val="0"/>
          </w:rPr>
          <w:t xml:space="preserve">ar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United Nations Population Fund. (2019). </w:t>
      </w:r>
      <w:r w:rsidDel="00000000" w:rsidR="00000000" w:rsidRPr="00000000">
        <w:rPr>
          <w:rFonts w:ascii="Times New Roman" w:cs="Times New Roman" w:eastAsia="Times New Roman" w:hAnsi="Times New Roman"/>
          <w:i w:val="1"/>
          <w:sz w:val="24"/>
          <w:szCs w:val="24"/>
          <w:rtl w:val="0"/>
        </w:rPr>
        <w:t xml:space="preserve">Delivering supplies when crisis strikes: Reproductive </w:t>
      </w:r>
    </w:p>
    <w:p w:rsidR="00000000" w:rsidDel="00000000" w:rsidP="00000000" w:rsidRDefault="00000000" w:rsidRPr="00000000" w14:paraId="000000EC">
      <w:pPr>
        <w:spacing w:line="36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health in humanitarian settings. </w:t>
      </w:r>
    </w:p>
    <w:p w:rsidR="00000000" w:rsidDel="00000000" w:rsidP="00000000" w:rsidRDefault="00000000" w:rsidRPr="00000000" w14:paraId="000000ED">
      <w:pPr>
        <w:spacing w:line="360" w:lineRule="auto"/>
        <w:ind w:firstLine="72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sz w:val="24"/>
            <w:szCs w:val="24"/>
            <w:rtl w:val="0"/>
          </w:rPr>
          <w:t xml:space="preserve">https://www.unfpa.org/sites/default/files/resource-pdf/18-291-DeliveringSuppliesCrisis-R</w:t>
        </w:r>
      </w:hyperlink>
      <w:r w:rsidDel="00000000" w:rsidR="00000000" w:rsidRPr="00000000">
        <w:rPr>
          <w:rtl w:val="0"/>
        </w:rPr>
      </w:r>
    </w:p>
    <w:p w:rsidR="00000000" w:rsidDel="00000000" w:rsidP="00000000" w:rsidRDefault="00000000" w:rsidRPr="00000000" w14:paraId="000000EE">
      <w:pPr>
        <w:spacing w:line="360" w:lineRule="auto"/>
        <w:ind w:firstLine="72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sz w:val="24"/>
            <w:szCs w:val="24"/>
            <w:rtl w:val="0"/>
          </w:rPr>
          <w:t xml:space="preserve">ohingya-finalweb.pdf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3" w:type="default"/>
      <w:headerReference r:id="rId1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spacing w:line="360" w:lineRule="auto"/>
      <w:ind w:firstLine="7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unfpa.org/sites/default/files/resource-pdf/18-291-DeliveringSuppliesCrisis-Rohingya-finalweb.pdf" TargetMode="External"/><Relationship Id="rId10" Type="http://schemas.openxmlformats.org/officeDocument/2006/relationships/hyperlink" Target="https://www.theguardian.com/global-development/2025/jan/02/threadbare-facilities-high-mortality-cats-in-the-corridors-the-realities-of-life-for-new-rohingya-mothers-in-coxs-bazar" TargetMode="External"/><Relationship Id="rId13" Type="http://schemas.openxmlformats.org/officeDocument/2006/relationships/header" Target="header1.xml"/><Relationship Id="rId12" Type="http://schemas.openxmlformats.org/officeDocument/2006/relationships/hyperlink" Target="https://www.unfpa.org/sites/default/files/resource-pdf/18-291-DeliveringSuppliesCrisis-Rohingya-finalweb.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guardian.com/global-development/2025/jan/02/threadbare-facilities-high-mortality-cats-in-the-corridors-the-realities-of-life-for-new-rohingya-mothers-in-coxs-bazar" TargetMode="Externa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age.odi.org/wp-content/uploads/2024/04/Bangladesh-SRH-Midline-Report-2024-WEB50.pdf" TargetMode="External"/><Relationship Id="rId8" Type="http://schemas.openxmlformats.org/officeDocument/2006/relationships/hyperlink" Target="https://www.theguardian.com/global-development/2025/jan/02/threadbare-facilities-high-mortality-cats-in-the-corridors-the-realities-of-life-for-new-rohingya-mothers-in-coxs-baz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