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numPr>
          <w:numId w:val="0"/>
        </w:numPr>
        <w:ind w:leftChars="0"/>
        <w:jc w:val="center"/>
        <w:rPr>
          <w:rFonts w:hint="eastAsia"/>
          <w:b/>
          <w:bCs/>
          <w:lang w:val="en-US" w:eastAsia="zh-CN"/>
        </w:rPr>
      </w:pPr>
      <w:r>
        <w:rPr>
          <w:rFonts w:hint="eastAsia"/>
          <w:b/>
          <w:bCs/>
          <w:lang w:val="en-US" w:eastAsia="zh-CN"/>
        </w:rPr>
        <w:t>环球银号优势</w:t>
      </w:r>
    </w:p>
    <w:p>
      <w:pPr>
        <w:widowControl w:val="0"/>
        <w:numPr>
          <w:numId w:val="0"/>
        </w:numPr>
        <w:ind w:leftChars="0"/>
        <w:jc w:val="center"/>
        <w:rPr>
          <w:rFonts w:hint="eastAsia"/>
          <w:b/>
          <w:bCs/>
          <w:lang w:val="en-US" w:eastAsia="zh-CN"/>
        </w:rPr>
      </w:pPr>
    </w:p>
    <w:p>
      <w:pPr>
        <w:widowControl w:val="0"/>
        <w:numPr>
          <w:ilvl w:val="0"/>
          <w:numId w:val="1"/>
        </w:numPr>
        <w:ind w:leftChars="0"/>
        <w:jc w:val="left"/>
        <w:rPr>
          <w:rFonts w:hint="default"/>
          <w:lang w:val="en-US" w:eastAsia="zh-CN"/>
        </w:rPr>
      </w:pPr>
      <w:r>
        <w:rPr>
          <w:rFonts w:hint="default"/>
          <w:lang w:val="en-US" w:eastAsia="zh-CN"/>
        </w:rPr>
        <w:t>合法资质 ＆高安全性</w:t>
      </w:r>
      <w:r>
        <w:rPr>
          <w:rFonts w:hint="eastAsia"/>
          <w:lang w:val="en-US" w:eastAsia="zh-CN"/>
        </w:rPr>
        <w:t>：</w:t>
      </w:r>
      <w:r>
        <w:rPr>
          <w:rFonts w:hint="default"/>
          <w:lang w:val="en-US" w:eastAsia="zh-CN"/>
        </w:rPr>
        <w:t>环球银号是由澳大利亚政府批准的专业外币汇兑和国际汇款的金融服务公司，客户在环球银号所做的交易符合澳大利亚法律的規定，环球银号也会受到澳大利亚金融交易报告与分析中心（AUSTRAC）的监管。</w:t>
      </w:r>
    </w:p>
    <w:p>
      <w:pPr>
        <w:widowControl w:val="0"/>
        <w:numPr>
          <w:ilvl w:val="0"/>
          <w:numId w:val="0"/>
        </w:numPr>
        <w:jc w:val="left"/>
        <w:rPr>
          <w:rFonts w:hint="default"/>
          <w:lang w:val="en-US" w:eastAsia="zh-CN"/>
        </w:rPr>
      </w:pPr>
    </w:p>
    <w:p>
      <w:pPr>
        <w:widowControl w:val="0"/>
        <w:numPr>
          <w:ilvl w:val="0"/>
          <w:numId w:val="0"/>
        </w:numPr>
        <w:jc w:val="left"/>
        <w:rPr>
          <w:rFonts w:hint="default"/>
          <w:lang w:val="en-US" w:eastAsia="zh-CN"/>
        </w:rPr>
      </w:pPr>
    </w:p>
    <w:p>
      <w:pPr>
        <w:widowControl w:val="0"/>
        <w:numPr>
          <w:ilvl w:val="0"/>
          <w:numId w:val="1"/>
        </w:numPr>
        <w:ind w:left="0" w:leftChars="0" w:firstLine="0" w:firstLineChars="0"/>
        <w:jc w:val="left"/>
        <w:rPr>
          <w:rFonts w:hint="default"/>
          <w:lang w:val="en-US" w:eastAsia="zh-CN"/>
        </w:rPr>
      </w:pPr>
      <w:r>
        <w:rPr>
          <w:rFonts w:hint="default"/>
          <w:lang w:val="en-US" w:eastAsia="zh-CN"/>
        </w:rPr>
        <w:t>个人隐私保障</w:t>
      </w:r>
      <w:r>
        <w:rPr>
          <w:rFonts w:hint="eastAsia"/>
          <w:lang w:val="en-US" w:eastAsia="zh-CN"/>
        </w:rPr>
        <w:t>：</w:t>
      </w:r>
      <w:r>
        <w:rPr>
          <w:rFonts w:hint="default"/>
          <w:lang w:val="en-US" w:eastAsia="zh-CN"/>
        </w:rPr>
        <w:t>环球银号承诺并且严格邈守澳大利亚个人信息法以确保客户个人信息的安全。同时，公司定期提供培训以加强员工对保护客户个人信息的意识。</w:t>
      </w:r>
    </w:p>
    <w:p>
      <w:pPr>
        <w:widowControl w:val="0"/>
        <w:numPr>
          <w:ilvl w:val="0"/>
          <w:numId w:val="0"/>
        </w:numPr>
        <w:jc w:val="left"/>
        <w:rPr>
          <w:rFonts w:hint="eastAsia"/>
          <w:lang w:val="en-US" w:eastAsia="zh-CN"/>
        </w:rPr>
      </w:pPr>
    </w:p>
    <w:p>
      <w:pPr>
        <w:widowControl w:val="0"/>
        <w:numPr>
          <w:ilvl w:val="0"/>
          <w:numId w:val="0"/>
        </w:numPr>
        <w:jc w:val="left"/>
        <w:rPr>
          <w:rFonts w:hint="eastAsia"/>
          <w:lang w:val="en-US" w:eastAsia="zh-CN"/>
        </w:rPr>
      </w:pPr>
    </w:p>
    <w:p>
      <w:pPr>
        <w:widowControl w:val="0"/>
        <w:numPr>
          <w:ilvl w:val="0"/>
          <w:numId w:val="1"/>
        </w:numPr>
        <w:ind w:left="0" w:leftChars="0" w:firstLine="0" w:firstLineChars="0"/>
        <w:jc w:val="left"/>
        <w:rPr>
          <w:rFonts w:hint="default"/>
          <w:lang w:val="en-US" w:eastAsia="zh-CN"/>
        </w:rPr>
      </w:pPr>
      <w:r>
        <w:rPr>
          <w:rFonts w:hint="default"/>
          <w:lang w:val="en-US" w:eastAsia="zh-CN"/>
        </w:rPr>
        <w:t>多国货币，双向汇兑</w:t>
      </w:r>
      <w:r>
        <w:rPr>
          <w:rFonts w:hint="eastAsia"/>
          <w:lang w:val="en-US" w:eastAsia="zh-CN"/>
        </w:rPr>
        <w:t>：</w:t>
      </w:r>
      <w:r>
        <w:rPr>
          <w:rFonts w:hint="default"/>
          <w:lang w:val="en-US" w:eastAsia="zh-CN"/>
        </w:rPr>
        <w:t>环球银号为客户提供全球主要G10和部分东南亚货币的双向汇兑和国际汇款服务，交易的币种包括美元、澳币和人民币与欧元、英镑、港市、新加坡币、加拿大币、新西兰市、日元等币种的双向汇兑。</w:t>
      </w:r>
    </w:p>
    <w:p>
      <w:pPr>
        <w:widowControl w:val="0"/>
        <w:numPr>
          <w:ilvl w:val="0"/>
          <w:numId w:val="0"/>
        </w:numPr>
        <w:jc w:val="left"/>
        <w:rPr>
          <w:rFonts w:hint="default"/>
          <w:lang w:val="en-US" w:eastAsia="zh-CN"/>
        </w:rPr>
      </w:pPr>
    </w:p>
    <w:p>
      <w:pPr>
        <w:widowControl w:val="0"/>
        <w:numPr>
          <w:ilvl w:val="0"/>
          <w:numId w:val="1"/>
        </w:numPr>
        <w:ind w:left="0" w:leftChars="0" w:firstLine="0" w:firstLineChars="0"/>
        <w:jc w:val="left"/>
        <w:rPr>
          <w:rFonts w:hint="default"/>
          <w:lang w:val="en-US" w:eastAsia="zh-CN"/>
        </w:rPr>
      </w:pPr>
      <w:bookmarkStart w:id="0" w:name="_GoBack"/>
      <w:bookmarkEnd w:id="0"/>
      <w:r>
        <w:rPr>
          <w:rFonts w:hint="default"/>
          <w:lang w:val="en-US" w:eastAsia="zh-CN"/>
        </w:rPr>
        <w:t>最有竞争力的汇率</w:t>
      </w:r>
      <w:r>
        <w:rPr>
          <w:rFonts w:hint="eastAsia"/>
          <w:lang w:val="en-US" w:eastAsia="zh-CN"/>
        </w:rPr>
        <w:t>：</w:t>
      </w:r>
      <w:r>
        <w:rPr>
          <w:rFonts w:hint="default"/>
          <w:lang w:val="en-US" w:eastAsia="zh-CN"/>
        </w:rPr>
        <w:t>环球银号力争为客户提供最有竞争力的汇率，我们最大程度上降低您的成本，不收取任何手续费，不受国内涉外汇款限制，交易模式灵活。绝大多数外汇交易可在24-48小时内到达客户指定的账户。</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4594CA"/>
    <w:multiLevelType w:val="singleLevel"/>
    <w:tmpl w:val="ED4594C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I1NWViYzk1ZDRiNThkNmFhYjExY2ZiNWZhOWFjZjkifQ=="/>
  </w:docVars>
  <w:rsids>
    <w:rsidRoot w:val="00000000"/>
    <w:rsid w:val="47CD3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Office_12.1.0.15933_F1E327BC-269C-435d-A152-05C5408002CA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2023-12-13T09:52:25Z</dcterms:created>
  <dc:creator>Alienware</dc:creator>
  <cp:lastModifiedBy>夏之墓碑铭1413728017</cp:lastModifiedBy>
  <dcterms:modified xsi:type="dcterms:W3CDTF">2023-12-13T09:52:59Z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2052-12.1.0.15933</vt:lpwstr>
  </property>
  <property fmtid="{D5CDD505-2E9C-101B-9397-08002B2CF9AE}" pid="3" name="ICV">
    <vt:lpwstr>95DF35F9DD3D4874BA5F305B3FC220EB_12</vt:lpwstr>
  </property>
</Properties>
</file>