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85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noHBand="0" w:noVBand="0" w:firstColumn="0" w:lastRow="0" w:lastColumn="0" w:firstRow="0"/>
      </w:tblPr>
      <w:tblGrid>
        <w:gridCol w:w="1800"/>
        <w:gridCol w:w="1875"/>
        <w:gridCol w:w="1860"/>
        <w:gridCol w:w="1875"/>
        <w:gridCol w:w="1875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16" w:space="0" w:color="D3D3D3"/>
              <w:left w:val="single" w:sz="6" w:space="0" w:color="D3D3D3"/>
              <w:bottom w:val="single" w:sz="1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w="1875" w:type="dxa"/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55,327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1860" w:type="dxa"/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2000</w:t>
            </w:r>
            <w:r>
              <w:rPr>
                <w:rFonts w:ascii="Calibri" w:hAnsi="Calibri"/>
                <w:sz w:val="20"/>
              </w:rPr>
              <w:t xml:space="preserve"> N = 26,412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1875" w:type="dxa"/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2010</w:t>
            </w:r>
            <w:r>
              <w:rPr>
                <w:rFonts w:ascii="Calibri" w:hAnsi="Calibri"/>
                <w:sz w:val="20"/>
              </w:rPr>
              <w:t xml:space="preserve"> N = 2,026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1875" w:type="dxa"/>
            <w:tcBorders>
              <w:top w:val="single" w:sz="16" w:space="0" w:color="D3D3D3"/>
              <w:bottom w:val="single" w:sz="1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2022</w:t>
            </w:r>
            <w:r>
              <w:rPr>
                <w:rFonts w:ascii="Calibri" w:hAnsi="Calibri"/>
                <w:sz w:val="20"/>
              </w:rPr>
              <w:t xml:space="preserve"> N = 26,889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Population Density (pop/sq.km)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31,683.50 (69,589.10)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34,656.22 (92,470.26)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28,576.88 (65,513.14)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28,997.60 (35,007.58)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Log Population Density (Y)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9.72 (1.21)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9.70 (1.12)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9.05 (2.05)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9.78 (1.19)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Average Nominal Income (BRL)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5,344.62 (5,385.79)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5,578.62 (5,728.81)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3,640.02 (4,398.43)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5,243.21 (5,070.37)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Log Average Income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8.26 (0.76)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8.31 (0.73)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7.77 (0.94)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8.24 (0.76)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Households in Apartments (%)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31.48 (37.09)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28.99 (36.79)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35.38 (40.03)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33.64 (36.99)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Adequate Sewage Coverage (%)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92.35 (21.06)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87.79 (26.47)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83.99 (30.36)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97.46 (10.16)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Household Size (Persons/HH)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2.88 (0.74)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3.45 (0.49)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3.23 (0.53)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2.29 (0.45)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Distance to Train/Subway (km)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3.45 (2.23)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3.39 (2.14)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4.15 (3.02)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3.44 (2.24)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Distance to Bus Terminal (km)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2.62 (1.40)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2.57 (1.36)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2.95 (1.77)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2.64 (1.41)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Area overlapping Slums (%)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8.49 (26.79)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9.60 (30.63)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7.70 (21.51)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7.47 (22.78)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Area overlapping Tenements (%)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0.12 (1.49)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0.18 (1.78)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0.03 (0.55)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0.08 (1.19)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Area overlapping Irregular Lots (%)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24.23 (50.13)</w:t>
            </w:r>
          </w:p>
        </w:tc>
        <w:tc>
          <w:tcPr>
            <w:tcW w:w="186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31.23 (62.00)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19.56 (35.26)</w:t>
            </w:r>
          </w:p>
        </w:tc>
        <w:tc>
          <w:tcPr>
            <w:tcW w:w="187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17.72 (34.79)</w:t>
            </w:r>
          </w:p>
        </w:tc>
      </w:tr>
      <w:tr>
        <w:trPr>
          <w:cantSplit w:val="true"/>
        </w:trPr>
        <w:tc>
          <w:tcPr>
            <w:tcW w:w="9285" w:type="dxa"/>
            <w:gridSpan w:val="5"/>
            <w:tcBorders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Mean (SD)</w:t>
            </w:r>
          </w:p>
        </w:tc>
      </w:tr>
    </w:tbl>
    <w:p>
      <w:pPr>
        <w:pStyle w:val="FirstParagraph"/>
        <w:spacing w:before="180" w:after="1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162</Words>
  <Characters>950</Characters>
  <CharactersWithSpaces>1046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2026-04-21T23:40:08Z</dcterms:created>
  <dc:creator/>
  <dc:description/>
  <dc:language>en-US</dc:language>
  <cp:lastModifiedBy/>
  <dcterms:modified xsi:type="dcterms:W3CDTF">2026-04-21T22:34:33Z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