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jc w:val="center"/>
      </w:pPr>
      <w:r>
        <w:rPr>
          <w:rFonts w:ascii="Times New Roman" w:hAnsi="Times New Roman" w:eastAsia="黑体"/>
          <w:b/>
          <w:i w:val="0"/>
          <w:color w:val="1A1A1A"/>
          <w:sz w:val="30"/>
        </w:rPr>
        <w:t>速效救心丸与复方丹参滴丸的对比证据评价：适应症、起效特征、证据强度与"可连续服用3个月"表述的溯源</w:t>
      </w:r>
    </w:p>
    <w:p>
      <w:pPr>
        <w:spacing w:after="240" w:line="360" w:lineRule="auto"/>
        <w:jc w:val="center"/>
      </w:pPr>
      <w:r>
        <w:rPr>
          <w:rFonts w:ascii="Times New Roman" w:hAnsi="Times New Roman" w:eastAsia="宋体"/>
          <w:b/>
          <w:i w:val="0"/>
          <w:color w:val="1A1A1A"/>
          <w:sz w:val="24"/>
        </w:rPr>
        <w:t>Comparative Evidence Appraisal of Suxiao Jiuxin Pill and Compound Danshen Dripping Pill: Verifiable Differences in Indications, Onset Characteristics and Strength of Evidence, with Provenance Tracing of the "Continuous Three-Month Use" Claim</w:t>
      </w:r>
    </w:p>
    <w:p>
      <w:pPr>
        <w:spacing w:after="120" w:line="312" w:lineRule="auto" w:before="240"/>
      </w:pPr>
      <w:r>
        <w:rPr>
          <w:rFonts w:ascii="Times New Roman" w:hAnsi="Times New Roman" w:eastAsia="黑体"/>
          <w:b/>
          <w:i w:val="0"/>
          <w:color w:val="1A1A1A"/>
          <w:sz w:val="24"/>
        </w:rPr>
        <w:t>摘要</w:t>
      </w:r>
    </w:p>
    <w:p>
      <w:pPr>
        <w:spacing w:after="120" w:line="360" w:lineRule="auto"/>
      </w:pPr>
      <w:r>
        <w:rPr>
          <w:rFonts w:ascii="Times New Roman" w:hAnsi="Times New Roman" w:eastAsia="宋体"/>
          <w:b/>
          <w:i w:val="0"/>
          <w:color w:val="1A1A1A"/>
          <w:sz w:val="21"/>
        </w:rPr>
        <w:t>目的</w:t>
      </w:r>
      <w:r>
        <w:rPr>
          <w:rFonts w:ascii="Times New Roman" w:hAnsi="Times New Roman" w:eastAsia="宋体"/>
          <w:b w:val="0"/>
          <w:i w:val="0"/>
          <w:color w:val="1A1A1A"/>
          <w:sz w:val="21"/>
        </w:rPr>
        <w:t xml:space="preserve"> 对比评价速效救心丸与复方丹参滴丸在说明书适应症、起效特征与临床证据强度方面的可核验差异，并追溯"本品可连续服用3个月"疗程表述的出处。</w:t>
      </w:r>
      <w:r>
        <w:rPr>
          <w:rFonts w:ascii="Times New Roman" w:hAnsi="Times New Roman" w:eastAsia="宋体"/>
          <w:b/>
          <w:i w:val="0"/>
          <w:color w:val="1A1A1A"/>
          <w:sz w:val="21"/>
        </w:rPr>
        <w:t>方法</w:t>
      </w:r>
      <w:r>
        <w:rPr>
          <w:rFonts w:ascii="Times New Roman" w:hAnsi="Times New Roman" w:eastAsia="宋体"/>
          <w:b w:val="0"/>
          <w:i w:val="0"/>
          <w:color w:val="1A1A1A"/>
          <w:sz w:val="21"/>
        </w:rPr>
        <w:t xml:space="preserve"> 于2026年8月4日对PubMed、Europe PMC、Crossref、中文文献与指南共识题录索引、国家药品监督管理局（NMPA）药品说明书索引、临床试验注册库及官方健康指导页面进行系统性检索，共执行28个检索式，识别235条记录，去重后154条进入筛选，最终纳入29个来源；按来源获取深度分级使用证据，定量结论均绑定可定位的原文表述，未能核验者如实标注。</w:t>
      </w:r>
      <w:r>
        <w:rPr>
          <w:rFonts w:ascii="Times New Roman" w:hAnsi="Times New Roman" w:eastAsia="宋体"/>
          <w:b/>
          <w:i w:val="0"/>
          <w:color w:val="1A1A1A"/>
          <w:sz w:val="21"/>
        </w:rPr>
        <w:t>结果</w:t>
      </w:r>
      <w:r>
        <w:rPr>
          <w:rFonts w:ascii="Times New Roman" w:hAnsi="Times New Roman" w:eastAsia="宋体"/>
          <w:b w:val="0"/>
          <w:i w:val="0"/>
          <w:color w:val="1A1A1A"/>
          <w:sz w:val="21"/>
        </w:rPr>
        <w:t xml:space="preserve"> 两药功能主治、禁忌与适应症范围的差异可在说明书索引记录层面核验，用法用量与疗程字段未能核验。速效救心丸"舌下含服快速缓解心绞痛"仅有文献转述与动物实验证据，无人体起效时间对比数据。两药疗效证据均以症状与心电图改善等替代终点为主，方法学质量低，证据等级极低至低。未检索到两药头对头随机对照试验；网络meta分析中两药节点证据量悬殊（6项对30项试验），其排序不能作为优劣依据。"可连续服用3个月"在说明书、指南与共识、临床试验注册及研究文献四个层面均未能追溯到可核验出处。</w:t>
      </w:r>
      <w:r>
        <w:rPr>
          <w:rFonts w:ascii="Times New Roman" w:hAnsi="Times New Roman" w:eastAsia="宋体"/>
          <w:b/>
          <w:i w:val="0"/>
          <w:color w:val="1A1A1A"/>
          <w:sz w:val="21"/>
        </w:rPr>
        <w:t>结论</w:t>
      </w:r>
      <w:r>
        <w:rPr>
          <w:rFonts w:ascii="Times New Roman" w:hAnsi="Times New Roman" w:eastAsia="宋体"/>
          <w:b w:val="0"/>
          <w:i w:val="0"/>
          <w:color w:val="1A1A1A"/>
          <w:sz w:val="21"/>
        </w:rPr>
        <w:t xml:space="preserve"> 两药的可核验差异限于说明书部分字段及各自独立的低质量证据体系；两药比较性结论与"3个月"疗程表述均缺乏证据支撑，临床与公众沟通应表述为"按说明书与医嘱使用，疗程依病情与随访而定"。</w:t>
      </w:r>
    </w:p>
    <w:p>
      <w:pPr>
        <w:spacing w:after="120" w:line="360" w:lineRule="auto"/>
      </w:pPr>
      <w:r>
        <w:rPr>
          <w:rFonts w:ascii="Times New Roman" w:hAnsi="Times New Roman" w:eastAsia="宋体"/>
          <w:b/>
          <w:i w:val="0"/>
          <w:color w:val="1A1A1A"/>
          <w:sz w:val="21"/>
        </w:rPr>
        <w:t>关键词：</w:t>
      </w:r>
      <w:r>
        <w:rPr>
          <w:rFonts w:ascii="Times New Roman" w:hAnsi="Times New Roman" w:eastAsia="宋体"/>
          <w:b w:val="0"/>
          <w:i w:val="0"/>
          <w:color w:val="1A1A1A"/>
          <w:sz w:val="21"/>
        </w:rPr>
        <w:t xml:space="preserve"> 速效救心丸；复方丹参滴丸；心绞痛；证据评价；网络meta分析；表述溯源；中成药</w:t>
      </w:r>
    </w:p>
    <w:p>
      <w:pPr>
        <w:spacing w:after="120" w:line="312" w:lineRule="auto" w:before="240"/>
      </w:pPr>
      <w:r>
        <w:rPr>
          <w:rFonts w:ascii="Times New Roman" w:hAnsi="Times New Roman" w:eastAsia="黑体"/>
          <w:b/>
          <w:i w:val="0"/>
          <w:color w:val="1A1A1A"/>
          <w:sz w:val="24"/>
        </w:rPr>
        <w:t>Abstract</w:t>
      </w:r>
    </w:p>
    <w:p>
      <w:pPr>
        <w:spacing w:after="120" w:line="360" w:lineRule="auto"/>
      </w:pPr>
      <w:r>
        <w:rPr>
          <w:rFonts w:ascii="Times New Roman" w:hAnsi="Times New Roman" w:eastAsia="宋体"/>
          <w:b/>
          <w:i w:val="0"/>
          <w:color w:val="1A1A1A"/>
          <w:sz w:val="21"/>
        </w:rPr>
        <w:t>Objective</w:t>
      </w:r>
      <w:r>
        <w:rPr>
          <w:rFonts w:ascii="Times New Roman" w:hAnsi="Times New Roman" w:eastAsia="宋体"/>
          <w:b w:val="0"/>
          <w:i w:val="0"/>
          <w:color w:val="1A1A1A"/>
          <w:sz w:val="21"/>
        </w:rPr>
        <w:t xml:space="preserve"> To comparatively appraise the verifiable differences between Suxiao Jiuxin Pill (SJP) and Compound Danshen Dripping Pill (CDDP) in labeled indications, onset characteristics and strength of clinical evidence, and to trace the provenance of the claim that the product "may be taken continuously for three months". </w:t>
      </w:r>
      <w:r>
        <w:rPr>
          <w:rFonts w:ascii="Times New Roman" w:hAnsi="Times New Roman" w:eastAsia="宋体"/>
          <w:b/>
          <w:i w:val="0"/>
          <w:color w:val="1A1A1A"/>
          <w:sz w:val="21"/>
        </w:rPr>
        <w:t>Methods</w:t>
      </w:r>
      <w:r>
        <w:rPr>
          <w:rFonts w:ascii="Times New Roman" w:hAnsi="Times New Roman" w:eastAsia="宋体"/>
          <w:b w:val="0"/>
          <w:i w:val="0"/>
          <w:color w:val="1A1A1A"/>
          <w:sz w:val="21"/>
        </w:rPr>
        <w:t xml:space="preserve"> A systematic search was completed on 4 August 2026 across PubMed, Europe PMC, Crossref, Chinese bibliographic and guideline/consensus indexes, the National Medical Products Administration (NMPA) drug label index, clinical trial registries and an official public health guidance page. Twenty-eight queries identified 235 records; 154 remained after deduplication and 29 sources were included. Evidence was used under a tiered depth-of-access framework: every quantitative statement was anchored to locatable source wording, and unverifiable items were explicitly labeled as such. </w:t>
      </w:r>
      <w:r>
        <w:rPr>
          <w:rFonts w:ascii="Times New Roman" w:hAnsi="Times New Roman" w:eastAsia="宋体"/>
          <w:b/>
          <w:i w:val="0"/>
          <w:color w:val="1A1A1A"/>
          <w:sz w:val="21"/>
        </w:rPr>
        <w:t>Results</w:t>
      </w:r>
      <w:r>
        <w:rPr>
          <w:rFonts w:ascii="Times New Roman" w:hAnsi="Times New Roman" w:eastAsia="宋体"/>
          <w:b w:val="0"/>
          <w:i w:val="0"/>
          <w:color w:val="1A1A1A"/>
          <w:sz w:val="21"/>
        </w:rPr>
        <w:t xml:space="preserve"> Differences in labeled functions, contraindications and indication scope were verifiable at the level of label index records, whereas dosage and treatment-duration fields could not be verified. The statement that sublingual SJP provides rapid relief of angina rests on secondary citation and animal experiments only; no human comparative onset-time data were retrieved. Clinical evidence for both drugs is dominated by surrogate endpoints with low methodological quality (GRADE very low to low). No head-to-head randomized trial was identified; in network meta-analysis the two drugs contributed markedly unbalanced evidence (6 versus 30 trials), and rankings cannot support superiority claims. The "continuous three-month use" claim could not be traced to any verifiable source across drug labels, guidelines and consensus documents, trial registries, or research literature. </w:t>
      </w:r>
      <w:r>
        <w:rPr>
          <w:rFonts w:ascii="Times New Roman" w:hAnsi="Times New Roman" w:eastAsia="宋体"/>
          <w:b/>
          <w:i w:val="0"/>
          <w:color w:val="1A1A1A"/>
          <w:sz w:val="21"/>
        </w:rPr>
        <w:t>Conclusion</w:t>
      </w:r>
      <w:r>
        <w:rPr>
          <w:rFonts w:ascii="Times New Roman" w:hAnsi="Times New Roman" w:eastAsia="宋体"/>
          <w:b w:val="0"/>
          <w:i w:val="0"/>
          <w:color w:val="1A1A1A"/>
          <w:sz w:val="21"/>
        </w:rPr>
        <w:t xml:space="preserve"> The verifiable differences between the two drugs are confined to selected label fields and two separate bodies of low-quality evidence. Comparative claims and the "three-month" duration statement lack evidential support; clinical communication should state that the drugs are to be used according to the label and medical advice, with duration determined by the clinical course and follow-up.</w:t>
      </w:r>
    </w:p>
    <w:p>
      <w:pPr>
        <w:spacing w:after="120" w:line="360" w:lineRule="auto"/>
      </w:pPr>
      <w:r>
        <w:rPr>
          <w:rFonts w:ascii="Times New Roman" w:hAnsi="Times New Roman" w:eastAsia="宋体"/>
          <w:b/>
          <w:i w:val="0"/>
          <w:color w:val="1A1A1A"/>
          <w:sz w:val="21"/>
        </w:rPr>
        <w:t>Keywords:</w:t>
      </w:r>
      <w:r>
        <w:rPr>
          <w:rFonts w:ascii="Times New Roman" w:hAnsi="Times New Roman" w:eastAsia="宋体"/>
          <w:b w:val="0"/>
          <w:i w:val="0"/>
          <w:color w:val="1A1A1A"/>
          <w:sz w:val="21"/>
        </w:rPr>
        <w:t xml:space="preserve"> Suxiao Jiuxin Pill; Compound Danshen Dripping Pill; angina pectoris; evidence appraisal; network meta-analysis; claim provenance; Chinese patent medicine</w:t>
      </w:r>
    </w:p>
    <w:p>
      <w:pPr>
        <w:spacing w:after="120" w:line="312" w:lineRule="auto" w:before="240"/>
      </w:pPr>
      <w:r>
        <w:rPr>
          <w:rFonts w:ascii="Times New Roman" w:hAnsi="Times New Roman" w:eastAsia="黑体"/>
          <w:b/>
          <w:i w:val="0"/>
          <w:color w:val="1A1A1A"/>
          <w:sz w:val="26"/>
        </w:rPr>
        <w:t>1 引言</w:t>
      </w:r>
    </w:p>
    <w:p>
      <w:pPr>
        <w:spacing w:after="120" w:line="360" w:lineRule="auto"/>
        <w:ind w:firstLine="420"/>
      </w:pPr>
      <w:r>
        <w:rPr>
          <w:rFonts w:ascii="Times New Roman" w:hAnsi="Times New Roman" w:eastAsia="宋体"/>
          <w:b w:val="0"/>
          <w:i w:val="0"/>
          <w:color w:val="1A1A1A"/>
          <w:sz w:val="21"/>
        </w:rPr>
        <w:t>速效救心丸与复方丹参滴丸均为治疗冠心病心绞痛的常用口服中成药：前者由川芎与冰片组成</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，后者由丹参、三七与冰片组成</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两药在中医功能分类上同属"活血化瘀、理气止痛"类方药，剂型同为滴丸，临床均可舌下含服，因而在处方选择、患者咨询与公众传播中长期被并列讨论乃至相互替代。然而，"经常被比较"并不等于"存在可供比较的证据"。早在2008年，Cochrane协作网发表的系统评价即指出速效救心丸治疗心绞痛的证据质量低</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；此后两药各自积累了数量可观的随机对照试验与系统评价，并被同时纳入中成药联合西药治疗稳定型心绞痛的网络meta分析</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，但两药之间是否存在直接比较研究、现有间接比较能否支撑优劣判断、说明书层面的差异是否被准确转述，均缺乏系统核验。</w:t>
      </w:r>
    </w:p>
    <w:p>
      <w:pPr>
        <w:spacing w:after="120" w:line="360" w:lineRule="auto"/>
        <w:ind w:firstLine="420"/>
      </w:pPr>
      <w:r>
        <w:rPr>
          <w:rFonts w:ascii="Times New Roman" w:hAnsi="Times New Roman" w:eastAsia="宋体"/>
          <w:b w:val="0"/>
          <w:i w:val="0"/>
          <w:color w:val="1A1A1A"/>
          <w:sz w:val="21"/>
        </w:rPr>
        <w:t>疗程表述是其中最具代表性的问题。在两药的用药咨询与科普语境中，可见"本品可连续服用3个月"的疗程说法，但其出处——出自说明书、指南、专家共识还是临床研究——从未被明确交代。疗程表述直接影响患者的长期用药行为与安全预期，其能否溯源本身即是一个应当独立回答的证据问题。</w:t>
      </w:r>
    </w:p>
    <w:p>
      <w:pPr>
        <w:spacing w:after="120" w:line="360" w:lineRule="auto"/>
        <w:ind w:firstLine="420"/>
      </w:pPr>
      <w:r>
        <w:rPr>
          <w:rFonts w:ascii="Times New Roman" w:hAnsi="Times New Roman" w:eastAsia="宋体"/>
          <w:b w:val="0"/>
          <w:i w:val="0"/>
          <w:color w:val="1A1A1A"/>
          <w:sz w:val="21"/>
        </w:rPr>
        <w:t>基于上述背景，本研究围绕四个相互关联的问题展开：(1)两药在说明书层面的适应症、用法用量、疗程与禁忌差异是什么，差异是否可核验；(2)两药的起效特征（给药途径、起效时间、作用机制）存在哪些经研究验证的差异，证据类型与强度如何；(3)两药各自的临床证据强度如何，是否存在头对头比较研究，若无，现有间接比较的可信度如何；(4)"可连续服用3个月"能否追溯到可核验出处，若不能，应当如何准确表述。与一般叙述性综述不同，本研究将每一项结论的可核验程度作为独立的报告维度，并把说法溯源单列为结果小节。</w:t>
      </w:r>
    </w:p>
    <w:p>
      <w:pPr>
        <w:spacing w:after="120" w:line="312" w:lineRule="auto" w:before="240"/>
      </w:pPr>
      <w:r>
        <w:rPr>
          <w:rFonts w:ascii="Times New Roman" w:hAnsi="Times New Roman" w:eastAsia="黑体"/>
          <w:b/>
          <w:i w:val="0"/>
          <w:color w:val="1A1A1A"/>
          <w:sz w:val="26"/>
        </w:rPr>
        <w:t>2 资料与方法</w:t>
      </w:r>
    </w:p>
    <w:p>
      <w:pPr>
        <w:spacing w:after="80" w:line="312" w:lineRule="auto" w:before="160"/>
      </w:pPr>
      <w:r>
        <w:rPr>
          <w:rFonts w:ascii="Times New Roman" w:hAnsi="Times New Roman" w:eastAsia="黑体"/>
          <w:b/>
          <w:i w:val="0"/>
          <w:color w:val="1A1A1A"/>
          <w:sz w:val="22"/>
        </w:rPr>
        <w:t>2.1 检索策略</w:t>
      </w:r>
    </w:p>
    <w:p>
      <w:pPr>
        <w:spacing w:after="120" w:line="360" w:lineRule="auto"/>
        <w:ind w:firstLine="420"/>
      </w:pPr>
      <w:r>
        <w:rPr>
          <w:rFonts w:ascii="Times New Roman" w:hAnsi="Times New Roman" w:eastAsia="宋体"/>
          <w:b w:val="0"/>
          <w:i w:val="0"/>
          <w:color w:val="1A1A1A"/>
          <w:sz w:val="21"/>
        </w:rPr>
        <w:t>本研究为基于系统性检索的证据评价，检索于2026年8月4日完成。检索源包括：(1)文献索引，含PubMed、Europe PMC、Crossref及中文文献题录索引；(2)中文指南与专家共识题录索引，涵盖中国中西医结合学会、中华中医药学会等机构发布的文件；(3)国家药品监督管理局（NMPA）药品说明书索引；(4)临床试验注册库（ClinicalTrials.gov）；(5)药学参考数据库；(6)面向公众的官方健康指导页面（英国国家医疗服务体系，NHS）。</w:t>
      </w:r>
    </w:p>
    <w:p>
      <w:pPr>
        <w:spacing w:after="120" w:line="360" w:lineRule="auto"/>
        <w:ind w:firstLine="420"/>
      </w:pPr>
      <w:r>
        <w:rPr>
          <w:rFonts w:ascii="Times New Roman" w:hAnsi="Times New Roman" w:eastAsia="宋体"/>
          <w:b w:val="0"/>
          <w:i w:val="0"/>
          <w:color w:val="1A1A1A"/>
          <w:sz w:val="21"/>
        </w:rPr>
        <w:t>共执行28个检索式，检索词覆盖两药中英文名称与心绞痛、随机对照、疗程、药代动力学等主题的组合，如"Suxiao Jiuxin pill angina""Compound Danshen Dripping Pill angina randomized""速效救心丸 长期服用 疗程 冠心病""Compound Danshen dripping pill pharmacokinetics tanshinol oral"等；针对疗程表述的溯源另行设计了专门检索式，如"速效救心丸 三个月""复方丹参滴丸 3个月 疗程""速效救心丸 疗程 3个月""Suxiao Jiuxin pill course three months angina""Suxiao Jiuxin 3 months treatment duration"等。6个检索式返回零结果（包括"速效救心丸 说明书 用法用量 含服""复方丹参滴丸 糖尿病视网膜病变 疗程 说明书""速效救心丸 复方丹参滴丸 比较""Suxiao Jiuxin pill borneol pharmacokinetics sublingual""Compound Danshen dripping pill T89 phase III trial 12-week"及药学参考数据库中的"速效救心丸"）；另有一次Crossref查询与一次Europe PMC查询因数据源端错误（HTTP 429与HTTP 502）未返回记录。零结果与检索失败均如实计入检索记录，未作为任何结论的依据。</w:t>
      </w:r>
    </w:p>
    <w:p>
      <w:pPr>
        <w:spacing w:after="80" w:line="312" w:lineRule="auto" w:before="160"/>
      </w:pPr>
      <w:r>
        <w:rPr>
          <w:rFonts w:ascii="Times New Roman" w:hAnsi="Times New Roman" w:eastAsia="黑体"/>
          <w:b/>
          <w:i w:val="0"/>
          <w:color w:val="1A1A1A"/>
          <w:sz w:val="22"/>
        </w:rPr>
        <w:t>2.2 纳入与排除</w:t>
      </w:r>
    </w:p>
    <w:p>
      <w:pPr>
        <w:spacing w:after="120" w:line="360" w:lineRule="auto"/>
        <w:ind w:firstLine="420"/>
      </w:pPr>
      <w:r>
        <w:rPr>
          <w:rFonts w:ascii="Times New Roman" w:hAnsi="Times New Roman" w:eastAsia="宋体"/>
          <w:b w:val="0"/>
          <w:i w:val="0"/>
          <w:color w:val="1A1A1A"/>
          <w:sz w:val="21"/>
        </w:rPr>
        <w:t>共识别235条记录，去重后154条进入筛选。筛选以研究问题相关性为准：纳入与两药适应症、用法用量、疗程、起效特征、疗效与安全性直接相关的说明书记录、指南与共识题录、系统评价与meta分析、随机对照试验及其方案、药代动力学与药理机制研究、临床试验注册记录及官方健康指导页面；排除与两药或研究问题无关的记录。最终纳入29个不同来源，包括8篇开放获取全文文献、1个官方健康指导页面、2份NMPA说明书索引记录、5份指南与专家共识题录记录、2份临床试验注册记录及11篇仅获得摘要的文献记录。</w:t>
      </w:r>
    </w:p>
    <w:p>
      <w:pPr>
        <w:spacing w:after="120" w:line="360" w:lineRule="auto"/>
        <w:ind w:firstLine="420"/>
      </w:pPr>
      <w:r>
        <w:rPr>
          <w:rFonts w:ascii="Times New Roman" w:hAnsi="Times New Roman" w:eastAsia="宋体"/>
          <w:b w:val="0"/>
          <w:i w:val="0"/>
          <w:color w:val="1A1A1A"/>
          <w:sz w:val="21"/>
        </w:rPr>
        <w:t>需要说明的是，本研究并非按PRISMA规范开展的系统评价：未进行双人独立筛选与数据提取，未做前瞻性方案注册，亦不主张对文献的穷尽性覆盖；其定位是对可及证据的可核验性评价，方法学细节按实际执行情况如实报告。</w:t>
      </w:r>
    </w:p>
    <w:p>
      <w:pPr>
        <w:spacing w:after="80" w:line="312" w:lineRule="auto" w:before="160"/>
      </w:pPr>
      <w:r>
        <w:rPr>
          <w:rFonts w:ascii="Times New Roman" w:hAnsi="Times New Roman" w:eastAsia="黑体"/>
          <w:b/>
          <w:i w:val="0"/>
          <w:color w:val="1A1A1A"/>
          <w:sz w:val="22"/>
        </w:rPr>
        <w:t>2.3 证据评价方法</w:t>
      </w:r>
    </w:p>
    <w:p>
      <w:pPr>
        <w:spacing w:after="120" w:line="360" w:lineRule="auto"/>
        <w:ind w:firstLine="420"/>
      </w:pPr>
      <w:r>
        <w:rPr>
          <w:rFonts w:ascii="Times New Roman" w:hAnsi="Times New Roman" w:eastAsia="宋体"/>
          <w:b w:val="0"/>
          <w:i w:val="0"/>
          <w:color w:val="1A1A1A"/>
          <w:sz w:val="21"/>
        </w:rPr>
        <w:t>证据使用遵循按获取深度分级的原则：(1)全文级来源经逐段通读，所有定量结论（效应量、样本量、疗程等）均绑定可在原文定位的逐字表述；(2)官方页面级来源仅用于公共卫生指导性表述；(3)题录级来源（说明书索引记录与指南、共识记录）仅可核验其标题、发布机构、年份与题录摘要，不可核验正文条款，凡涉及其正文内容的表述一律标注"未能核验"；(4)摘要级来源仅支持定性表述，不承载具体效应量。</w:t>
      </w:r>
    </w:p>
    <w:p>
      <w:pPr>
        <w:spacing w:after="120" w:line="360" w:lineRule="auto"/>
        <w:ind w:firstLine="420"/>
      </w:pPr>
      <w:r>
        <w:rPr>
          <w:rFonts w:ascii="Times New Roman" w:hAnsi="Times New Roman" w:eastAsia="宋体"/>
          <w:b w:val="0"/>
          <w:i w:val="0"/>
          <w:color w:val="1A1A1A"/>
          <w:sz w:val="21"/>
        </w:rPr>
        <w:t>结论的可核验性按预设判定条件评价：说明书差异成立，须有现行官方文本或可核验的索引记录佐证；起效特征差异成立，须有可定位的研究全文或摘要；两药比较结论成立，须有同时纳入两药且方法学完整的分析；"可连续服用3个月"出处成立，须找到写明该句的说明书文本、指南或共识条款、或经同行评议论文原文。任一条件不满足时，相应结论如实降级为"未能核验"或"未能追溯到可核验出处"，不以机制推理或常识推断替代出处核验。跨来源综合的结论要求至少两个独立来源支持；由分析推导的判断（如溯源判定与排序解读约束）在文中明确其推断性质、前提假设与敏感性。</w:t>
      </w:r>
    </w:p>
    <w:p>
      <w:pPr>
        <w:spacing w:after="120" w:line="312" w:lineRule="auto" w:before="240"/>
      </w:pPr>
      <w:r>
        <w:rPr>
          <w:rFonts w:ascii="Times New Roman" w:hAnsi="Times New Roman" w:eastAsia="黑体"/>
          <w:b/>
          <w:i w:val="0"/>
          <w:color w:val="1A1A1A"/>
          <w:sz w:val="26"/>
        </w:rPr>
        <w:t>3 结果</w:t>
      </w:r>
    </w:p>
    <w:p>
      <w:pPr>
        <w:spacing w:after="80" w:line="312" w:lineRule="auto" w:before="160"/>
      </w:pPr>
      <w:r>
        <w:rPr>
          <w:rFonts w:ascii="Times New Roman" w:hAnsi="Times New Roman" w:eastAsia="黑体"/>
          <w:b/>
          <w:i w:val="0"/>
          <w:color w:val="1A1A1A"/>
          <w:sz w:val="22"/>
        </w:rPr>
        <w:t>3.1 说明书层面的适应症、用法用量、疗程与禁忌差异</w:t>
      </w:r>
    </w:p>
    <w:p>
      <w:pPr>
        <w:spacing w:after="120" w:line="360" w:lineRule="auto"/>
        <w:ind w:firstLine="420"/>
      </w:pPr>
      <w:r>
        <w:rPr>
          <w:rFonts w:ascii="Times New Roman" w:hAnsi="Times New Roman" w:eastAsia="宋体"/>
          <w:b w:val="0"/>
          <w:i w:val="0"/>
          <w:color w:val="1A1A1A"/>
          <w:sz w:val="21"/>
        </w:rPr>
        <w:t>两药各检得2份NMPA说明书索引记录。速效救心丸的索引记录显示</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：功能主治为"行气活血，祛瘀止痛，增加冠脉血流量，缓解心绞痛。用于气滞血瘀型冠心病，心绞痛"；规格为每丸重40 mg，与临床试验方案的记载一致</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；禁忌为"孕妇禁用"；注意事项包括"寒凝血瘀、阴虚血瘀胸痹心痛不宜单用""伴有中重度心力衰竭的心肌缺血者慎用""心绞痛持续发作，宜加用硝酸酯类药"。复方丹参滴丸的索引记录显示</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功能主治为"活血化瘀，理气止痛。用于气滞血瘀所致的胸痹，症见胸闷、心前区刺痛；冠心病心绞痛见上述证候者"，另有用于2型糖尿病引起的1期（轻度）、Ⅱ期（中度）非增殖性糖尿病视网膜病变（气滞血瘀证）的增补适应症；禁忌为"对本品及所含成份过敏者禁用"；其每丸重量在索引记录中有载，但未能以全文级材料核验。上述内容均属索引记录级证据，官方现行说明书文本未能在本研究中直接获取，各项内容的可核验等级见表1。</w:t>
      </w:r>
    </w:p>
    <w:p>
      <w:pPr>
        <w:spacing w:after="120" w:line="360" w:lineRule="auto"/>
        <w:ind w:firstLine="420"/>
      </w:pPr>
      <w:r>
        <w:rPr>
          <w:rFonts w:ascii="Times New Roman" w:hAnsi="Times New Roman" w:eastAsia="宋体"/>
          <w:b w:val="0"/>
          <w:i w:val="0"/>
          <w:color w:val="1A1A1A"/>
          <w:sz w:val="21"/>
        </w:rPr>
        <w:t>两药的索引记录均未返回用法用量与疗程字段。复方丹参滴丸的说明书用法用量经一篇系统评价转述为"一次10丸、一日3次、至少4周"</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；速效救心丸在临床试验及试验方案中采用一次5粒、一日3次、舌下含服或口服的给药方案</w:t>
      </w:r>
      <w:r>
        <w:rPr>
          <w:rFonts w:ascii="Times New Roman" w:hAnsi="Times New Roman" w:eastAsia="宋体"/>
          <w:b w:val="0"/>
          <w:i w:val="0"/>
          <w:color w:val="1A1A1A"/>
          <w:sz w:val="21"/>
          <w:vertAlign w:val="superscript"/>
        </w:rPr>
        <w:t>[6,9]</w:t>
      </w:r>
      <w:r>
        <w:rPr>
          <w:rFonts w:ascii="Times New Roman" w:hAnsi="Times New Roman" w:eastAsia="宋体"/>
          <w:b w:val="0"/>
          <w:i w:val="0"/>
          <w:color w:val="1A1A1A"/>
          <w:sz w:val="21"/>
        </w:rPr>
        <w:t>。但试验方案剂量不等于说明书剂量，两者必须区分表述；因此两药说明书层面的用法用量与疗程差异应判定为"未能核验"，而非"不存在"。</w:t>
      </w:r>
    </w:p>
    <w:p>
      <w:pPr>
        <w:spacing w:after="120" w:line="360" w:lineRule="auto"/>
        <w:ind w:firstLine="420"/>
      </w:pPr>
      <w:r>
        <w:rPr>
          <w:rFonts w:ascii="Times New Roman" w:hAnsi="Times New Roman" w:eastAsia="宋体"/>
          <w:b w:val="0"/>
          <w:i w:val="0"/>
          <w:color w:val="1A1A1A"/>
          <w:sz w:val="21"/>
        </w:rPr>
        <w:t>综合而言，两药在禁忌（孕妇禁用与过敏者禁用）与适应症范围（复方丹参滴丸另有糖尿病视网膜病变适应症）上的差异可在索引记录层面核验，构成说明书层面的实质差异；功能主治措辞与规格差异亦可在同一层面核验；用法用量与疗程差异未能核验。</w:t>
      </w:r>
    </w:p>
    <w:p>
      <w:pPr>
        <w:spacing w:after="60" w:line="360" w:lineRule="auto"/>
        <w:jc w:val="center"/>
      </w:pPr>
      <w:r>
        <w:rPr>
          <w:rFonts w:ascii="Times New Roman" w:hAnsi="Times New Roman" w:eastAsia="宋体"/>
          <w:b/>
          <w:i w:val="0"/>
          <w:color w:val="1A1A1A"/>
          <w:sz w:val="19"/>
        </w:rPr>
        <w:t>表1</w:t>
      </w:r>
      <w:r>
        <w:rPr>
          <w:rFonts w:ascii="Times New Roman" w:hAnsi="Times New Roman" w:eastAsia="宋体"/>
          <w:b w:val="0"/>
          <w:i w:val="0"/>
          <w:color w:val="1A1A1A"/>
          <w:sz w:val="19"/>
        </w:rPr>
        <w:t xml:space="preserve"> 速效救心丸与复方丹参滴丸说明书信息对比及其可核验等级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项目</w:t>
            </w:r>
          </w:p>
        </w:tc>
        <w:tc>
          <w:tcPr>
            <w:tcW w:type="dxa" w:w="2266"/>
            <w:tcBorders>
              <w:bottom w:val="single" w:sz="6" w:color="1A1A1A"/>
            </w:tcBorders>
          </w:tcPr>
          <w:p>
            <w:pPr>
              <w:jc w:val="center"/>
            </w:pPr>
            <w:r>
              <w:rPr>
                <w:rFonts w:ascii="Times New Roman" w:hAnsi="Times New Roman" w:eastAsia="宋体"/>
                <w:b/>
                <w:i w:val="0"/>
                <w:color w:val="1A1A1A"/>
                <w:sz w:val="18"/>
              </w:rPr>
              <w:t>速效救心丸</w:t>
            </w:r>
          </w:p>
        </w:tc>
        <w:tc>
          <w:tcPr>
            <w:tcW w:type="dxa" w:w="2266"/>
            <w:tcBorders>
              <w:bottom w:val="single" w:sz="6" w:color="1A1A1A"/>
            </w:tcBorders>
          </w:tcPr>
          <w:p>
            <w:pPr>
              <w:jc w:val="center"/>
            </w:pPr>
            <w:r>
              <w:rPr>
                <w:rFonts w:ascii="Times New Roman" w:hAnsi="Times New Roman" w:eastAsia="宋体"/>
                <w:b/>
                <w:i w:val="0"/>
                <w:color w:val="1A1A1A"/>
                <w:sz w:val="18"/>
              </w:rPr>
              <w:t>复方丹参滴丸</w:t>
            </w:r>
          </w:p>
        </w:tc>
        <w:tc>
          <w:tcPr>
            <w:tcW w:type="dxa" w:w="2266"/>
            <w:tcBorders>
              <w:bottom w:val="single" w:sz="6" w:color="1A1A1A"/>
            </w:tcBorders>
          </w:tcPr>
          <w:p>
            <w:pPr>
              <w:jc w:val="center"/>
            </w:pPr>
            <w:r>
              <w:rPr>
                <w:rFonts w:ascii="Times New Roman" w:hAnsi="Times New Roman" w:eastAsia="宋体"/>
                <w:b/>
                <w:i w:val="0"/>
                <w:color w:val="1A1A1A"/>
                <w:sz w:val="18"/>
              </w:rPr>
              <w:t>可核验等级</w:t>
            </w:r>
          </w:p>
        </w:tc>
      </w:tr>
      <w:tr>
        <w:tc>
          <w:tcPr>
            <w:tcW w:type="dxa" w:w="2266"/>
          </w:tcPr>
          <w:p>
            <w:r>
              <w:rPr>
                <w:rFonts w:ascii="Times New Roman" w:hAnsi="Times New Roman" w:eastAsia="宋体"/>
                <w:b w:val="0"/>
                <w:i w:val="0"/>
                <w:color w:val="1A1A1A"/>
                <w:sz w:val="18"/>
              </w:rPr>
              <w:t>功能主治</w:t>
            </w:r>
          </w:p>
        </w:tc>
        <w:tc>
          <w:tcPr>
            <w:tcW w:type="dxa" w:w="2266"/>
          </w:tcPr>
          <w:p>
            <w:r>
              <w:rPr>
                <w:rFonts w:ascii="Times New Roman" w:hAnsi="Times New Roman" w:eastAsia="宋体"/>
                <w:b w:val="0"/>
                <w:i w:val="0"/>
                <w:color w:val="1A1A1A"/>
                <w:sz w:val="18"/>
              </w:rPr>
              <w:t>行气活血，祛瘀止痛，增加冠脉血流量，缓解心绞痛；用于气滞血瘀型冠心病，心绞痛</w:t>
            </w:r>
            <w:r>
              <w:rPr>
                <w:rFonts w:ascii="Times New Roman" w:hAnsi="Times New Roman" w:eastAsia="宋体"/>
                <w:b w:val="0"/>
                <w:i w:val="0"/>
                <w:color w:val="1A1A1A"/>
                <w:sz w:val="18"/>
                <w:vertAlign w:val="superscript"/>
              </w:rPr>
              <w:t>[5]</w:t>
            </w:r>
          </w:p>
        </w:tc>
        <w:tc>
          <w:tcPr>
            <w:tcW w:type="dxa" w:w="2266"/>
          </w:tcPr>
          <w:p>
            <w:r>
              <w:rPr>
                <w:rFonts w:ascii="Times New Roman" w:hAnsi="Times New Roman" w:eastAsia="宋体"/>
                <w:b w:val="0"/>
                <w:i w:val="0"/>
                <w:color w:val="1A1A1A"/>
                <w:sz w:val="18"/>
              </w:rPr>
              <w:t>活血化瘀，理气止痛；用于气滞血瘀所致的胸痹（胸闷、心前区刺痛）及冠心病心绞痛见上述证候者</w:t>
            </w:r>
            <w:r>
              <w:rPr>
                <w:rFonts w:ascii="Times New Roman" w:hAnsi="Times New Roman" w:eastAsia="宋体"/>
                <w:b w:val="0"/>
                <w:i w:val="0"/>
                <w:color w:val="1A1A1A"/>
                <w:sz w:val="18"/>
                <w:vertAlign w:val="superscript"/>
              </w:rPr>
              <w:t>[7]</w:t>
            </w:r>
          </w:p>
        </w:tc>
        <w:tc>
          <w:tcPr>
            <w:tcW w:type="dxa" w:w="2266"/>
          </w:tcPr>
          <w:p>
            <w:r>
              <w:rPr>
                <w:rFonts w:ascii="Times New Roman" w:hAnsi="Times New Roman" w:eastAsia="宋体"/>
                <w:b w:val="0"/>
                <w:i w:val="0"/>
                <w:color w:val="1A1A1A"/>
                <w:sz w:val="18"/>
              </w:rPr>
              <w:t>索引记录级可核验</w:t>
            </w:r>
          </w:p>
        </w:tc>
      </w:tr>
      <w:tr>
        <w:tc>
          <w:tcPr>
            <w:tcW w:type="dxa" w:w="2266"/>
          </w:tcPr>
          <w:p>
            <w:r>
              <w:rPr>
                <w:rFonts w:ascii="Times New Roman" w:hAnsi="Times New Roman" w:eastAsia="宋体"/>
                <w:b w:val="0"/>
                <w:i w:val="0"/>
                <w:color w:val="1A1A1A"/>
                <w:sz w:val="18"/>
              </w:rPr>
              <w:t>适应症范围</w:t>
            </w:r>
          </w:p>
        </w:tc>
        <w:tc>
          <w:tcPr>
            <w:tcW w:type="dxa" w:w="2266"/>
          </w:tcPr>
          <w:p>
            <w:r>
              <w:rPr>
                <w:rFonts w:ascii="Times New Roman" w:hAnsi="Times New Roman" w:eastAsia="宋体"/>
                <w:b w:val="0"/>
                <w:i w:val="0"/>
                <w:color w:val="1A1A1A"/>
                <w:sz w:val="18"/>
              </w:rPr>
              <w:t>冠心病心绞痛</w:t>
            </w:r>
            <w:r>
              <w:rPr>
                <w:rFonts w:ascii="Times New Roman" w:hAnsi="Times New Roman" w:eastAsia="宋体"/>
                <w:b w:val="0"/>
                <w:i w:val="0"/>
                <w:color w:val="1A1A1A"/>
                <w:sz w:val="18"/>
                <w:vertAlign w:val="superscript"/>
              </w:rPr>
              <w:t>[5]</w:t>
            </w:r>
          </w:p>
        </w:tc>
        <w:tc>
          <w:tcPr>
            <w:tcW w:type="dxa" w:w="2266"/>
          </w:tcPr>
          <w:p>
            <w:r>
              <w:rPr>
                <w:rFonts w:ascii="Times New Roman" w:hAnsi="Times New Roman" w:eastAsia="宋体"/>
                <w:b w:val="0"/>
                <w:i w:val="0"/>
                <w:color w:val="1A1A1A"/>
                <w:sz w:val="18"/>
              </w:rPr>
              <w:t>冠心病心绞痛；另有2型糖尿病1期（轻度）、Ⅱ期（中度）非增殖性糖尿病视网膜病变（气滞血瘀证）增补适应症</w:t>
            </w:r>
            <w:r>
              <w:rPr>
                <w:rFonts w:ascii="Times New Roman" w:hAnsi="Times New Roman" w:eastAsia="宋体"/>
                <w:b w:val="0"/>
                <w:i w:val="0"/>
                <w:color w:val="1A1A1A"/>
                <w:sz w:val="18"/>
                <w:vertAlign w:val="superscript"/>
              </w:rPr>
              <w:t>[7]</w:t>
            </w:r>
          </w:p>
        </w:tc>
        <w:tc>
          <w:tcPr>
            <w:tcW w:type="dxa" w:w="2266"/>
          </w:tcPr>
          <w:p>
            <w:r>
              <w:rPr>
                <w:rFonts w:ascii="Times New Roman" w:hAnsi="Times New Roman" w:eastAsia="宋体"/>
                <w:b w:val="0"/>
                <w:i w:val="0"/>
                <w:color w:val="1A1A1A"/>
                <w:sz w:val="18"/>
              </w:rPr>
              <w:t>索引记录级可核验</w:t>
            </w:r>
          </w:p>
        </w:tc>
      </w:tr>
      <w:tr>
        <w:tc>
          <w:tcPr>
            <w:tcW w:type="dxa" w:w="2266"/>
          </w:tcPr>
          <w:p>
            <w:r>
              <w:rPr>
                <w:rFonts w:ascii="Times New Roman" w:hAnsi="Times New Roman" w:eastAsia="宋体"/>
                <w:b w:val="0"/>
                <w:i w:val="0"/>
                <w:color w:val="1A1A1A"/>
                <w:sz w:val="18"/>
              </w:rPr>
              <w:t>规格</w:t>
            </w:r>
          </w:p>
        </w:tc>
        <w:tc>
          <w:tcPr>
            <w:tcW w:type="dxa" w:w="2266"/>
          </w:tcPr>
          <w:p>
            <w:r>
              <w:rPr>
                <w:rFonts w:ascii="Times New Roman" w:hAnsi="Times New Roman" w:eastAsia="宋体"/>
                <w:b w:val="0"/>
                <w:i w:val="0"/>
                <w:color w:val="1A1A1A"/>
                <w:sz w:val="18"/>
              </w:rPr>
              <w:t>每丸重40 mg</w:t>
            </w:r>
            <w:r>
              <w:rPr>
                <w:rFonts w:ascii="Times New Roman" w:hAnsi="Times New Roman" w:eastAsia="宋体"/>
                <w:b w:val="0"/>
                <w:i w:val="0"/>
                <w:color w:val="1A1A1A"/>
                <w:sz w:val="18"/>
                <w:vertAlign w:val="superscript"/>
              </w:rPr>
              <w:t>[5,6]</w:t>
            </w:r>
          </w:p>
        </w:tc>
        <w:tc>
          <w:tcPr>
            <w:tcW w:type="dxa" w:w="2266"/>
          </w:tcPr>
          <w:p>
            <w:r>
              <w:rPr>
                <w:rFonts w:ascii="Times New Roman" w:hAnsi="Times New Roman" w:eastAsia="宋体"/>
                <w:b w:val="0"/>
                <w:i w:val="0"/>
                <w:color w:val="1A1A1A"/>
                <w:sz w:val="18"/>
              </w:rPr>
              <w:t>索引记录有载，未能以全文级材料核验</w:t>
            </w:r>
            <w:r>
              <w:rPr>
                <w:rFonts w:ascii="Times New Roman" w:hAnsi="Times New Roman" w:eastAsia="宋体"/>
                <w:b w:val="0"/>
                <w:i w:val="0"/>
                <w:color w:val="1A1A1A"/>
                <w:sz w:val="18"/>
                <w:vertAlign w:val="superscript"/>
              </w:rPr>
              <w:t>[7]</w:t>
            </w:r>
          </w:p>
        </w:tc>
        <w:tc>
          <w:tcPr>
            <w:tcW w:type="dxa" w:w="2266"/>
          </w:tcPr>
          <w:p>
            <w:r>
              <w:rPr>
                <w:rFonts w:ascii="Times New Roman" w:hAnsi="Times New Roman" w:eastAsia="宋体"/>
                <w:b w:val="0"/>
                <w:i w:val="0"/>
                <w:color w:val="1A1A1A"/>
                <w:sz w:val="18"/>
              </w:rPr>
              <w:t>部分可核验</w:t>
            </w:r>
          </w:p>
        </w:tc>
      </w:tr>
      <w:tr>
        <w:tc>
          <w:tcPr>
            <w:tcW w:type="dxa" w:w="2266"/>
          </w:tcPr>
          <w:p>
            <w:r>
              <w:rPr>
                <w:rFonts w:ascii="Times New Roman" w:hAnsi="Times New Roman" w:eastAsia="宋体"/>
                <w:b w:val="0"/>
                <w:i w:val="0"/>
                <w:color w:val="1A1A1A"/>
                <w:sz w:val="18"/>
              </w:rPr>
              <w:t>禁忌</w:t>
            </w:r>
          </w:p>
        </w:tc>
        <w:tc>
          <w:tcPr>
            <w:tcW w:type="dxa" w:w="2266"/>
          </w:tcPr>
          <w:p>
            <w:r>
              <w:rPr>
                <w:rFonts w:ascii="Times New Roman" w:hAnsi="Times New Roman" w:eastAsia="宋体"/>
                <w:b w:val="0"/>
                <w:i w:val="0"/>
                <w:color w:val="1A1A1A"/>
                <w:sz w:val="18"/>
              </w:rPr>
              <w:t>孕妇禁用</w:t>
            </w:r>
            <w:r>
              <w:rPr>
                <w:rFonts w:ascii="Times New Roman" w:hAnsi="Times New Roman" w:eastAsia="宋体"/>
                <w:b w:val="0"/>
                <w:i w:val="0"/>
                <w:color w:val="1A1A1A"/>
                <w:sz w:val="18"/>
                <w:vertAlign w:val="superscript"/>
              </w:rPr>
              <w:t>[5]</w:t>
            </w:r>
          </w:p>
        </w:tc>
        <w:tc>
          <w:tcPr>
            <w:tcW w:type="dxa" w:w="2266"/>
          </w:tcPr>
          <w:p>
            <w:r>
              <w:rPr>
                <w:rFonts w:ascii="Times New Roman" w:hAnsi="Times New Roman" w:eastAsia="宋体"/>
                <w:b w:val="0"/>
                <w:i w:val="0"/>
                <w:color w:val="1A1A1A"/>
                <w:sz w:val="18"/>
              </w:rPr>
              <w:t>对本品及所含成份过敏者禁用</w:t>
            </w:r>
            <w:r>
              <w:rPr>
                <w:rFonts w:ascii="Times New Roman" w:hAnsi="Times New Roman" w:eastAsia="宋体"/>
                <w:b w:val="0"/>
                <w:i w:val="0"/>
                <w:color w:val="1A1A1A"/>
                <w:sz w:val="18"/>
                <w:vertAlign w:val="superscript"/>
              </w:rPr>
              <w:t>[7]</w:t>
            </w:r>
          </w:p>
        </w:tc>
        <w:tc>
          <w:tcPr>
            <w:tcW w:type="dxa" w:w="2266"/>
          </w:tcPr>
          <w:p>
            <w:r>
              <w:rPr>
                <w:rFonts w:ascii="Times New Roman" w:hAnsi="Times New Roman" w:eastAsia="宋体"/>
                <w:b w:val="0"/>
                <w:i w:val="0"/>
                <w:color w:val="1A1A1A"/>
                <w:sz w:val="18"/>
              </w:rPr>
              <w:t>索引记录级可核验</w:t>
            </w:r>
          </w:p>
        </w:tc>
      </w:tr>
      <w:tr>
        <w:tc>
          <w:tcPr>
            <w:tcW w:type="dxa" w:w="2266"/>
          </w:tcPr>
          <w:p>
            <w:r>
              <w:rPr>
                <w:rFonts w:ascii="Times New Roman" w:hAnsi="Times New Roman" w:eastAsia="宋体"/>
                <w:b w:val="0"/>
                <w:i w:val="0"/>
                <w:color w:val="1A1A1A"/>
                <w:sz w:val="18"/>
              </w:rPr>
              <w:t>注意事项</w:t>
            </w:r>
          </w:p>
        </w:tc>
        <w:tc>
          <w:tcPr>
            <w:tcW w:type="dxa" w:w="2266"/>
          </w:tcPr>
          <w:p>
            <w:r>
              <w:rPr>
                <w:rFonts w:ascii="Times New Roman" w:hAnsi="Times New Roman" w:eastAsia="宋体"/>
                <w:b w:val="0"/>
                <w:i w:val="0"/>
                <w:color w:val="1A1A1A"/>
                <w:sz w:val="18"/>
              </w:rPr>
              <w:t>寒凝血瘀、阴虚血瘀胸痹心痛不宜单用；伴中重度心力衰竭的心肌缺血者慎用；心绞痛持续发作宜加用硝酸酯类药</w:t>
            </w:r>
            <w:r>
              <w:rPr>
                <w:rFonts w:ascii="Times New Roman" w:hAnsi="Times New Roman" w:eastAsia="宋体"/>
                <w:b w:val="0"/>
                <w:i w:val="0"/>
                <w:color w:val="1A1A1A"/>
                <w:sz w:val="18"/>
                <w:vertAlign w:val="superscript"/>
              </w:rPr>
              <w:t>[5]</w:t>
            </w:r>
          </w:p>
        </w:tc>
        <w:tc>
          <w:tcPr>
            <w:tcW w:type="dxa" w:w="2266"/>
          </w:tcPr>
          <w:p>
            <w:r>
              <w:rPr>
                <w:rFonts w:ascii="Times New Roman" w:hAnsi="Times New Roman" w:eastAsia="宋体"/>
                <w:b w:val="0"/>
                <w:i w:val="0"/>
                <w:color w:val="1A1A1A"/>
                <w:sz w:val="18"/>
              </w:rPr>
              <w:t>未在索引记录中核验到相应内容</w:t>
            </w:r>
          </w:p>
        </w:tc>
        <w:tc>
          <w:tcPr>
            <w:tcW w:type="dxa" w:w="2266"/>
          </w:tcPr>
          <w:p>
            <w:r>
              <w:rPr>
                <w:rFonts w:ascii="Times New Roman" w:hAnsi="Times New Roman" w:eastAsia="宋体"/>
                <w:b w:val="0"/>
                <w:i w:val="0"/>
                <w:color w:val="1A1A1A"/>
                <w:sz w:val="18"/>
              </w:rPr>
              <w:t>部分可核验</w:t>
            </w:r>
          </w:p>
        </w:tc>
      </w:tr>
      <w:tr>
        <w:tc>
          <w:tcPr>
            <w:tcW w:type="dxa" w:w="2266"/>
          </w:tcPr>
          <w:p>
            <w:r>
              <w:rPr>
                <w:rFonts w:ascii="Times New Roman" w:hAnsi="Times New Roman" w:eastAsia="宋体"/>
                <w:b w:val="0"/>
                <w:i w:val="0"/>
                <w:color w:val="1A1A1A"/>
                <w:sz w:val="18"/>
              </w:rPr>
              <w:t>用法用量</w:t>
            </w:r>
          </w:p>
        </w:tc>
        <w:tc>
          <w:tcPr>
            <w:tcW w:type="dxa" w:w="2266"/>
          </w:tcPr>
          <w:p>
            <w:r>
              <w:rPr>
                <w:rFonts w:ascii="Times New Roman" w:hAnsi="Times New Roman" w:eastAsia="宋体"/>
                <w:b w:val="0"/>
                <w:i w:val="0"/>
                <w:color w:val="1A1A1A"/>
                <w:sz w:val="18"/>
              </w:rPr>
              <w:t>索引记录未返回该字段；试验方案为一次5粒、一日3次，舌下含服</w:t>
            </w:r>
            <w:r>
              <w:rPr>
                <w:rFonts w:ascii="Times New Roman" w:hAnsi="Times New Roman" w:eastAsia="宋体"/>
                <w:b w:val="0"/>
                <w:i w:val="0"/>
                <w:color w:val="1A1A1A"/>
                <w:sz w:val="18"/>
                <w:vertAlign w:val="superscript"/>
              </w:rPr>
              <w:t>[6,9]</w:t>
            </w:r>
          </w:p>
        </w:tc>
        <w:tc>
          <w:tcPr>
            <w:tcW w:type="dxa" w:w="2266"/>
          </w:tcPr>
          <w:p>
            <w:r>
              <w:rPr>
                <w:rFonts w:ascii="Times New Roman" w:hAnsi="Times New Roman" w:eastAsia="宋体"/>
                <w:b w:val="0"/>
                <w:i w:val="0"/>
                <w:color w:val="1A1A1A"/>
                <w:sz w:val="18"/>
              </w:rPr>
              <w:t>索引记录未返回该字段；经系统评价转述为一次10丸、一日3次</w:t>
            </w:r>
            <w:r>
              <w:rPr>
                <w:rFonts w:ascii="Times New Roman" w:hAnsi="Times New Roman" w:eastAsia="宋体"/>
                <w:b w:val="0"/>
                <w:i w:val="0"/>
                <w:color w:val="1A1A1A"/>
                <w:sz w:val="18"/>
                <w:vertAlign w:val="superscript"/>
              </w:rPr>
              <w:t>[8]</w:t>
            </w:r>
          </w:p>
        </w:tc>
        <w:tc>
          <w:tcPr>
            <w:tcW w:type="dxa" w:w="2266"/>
          </w:tcPr>
          <w:p>
            <w:r>
              <w:rPr>
                <w:rFonts w:ascii="Times New Roman" w:hAnsi="Times New Roman" w:eastAsia="宋体"/>
                <w:b w:val="0"/>
                <w:i w:val="0"/>
                <w:color w:val="1A1A1A"/>
                <w:sz w:val="18"/>
              </w:rPr>
              <w:t>未能核验（试验方案级或转述级）</w:t>
            </w:r>
          </w:p>
        </w:tc>
      </w:tr>
      <w:tr>
        <w:tc>
          <w:tcPr>
            <w:tcW w:type="dxa" w:w="2266"/>
          </w:tcPr>
          <w:p>
            <w:r>
              <w:rPr>
                <w:rFonts w:ascii="Times New Roman" w:hAnsi="Times New Roman" w:eastAsia="宋体"/>
                <w:b w:val="0"/>
                <w:i w:val="0"/>
                <w:color w:val="1A1A1A"/>
                <w:sz w:val="18"/>
              </w:rPr>
              <w:t>疗程</w:t>
            </w:r>
          </w:p>
        </w:tc>
        <w:tc>
          <w:tcPr>
            <w:tcW w:type="dxa" w:w="2266"/>
          </w:tcPr>
          <w:p>
            <w:r>
              <w:rPr>
                <w:rFonts w:ascii="Times New Roman" w:hAnsi="Times New Roman" w:eastAsia="宋体"/>
                <w:b w:val="0"/>
                <w:i w:val="0"/>
                <w:color w:val="1A1A1A"/>
                <w:sz w:val="18"/>
              </w:rPr>
              <w:t>索引记录未返回该字段；现有试验疗程为4周或24周</w:t>
            </w:r>
            <w:r>
              <w:rPr>
                <w:rFonts w:ascii="Times New Roman" w:hAnsi="Times New Roman" w:eastAsia="宋体"/>
                <w:b w:val="0"/>
                <w:i w:val="0"/>
                <w:color w:val="1A1A1A"/>
                <w:sz w:val="18"/>
                <w:vertAlign w:val="superscript"/>
              </w:rPr>
              <w:t>[6,9]</w:t>
            </w:r>
          </w:p>
        </w:tc>
        <w:tc>
          <w:tcPr>
            <w:tcW w:type="dxa" w:w="2266"/>
          </w:tcPr>
          <w:p>
            <w:r>
              <w:rPr>
                <w:rFonts w:ascii="Times New Roman" w:hAnsi="Times New Roman" w:eastAsia="宋体"/>
                <w:b w:val="0"/>
                <w:i w:val="0"/>
                <w:color w:val="1A1A1A"/>
                <w:sz w:val="18"/>
              </w:rPr>
              <w:t>索引记录未返回该字段；转述为"至少4周"，对照硝酸酯试验疗程4～12周</w:t>
            </w:r>
            <w:r>
              <w:rPr>
                <w:rFonts w:ascii="Times New Roman" w:hAnsi="Times New Roman" w:eastAsia="宋体"/>
                <w:b w:val="0"/>
                <w:i w:val="0"/>
                <w:color w:val="1A1A1A"/>
                <w:sz w:val="18"/>
                <w:vertAlign w:val="superscript"/>
              </w:rPr>
              <w:t>[8]</w:t>
            </w:r>
          </w:p>
        </w:tc>
        <w:tc>
          <w:tcPr>
            <w:tcW w:type="dxa" w:w="2266"/>
          </w:tcPr>
          <w:p>
            <w:r>
              <w:rPr>
                <w:rFonts w:ascii="Times New Roman" w:hAnsi="Times New Roman" w:eastAsia="宋体"/>
                <w:b w:val="0"/>
                <w:i w:val="0"/>
                <w:color w:val="1A1A1A"/>
                <w:sz w:val="18"/>
              </w:rPr>
              <w:t>未能核验</w:t>
            </w:r>
          </w:p>
        </w:tc>
      </w:tr>
    </w:tbl>
    <w:p>
      <w:pPr>
        <w:spacing w:after="80"/>
      </w:pPr>
    </w:p>
    <w:p>
      <w:pPr>
        <w:spacing w:after="80" w:line="312" w:lineRule="auto" w:before="160"/>
      </w:pPr>
      <w:r>
        <w:rPr>
          <w:rFonts w:ascii="Times New Roman" w:hAnsi="Times New Roman" w:eastAsia="黑体"/>
          <w:b/>
          <w:i w:val="0"/>
          <w:color w:val="1A1A1A"/>
          <w:sz w:val="22"/>
        </w:rPr>
        <w:t>3.2 起效特征与作用机制</w:t>
      </w:r>
    </w:p>
    <w:p>
      <w:pPr>
        <w:spacing w:after="120" w:line="360" w:lineRule="auto"/>
        <w:ind w:firstLine="420"/>
      </w:pPr>
      <w:r>
        <w:rPr>
          <w:rFonts w:ascii="Times New Roman" w:hAnsi="Times New Roman" w:eastAsia="宋体"/>
          <w:b/>
          <w:i w:val="0"/>
          <w:color w:val="1A1A1A"/>
          <w:sz w:val="21"/>
        </w:rPr>
        <w:t>给药途径与组成。</w:t>
      </w:r>
      <w:r>
        <w:rPr>
          <w:rFonts w:ascii="Times New Roman" w:hAnsi="Times New Roman" w:eastAsia="宋体"/>
          <w:b w:val="0"/>
          <w:i w:val="0"/>
          <w:color w:val="1A1A1A"/>
          <w:sz w:val="21"/>
        </w:rPr>
        <w:t xml:space="preserve"> 两药均为滴丸剂。速效救心丸由川芎与冰片组成</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；按《中国药典》规定，每粒含川芎（以阿魏酸计）不少于15.0 μg、冰片2.9～4.4 mg</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。其临床试验采用餐后舌下含服、一次5粒、一日3次的给药方案</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。复方丹参滴丸由丹参、三七与冰片组成</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，其说明书用法经系统评价转述为一次10丸、一日3次，舌下含服与口服均属可接受用法</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i w:val="0"/>
          <w:color w:val="1A1A1A"/>
          <w:sz w:val="21"/>
        </w:rPr>
        <w:t>起效时间。</w:t>
      </w:r>
      <w:r>
        <w:rPr>
          <w:rFonts w:ascii="Times New Roman" w:hAnsi="Times New Roman" w:eastAsia="宋体"/>
          <w:b w:val="0"/>
          <w:i w:val="0"/>
          <w:color w:val="1A1A1A"/>
          <w:sz w:val="21"/>
        </w:rPr>
        <w:t xml:space="preserve"> "舌下含服速效救心丸可快速缓解心绞痛"的表述见于机制研究文献，其依据为对2008年Cochrane系统评价的引用</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。直接的时间数据仅见于动物实验：在急性心肌梗死大鼠模型中，速效救心丸（54 mg/kg）经腹腔注射（作者以之模拟舌下途径）后5～20分钟、灌胃后10～20分钟改善心功能指标，腹腔给药快于灌胃</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；犬急性心肌缺血模型在给药后30～180分钟时间窗内观察，缺血180分钟后模型组心肌梗死面积为17.84%，6.4、12.8、25.6 mg/kg剂量组分别降至7.33%、6.03%与5.55%，呈剂量依赖趋势，高剂量组心肌缺血程度（Σ-ST）与缺血范围（N-ST）亦显著降低</w:t>
      </w:r>
      <w:r>
        <w:rPr>
          <w:rFonts w:ascii="Times New Roman" w:hAnsi="Times New Roman" w:eastAsia="宋体"/>
          <w:b w:val="0"/>
          <w:i w:val="0"/>
          <w:color w:val="1A1A1A"/>
          <w:sz w:val="21"/>
          <w:vertAlign w:val="superscript"/>
        </w:rPr>
        <w:t>[10]</w:t>
      </w:r>
      <w:r>
        <w:rPr>
          <w:rFonts w:ascii="Times New Roman" w:hAnsi="Times New Roman" w:eastAsia="宋体"/>
          <w:b w:val="0"/>
          <w:i w:val="0"/>
          <w:color w:val="1A1A1A"/>
          <w:sz w:val="21"/>
        </w:rPr>
        <w:t>。必须强调，上述均为动物数据或转述性表述，不构成人体达峰时间（Tmax）证据；本研究未检索到两药在健康人或患者中的起效时间或达峰时间对比研究。复方丹参滴丸方面，可检得的药代动力学证据为大鼠群体药代动力学研究（摘要级）：丹参素与三七皂苷Rb1符合一室模型、Rg1符合二室模型</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，无起效时间数据。</w:t>
      </w:r>
    </w:p>
    <w:p>
      <w:pPr>
        <w:spacing w:after="120" w:line="360" w:lineRule="auto"/>
        <w:ind w:firstLine="420"/>
      </w:pPr>
      <w:r>
        <w:rPr>
          <w:rFonts w:ascii="Times New Roman" w:hAnsi="Times New Roman" w:eastAsia="宋体"/>
          <w:b/>
          <w:i w:val="0"/>
          <w:color w:val="1A1A1A"/>
          <w:sz w:val="21"/>
        </w:rPr>
        <w:t>作用机制。</w:t>
      </w:r>
      <w:r>
        <w:rPr>
          <w:rFonts w:ascii="Times New Roman" w:hAnsi="Times New Roman" w:eastAsia="宋体"/>
          <w:b w:val="0"/>
          <w:i w:val="0"/>
          <w:color w:val="1A1A1A"/>
          <w:sz w:val="21"/>
        </w:rPr>
        <w:t xml:space="preserve"> 机制研究显示，速效救心丸经eNOS-NO通路诱导冠状动脉舒张，其主要成分senkyunolide A与scopoletin经Akt-eNOS-NO通路起效，冰片则经内皮非依赖的钾通道机制引起浓度依赖性血管舒张</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。两药共享"活血化瘀、理气止痛"的功能定位，但组成药物与机制网络不同。在无人体对比数据的情况下，任何"某药起效更快"的表述均缺乏直接比较证据支持。</w:t>
      </w:r>
    </w:p>
    <w:p>
      <w:pPr>
        <w:spacing w:after="80" w:line="312" w:lineRule="auto" w:before="160"/>
      </w:pPr>
      <w:r>
        <w:rPr>
          <w:rFonts w:ascii="Times New Roman" w:hAnsi="Times New Roman" w:eastAsia="黑体"/>
          <w:b/>
          <w:i w:val="0"/>
          <w:color w:val="1A1A1A"/>
          <w:sz w:val="22"/>
        </w:rPr>
        <w:t>3.3 两药各自的临床证据强度</w:t>
      </w:r>
    </w:p>
    <w:p>
      <w:pPr>
        <w:spacing w:after="120" w:line="360" w:lineRule="auto"/>
        <w:ind w:firstLine="420"/>
      </w:pPr>
      <w:r>
        <w:rPr>
          <w:rFonts w:ascii="Times New Roman" w:hAnsi="Times New Roman" w:eastAsia="宋体"/>
          <w:b/>
          <w:i w:val="0"/>
          <w:color w:val="1A1A1A"/>
          <w:sz w:val="21"/>
        </w:rPr>
        <w:t>速效救心丸。</w:t>
      </w:r>
      <w:r>
        <w:rPr>
          <w:rFonts w:ascii="Times New Roman" w:hAnsi="Times New Roman" w:eastAsia="宋体"/>
          <w:b w:val="0"/>
          <w:i w:val="0"/>
          <w:color w:val="1A1A1A"/>
          <w:sz w:val="21"/>
        </w:rPr>
        <w:t xml:space="preserve"> 证据主体为以心电图与症状改善为终点的小样本随机对照试验。2018年发表的meta分析纳入41项随机对照试验、6276例患者，显示心电图改善的合并RR为1.32（95%CI 1.26～1.38，P&lt;0.001），但研究间异质性显著（I²=62.3%）；不良反应发生率与对照组差异无统计学意义（RR 1.12，95%CI 0.50～2.51，P=0.785）；作者明确说明多数纳入试验因缺乏双盲设计而Jadad评分低，且未分析心血管死亡等硬终点</w:t>
      </w:r>
      <w:r>
        <w:rPr>
          <w:rFonts w:ascii="Times New Roman" w:hAnsi="Times New Roman" w:eastAsia="宋体"/>
          <w:b w:val="0"/>
          <w:i w:val="0"/>
          <w:color w:val="1A1A1A"/>
          <w:sz w:val="21"/>
          <w:vertAlign w:val="superscript"/>
        </w:rPr>
        <w:t>[11]</w:t>
      </w:r>
      <w:r>
        <w:rPr>
          <w:rFonts w:ascii="Times New Roman" w:hAnsi="Times New Roman" w:eastAsia="宋体"/>
          <w:b w:val="0"/>
          <w:i w:val="0"/>
          <w:color w:val="1A1A1A"/>
          <w:sz w:val="21"/>
        </w:rPr>
        <w:t>。较新的证据包括：在不耐受长效硝酸酯不良反应的慢性冠脉综合征患者中开展的多中心、随机、双盲、安慰剂对照试验（8个研究中心、修正意向性分析集174例、疗程4周），速效救心丸组SAQ总分改善≥20分者占60.9%，安慰剂组为39.1%（OR 2.43，95%CI 1.32～4.47，P=0.004）</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；急性冠脉综合征早期行经皮冠状动脉介入治疗人群的6个月多中心随机双盲安慰剂对照试验（摘要级），主要心血管不良事件降低，但效应估计的置信区间接近无效线</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；稳定型心绞痛（气滞血瘀证）24周随机双盲安慰剂对照试验，其方案计划纳入324例、主要终点为入组后4周心绞痛症状改善率与主要心血管不良事件（MACE）</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，结果报告于2023年发表（摘要级）</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。此外，有系统评价（摘要级）评估其治疗急性冠脉综合征的疗效与安全性</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；2008年Cochrane系统评价的低质量评级如前述</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，该评价全文未能获取，相关表述经文献</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转引。</w:t>
      </w:r>
    </w:p>
    <w:p>
      <w:pPr>
        <w:spacing w:after="120" w:line="360" w:lineRule="auto"/>
        <w:ind w:firstLine="420"/>
      </w:pPr>
      <w:r>
        <w:rPr>
          <w:rFonts w:ascii="Times New Roman" w:hAnsi="Times New Roman" w:eastAsia="宋体"/>
          <w:b/>
          <w:i w:val="0"/>
          <w:color w:val="1A1A1A"/>
          <w:sz w:val="21"/>
        </w:rPr>
        <w:t>复方丹参滴丸。</w:t>
      </w:r>
      <w:r>
        <w:rPr>
          <w:rFonts w:ascii="Times New Roman" w:hAnsi="Times New Roman" w:eastAsia="宋体"/>
          <w:b w:val="0"/>
          <w:i w:val="0"/>
          <w:color w:val="1A1A1A"/>
          <w:sz w:val="21"/>
        </w:rPr>
        <w:t xml:space="preserve"> 2011年系统评价（摘要级）显示其症状改善优于消心痛</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；2015年对多项系统评价的概览（摘要级）指出其症状与心电图改善证据提示潜在获益，但硬终点获益未获证实，证据总体质量低至极低</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。2023年系统评价纳入29项对照硝酸酯的随机试验（3185例，发表于1997—2013年，疗程4～12周），按疗程分层的症状有效率OR为1.95（4周，95%CI 1.25～3.05）、3.45（6周，95%CI 1.84～6.48）与4.02（8周，95%CI 2.14～7.57），心电图有效率OR为1.60、2.47与3.43，不良反应发生率低于硝酸酯组（OR 0.15，95%CI 0.1～0.21）；但GRADE证据等级为极低至低，且全部纳入试验的选择偏倚与实施偏倚风险均评为"不清楚"</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i w:val="0"/>
          <w:color w:val="1A1A1A"/>
          <w:sz w:val="21"/>
        </w:rPr>
        <w:t>两药证据的共性问题。</w:t>
      </w:r>
      <w:r>
        <w:rPr>
          <w:rFonts w:ascii="Times New Roman" w:hAnsi="Times New Roman" w:eastAsia="宋体"/>
          <w:b w:val="0"/>
          <w:i w:val="0"/>
          <w:color w:val="1A1A1A"/>
          <w:sz w:val="21"/>
        </w:rPr>
        <w:t xml:space="preserve"> 纳入试验以症状与心电图改善等替代终点为主，硬终点证据不足；针对中成药治疗冠心病随机对照试验报告质量的专项评价（摘要级）显示高质量试验占比极低</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；试验高度集中于中国人群，外推性受限。经济学模型研究（摘要级）提示速效救心丸成本效果更优，但该模型建立在低质量meta分析数据之上</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；大样本老年患者真实世界研究（摘要级）显示速效救心丸常与硝酸酯类、阿司匹林联用，部分患者同时使用复方丹参制剂，提示现实用药中两药并非互斥选项</w:t>
      </w:r>
      <w:r>
        <w:rPr>
          <w:rFonts w:ascii="Times New Roman" w:hAnsi="Times New Roman" w:eastAsia="宋体"/>
          <w:b w:val="0"/>
          <w:i w:val="0"/>
          <w:color w:val="1A1A1A"/>
          <w:sz w:val="21"/>
          <w:vertAlign w:val="superscript"/>
        </w:rPr>
        <w:t>[19]</w:t>
      </w:r>
      <w:r>
        <w:rPr>
          <w:rFonts w:ascii="Times New Roman" w:hAnsi="Times New Roman" w:eastAsia="宋体"/>
          <w:b w:val="0"/>
          <w:i w:val="0"/>
          <w:color w:val="1A1A1A"/>
          <w:sz w:val="21"/>
        </w:rPr>
        <w:t>。两药主要临床证据的特征见表2。</w:t>
      </w:r>
    </w:p>
    <w:p>
      <w:pPr>
        <w:spacing w:after="60" w:line="360" w:lineRule="auto"/>
        <w:jc w:val="center"/>
      </w:pPr>
      <w:r>
        <w:rPr>
          <w:rFonts w:ascii="Times New Roman" w:hAnsi="Times New Roman" w:eastAsia="宋体"/>
          <w:b/>
          <w:i w:val="0"/>
          <w:color w:val="1A1A1A"/>
          <w:sz w:val="19"/>
        </w:rPr>
        <w:t>表2</w:t>
      </w:r>
      <w:r>
        <w:rPr>
          <w:rFonts w:ascii="Times New Roman" w:hAnsi="Times New Roman" w:eastAsia="宋体"/>
          <w:b w:val="0"/>
          <w:i w:val="0"/>
          <w:color w:val="1A1A1A"/>
          <w:sz w:val="19"/>
        </w:rPr>
        <w:t xml:space="preserve"> 速效救心丸与复方丹参滴丸主要临床证据的特征</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511"/>
        <w:gridCol w:w="1511"/>
        <w:gridCol w:w="1511"/>
        <w:gridCol w:w="1511"/>
        <w:gridCol w:w="1511"/>
        <w:gridCol w:w="1511"/>
      </w:tblGrid>
      <w:tr>
        <w:tc>
          <w:tcPr>
            <w:tcW w:type="dxa" w:w="1511"/>
            <w:tcBorders>
              <w:bottom w:val="single" w:sz="6" w:color="1A1A1A"/>
            </w:tcBorders>
          </w:tcPr>
          <w:p>
            <w:pPr>
              <w:jc w:val="center"/>
            </w:pPr>
            <w:r>
              <w:rPr>
                <w:rFonts w:ascii="Times New Roman" w:hAnsi="Times New Roman" w:eastAsia="宋体"/>
                <w:b/>
                <w:i w:val="0"/>
                <w:color w:val="1A1A1A"/>
                <w:sz w:val="18"/>
              </w:rPr>
              <w:t>药物</w:t>
            </w:r>
          </w:p>
        </w:tc>
        <w:tc>
          <w:tcPr>
            <w:tcW w:type="dxa" w:w="1511"/>
            <w:tcBorders>
              <w:bottom w:val="single" w:sz="6" w:color="1A1A1A"/>
            </w:tcBorders>
          </w:tcPr>
          <w:p>
            <w:pPr>
              <w:jc w:val="center"/>
            </w:pPr>
            <w:r>
              <w:rPr>
                <w:rFonts w:ascii="Times New Roman" w:hAnsi="Times New Roman" w:eastAsia="宋体"/>
                <w:b/>
                <w:i w:val="0"/>
                <w:color w:val="1A1A1A"/>
                <w:sz w:val="18"/>
              </w:rPr>
              <w:t>证据来源</w:t>
            </w:r>
          </w:p>
        </w:tc>
        <w:tc>
          <w:tcPr>
            <w:tcW w:type="dxa" w:w="1511"/>
            <w:tcBorders>
              <w:bottom w:val="single" w:sz="6" w:color="1A1A1A"/>
            </w:tcBorders>
          </w:tcPr>
          <w:p>
            <w:pPr>
              <w:jc w:val="center"/>
            </w:pPr>
            <w:r>
              <w:rPr>
                <w:rFonts w:ascii="Times New Roman" w:hAnsi="Times New Roman" w:eastAsia="宋体"/>
                <w:b/>
                <w:i w:val="0"/>
                <w:color w:val="1A1A1A"/>
                <w:sz w:val="18"/>
              </w:rPr>
              <w:t>设计与规模</w:t>
            </w:r>
          </w:p>
        </w:tc>
        <w:tc>
          <w:tcPr>
            <w:tcW w:type="dxa" w:w="1511"/>
            <w:tcBorders>
              <w:bottom w:val="single" w:sz="6" w:color="1A1A1A"/>
            </w:tcBorders>
          </w:tcPr>
          <w:p>
            <w:pPr>
              <w:jc w:val="center"/>
            </w:pPr>
            <w:r>
              <w:rPr>
                <w:rFonts w:ascii="Times New Roman" w:hAnsi="Times New Roman" w:eastAsia="宋体"/>
                <w:b/>
                <w:i w:val="0"/>
                <w:color w:val="1A1A1A"/>
                <w:sz w:val="18"/>
              </w:rPr>
              <w:t>疗程</w:t>
            </w:r>
          </w:p>
        </w:tc>
        <w:tc>
          <w:tcPr>
            <w:tcW w:type="dxa" w:w="1511"/>
            <w:tcBorders>
              <w:bottom w:val="single" w:sz="6" w:color="1A1A1A"/>
            </w:tcBorders>
          </w:tcPr>
          <w:p>
            <w:pPr>
              <w:jc w:val="center"/>
            </w:pPr>
            <w:r>
              <w:rPr>
                <w:rFonts w:ascii="Times New Roman" w:hAnsi="Times New Roman" w:eastAsia="宋体"/>
                <w:b/>
                <w:i w:val="0"/>
                <w:color w:val="1A1A1A"/>
                <w:sz w:val="18"/>
              </w:rPr>
              <w:t>主要结果</w:t>
            </w:r>
          </w:p>
        </w:tc>
        <w:tc>
          <w:tcPr>
            <w:tcW w:type="dxa" w:w="1511"/>
            <w:tcBorders>
              <w:bottom w:val="single" w:sz="6" w:color="1A1A1A"/>
            </w:tcBorders>
          </w:tcPr>
          <w:p>
            <w:pPr>
              <w:jc w:val="center"/>
            </w:pPr>
            <w:r>
              <w:rPr>
                <w:rFonts w:ascii="Times New Roman" w:hAnsi="Times New Roman" w:eastAsia="宋体"/>
                <w:b/>
                <w:i w:val="0"/>
                <w:color w:val="1A1A1A"/>
                <w:sz w:val="18"/>
              </w:rPr>
              <w:t>方法学质量与获取深度</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2018年meta分析</w:t>
            </w:r>
            <w:r>
              <w:rPr>
                <w:rFonts w:ascii="Times New Roman" w:hAnsi="Times New Roman" w:eastAsia="宋体"/>
                <w:b w:val="0"/>
                <w:i w:val="0"/>
                <w:color w:val="1A1A1A"/>
                <w:sz w:val="18"/>
                <w:vertAlign w:val="superscript"/>
              </w:rPr>
              <w:t>[11]</w:t>
            </w:r>
          </w:p>
        </w:tc>
        <w:tc>
          <w:tcPr>
            <w:tcW w:type="dxa" w:w="1511"/>
          </w:tcPr>
          <w:p>
            <w:r>
              <w:rPr>
                <w:rFonts w:ascii="Times New Roman" w:hAnsi="Times New Roman" w:eastAsia="宋体"/>
                <w:b w:val="0"/>
                <w:i w:val="0"/>
                <w:color w:val="1A1A1A"/>
                <w:sz w:val="18"/>
              </w:rPr>
              <w:t>41项RCT，6276例</w:t>
            </w:r>
          </w:p>
        </w:tc>
        <w:tc>
          <w:tcPr>
            <w:tcW w:type="dxa" w:w="1511"/>
          </w:tcPr>
          <w:p>
            <w:r>
              <w:rPr>
                <w:rFonts w:ascii="Times New Roman" w:hAnsi="Times New Roman" w:eastAsia="宋体"/>
                <w:b w:val="0"/>
                <w:i w:val="0"/>
                <w:color w:val="1A1A1A"/>
                <w:sz w:val="18"/>
              </w:rPr>
              <w:t>不一</w:t>
            </w:r>
          </w:p>
        </w:tc>
        <w:tc>
          <w:tcPr>
            <w:tcW w:type="dxa" w:w="1511"/>
          </w:tcPr>
          <w:p>
            <w:r>
              <w:rPr>
                <w:rFonts w:ascii="Times New Roman" w:hAnsi="Times New Roman" w:eastAsia="宋体"/>
                <w:b w:val="0"/>
                <w:i w:val="0"/>
                <w:color w:val="1A1A1A"/>
                <w:sz w:val="18"/>
              </w:rPr>
              <w:t>心电图改善RR 1.32（95%CI 1.26～1.38）；不良反应RR 1.12（95%CI 0.50～2.51）</w:t>
            </w:r>
          </w:p>
        </w:tc>
        <w:tc>
          <w:tcPr>
            <w:tcW w:type="dxa" w:w="1511"/>
          </w:tcPr>
          <w:p>
            <w:r>
              <w:rPr>
                <w:rFonts w:ascii="Times New Roman" w:hAnsi="Times New Roman" w:eastAsia="宋体"/>
                <w:b w:val="0"/>
                <w:i w:val="0"/>
                <w:color w:val="1A1A1A"/>
                <w:sz w:val="18"/>
              </w:rPr>
              <w:t>多数试验Jadad低分；I²=62.3%；未分析硬终点；全文级</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2024年RCT</w:t>
            </w:r>
            <w:r>
              <w:rPr>
                <w:rFonts w:ascii="Times New Roman" w:hAnsi="Times New Roman" w:eastAsia="宋体"/>
                <w:b w:val="0"/>
                <w:i w:val="0"/>
                <w:color w:val="1A1A1A"/>
                <w:sz w:val="18"/>
                <w:vertAlign w:val="superscript"/>
              </w:rPr>
              <w:t>[9]</w:t>
            </w:r>
          </w:p>
        </w:tc>
        <w:tc>
          <w:tcPr>
            <w:tcW w:type="dxa" w:w="1511"/>
          </w:tcPr>
          <w:p>
            <w:r>
              <w:rPr>
                <w:rFonts w:ascii="Times New Roman" w:hAnsi="Times New Roman" w:eastAsia="宋体"/>
                <w:b w:val="0"/>
                <w:i w:val="0"/>
                <w:color w:val="1A1A1A"/>
                <w:sz w:val="18"/>
              </w:rPr>
              <w:t>多中心双盲安慰剂对照，174例（修正意向性分析集），硝酸酯不耐受慢性冠脉综合征</w:t>
            </w:r>
          </w:p>
        </w:tc>
        <w:tc>
          <w:tcPr>
            <w:tcW w:type="dxa" w:w="1511"/>
          </w:tcPr>
          <w:p>
            <w:r>
              <w:rPr>
                <w:rFonts w:ascii="Times New Roman" w:hAnsi="Times New Roman" w:eastAsia="宋体"/>
                <w:b w:val="0"/>
                <w:i w:val="0"/>
                <w:color w:val="1A1A1A"/>
                <w:sz w:val="18"/>
              </w:rPr>
              <w:t>4周</w:t>
            </w:r>
          </w:p>
        </w:tc>
        <w:tc>
          <w:tcPr>
            <w:tcW w:type="dxa" w:w="1511"/>
          </w:tcPr>
          <w:p>
            <w:r>
              <w:rPr>
                <w:rFonts w:ascii="Times New Roman" w:hAnsi="Times New Roman" w:eastAsia="宋体"/>
                <w:b w:val="0"/>
                <w:i w:val="0"/>
                <w:color w:val="1A1A1A"/>
                <w:sz w:val="18"/>
              </w:rPr>
              <w:t>SAQ总分改善≥20分者60.9%对39.1%（OR 2.43，95%CI 1.32～4.47）</w:t>
            </w:r>
          </w:p>
        </w:tc>
        <w:tc>
          <w:tcPr>
            <w:tcW w:type="dxa" w:w="1511"/>
          </w:tcPr>
          <w:p>
            <w:r>
              <w:rPr>
                <w:rFonts w:ascii="Times New Roman" w:hAnsi="Times New Roman" w:eastAsia="宋体"/>
                <w:b w:val="0"/>
                <w:i w:val="0"/>
                <w:color w:val="1A1A1A"/>
                <w:sz w:val="18"/>
              </w:rPr>
              <w:t>单项试验、短疗程；全文级</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2021年试验方案</w:t>
            </w:r>
            <w:r>
              <w:rPr>
                <w:rFonts w:ascii="Times New Roman" w:hAnsi="Times New Roman" w:eastAsia="宋体"/>
                <w:b w:val="0"/>
                <w:i w:val="0"/>
                <w:color w:val="1A1A1A"/>
                <w:sz w:val="18"/>
                <w:vertAlign w:val="superscript"/>
              </w:rPr>
              <w:t>[6]</w:t>
            </w:r>
          </w:p>
        </w:tc>
        <w:tc>
          <w:tcPr>
            <w:tcW w:type="dxa" w:w="1511"/>
          </w:tcPr>
          <w:p>
            <w:r>
              <w:rPr>
                <w:rFonts w:ascii="Times New Roman" w:hAnsi="Times New Roman" w:eastAsia="宋体"/>
                <w:b w:val="0"/>
                <w:i w:val="0"/>
                <w:color w:val="1A1A1A"/>
                <w:sz w:val="18"/>
              </w:rPr>
              <w:t>随机双盲安慰剂对照，计划324例，稳定型心绞痛（气滞血瘀证）</w:t>
            </w:r>
          </w:p>
        </w:tc>
        <w:tc>
          <w:tcPr>
            <w:tcW w:type="dxa" w:w="1511"/>
          </w:tcPr>
          <w:p>
            <w:r>
              <w:rPr>
                <w:rFonts w:ascii="Times New Roman" w:hAnsi="Times New Roman" w:eastAsia="宋体"/>
                <w:b w:val="0"/>
                <w:i w:val="0"/>
                <w:color w:val="1A1A1A"/>
                <w:sz w:val="18"/>
              </w:rPr>
              <w:t>24周</w:t>
            </w:r>
          </w:p>
        </w:tc>
        <w:tc>
          <w:tcPr>
            <w:tcW w:type="dxa" w:w="1511"/>
          </w:tcPr>
          <w:p>
            <w:r>
              <w:rPr>
                <w:rFonts w:ascii="Times New Roman" w:hAnsi="Times New Roman" w:eastAsia="宋体"/>
                <w:b w:val="0"/>
                <w:i w:val="0"/>
                <w:color w:val="1A1A1A"/>
                <w:sz w:val="18"/>
              </w:rPr>
              <w:t>主要终点：4周症状改善率与MACE</w:t>
            </w:r>
          </w:p>
        </w:tc>
        <w:tc>
          <w:tcPr>
            <w:tcW w:type="dxa" w:w="1511"/>
          </w:tcPr>
          <w:p>
            <w:r>
              <w:rPr>
                <w:rFonts w:ascii="Times New Roman" w:hAnsi="Times New Roman" w:eastAsia="宋体"/>
                <w:b w:val="0"/>
                <w:i w:val="0"/>
                <w:color w:val="1A1A1A"/>
                <w:sz w:val="18"/>
              </w:rPr>
              <w:t>方案级记录；全文级</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2023年RCT结果报告</w:t>
            </w:r>
            <w:r>
              <w:rPr>
                <w:rFonts w:ascii="Times New Roman" w:hAnsi="Times New Roman" w:eastAsia="宋体"/>
                <w:b w:val="0"/>
                <w:i w:val="0"/>
                <w:color w:val="1A1A1A"/>
                <w:sz w:val="18"/>
                <w:vertAlign w:val="superscript"/>
              </w:rPr>
              <w:t>[13]</w:t>
            </w:r>
          </w:p>
        </w:tc>
        <w:tc>
          <w:tcPr>
            <w:tcW w:type="dxa" w:w="1511"/>
          </w:tcPr>
          <w:p>
            <w:r>
              <w:rPr>
                <w:rFonts w:ascii="Times New Roman" w:hAnsi="Times New Roman" w:eastAsia="宋体"/>
                <w:b w:val="0"/>
                <w:i w:val="0"/>
                <w:color w:val="1A1A1A"/>
                <w:sz w:val="18"/>
              </w:rPr>
              <w:t>稳定型心绞痛随机双盲安慰剂对照试验</w:t>
            </w:r>
          </w:p>
        </w:tc>
        <w:tc>
          <w:tcPr>
            <w:tcW w:type="dxa" w:w="1511"/>
          </w:tcPr>
          <w:p>
            <w:r>
              <w:rPr>
                <w:rFonts w:ascii="Times New Roman" w:hAnsi="Times New Roman" w:eastAsia="宋体"/>
                <w:b w:val="0"/>
                <w:i w:val="0"/>
                <w:color w:val="1A1A1A"/>
                <w:sz w:val="18"/>
              </w:rPr>
              <w:t>24周</w:t>
            </w:r>
          </w:p>
        </w:tc>
        <w:tc>
          <w:tcPr>
            <w:tcW w:type="dxa" w:w="1511"/>
          </w:tcPr>
          <w:p>
            <w:r>
              <w:rPr>
                <w:rFonts w:ascii="Times New Roman" w:hAnsi="Times New Roman" w:eastAsia="宋体"/>
                <w:b w:val="0"/>
                <w:i w:val="0"/>
                <w:color w:val="1A1A1A"/>
                <w:sz w:val="18"/>
              </w:rPr>
              <w:t>疗效与安全性结果</w:t>
            </w:r>
          </w:p>
        </w:tc>
        <w:tc>
          <w:tcPr>
            <w:tcW w:type="dxa" w:w="1511"/>
          </w:tcPr>
          <w:p>
            <w:r>
              <w:rPr>
                <w:rFonts w:ascii="Times New Roman" w:hAnsi="Times New Roman" w:eastAsia="宋体"/>
                <w:b w:val="0"/>
                <w:i w:val="0"/>
                <w:color w:val="1A1A1A"/>
                <w:sz w:val="18"/>
              </w:rPr>
              <w:t>摘要级</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2020年RCT</w:t>
            </w:r>
            <w:r>
              <w:rPr>
                <w:rFonts w:ascii="Times New Roman" w:hAnsi="Times New Roman" w:eastAsia="宋体"/>
                <w:b w:val="0"/>
                <w:i w:val="0"/>
                <w:color w:val="1A1A1A"/>
                <w:sz w:val="18"/>
                <w:vertAlign w:val="superscript"/>
              </w:rPr>
              <w:t>[12]</w:t>
            </w:r>
          </w:p>
        </w:tc>
        <w:tc>
          <w:tcPr>
            <w:tcW w:type="dxa" w:w="1511"/>
          </w:tcPr>
          <w:p>
            <w:r>
              <w:rPr>
                <w:rFonts w:ascii="Times New Roman" w:hAnsi="Times New Roman" w:eastAsia="宋体"/>
                <w:b w:val="0"/>
                <w:i w:val="0"/>
                <w:color w:val="1A1A1A"/>
                <w:sz w:val="18"/>
              </w:rPr>
              <w:t>急性冠脉综合征早期介入治疗人群，多中心双盲</w:t>
            </w:r>
          </w:p>
        </w:tc>
        <w:tc>
          <w:tcPr>
            <w:tcW w:type="dxa" w:w="1511"/>
          </w:tcPr>
          <w:p>
            <w:r>
              <w:rPr>
                <w:rFonts w:ascii="Times New Roman" w:hAnsi="Times New Roman" w:eastAsia="宋体"/>
                <w:b w:val="0"/>
                <w:i w:val="0"/>
                <w:color w:val="1A1A1A"/>
                <w:sz w:val="18"/>
              </w:rPr>
              <w:t>6个月</w:t>
            </w:r>
          </w:p>
        </w:tc>
        <w:tc>
          <w:tcPr>
            <w:tcW w:type="dxa" w:w="1511"/>
          </w:tcPr>
          <w:p>
            <w:r>
              <w:rPr>
                <w:rFonts w:ascii="Times New Roman" w:hAnsi="Times New Roman" w:eastAsia="宋体"/>
                <w:b w:val="0"/>
                <w:i w:val="0"/>
                <w:color w:val="1A1A1A"/>
                <w:sz w:val="18"/>
              </w:rPr>
              <w:t>MACE降低，置信区间接近无效线</w:t>
            </w:r>
          </w:p>
        </w:tc>
        <w:tc>
          <w:tcPr>
            <w:tcW w:type="dxa" w:w="1511"/>
          </w:tcPr>
          <w:p>
            <w:r>
              <w:rPr>
                <w:rFonts w:ascii="Times New Roman" w:hAnsi="Times New Roman" w:eastAsia="宋体"/>
                <w:b w:val="0"/>
                <w:i w:val="0"/>
                <w:color w:val="1A1A1A"/>
                <w:sz w:val="18"/>
              </w:rPr>
              <w:t>摘要级</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2008年Cochrane系统评价</w:t>
            </w:r>
            <w:r>
              <w:rPr>
                <w:rFonts w:ascii="Times New Roman" w:hAnsi="Times New Roman" w:eastAsia="宋体"/>
                <w:b w:val="0"/>
                <w:i w:val="0"/>
                <w:color w:val="1A1A1A"/>
                <w:sz w:val="18"/>
                <w:vertAlign w:val="superscript"/>
              </w:rPr>
              <w:t>[3]</w:t>
            </w:r>
          </w:p>
        </w:tc>
        <w:tc>
          <w:tcPr>
            <w:tcW w:type="dxa" w:w="1511"/>
          </w:tcPr>
          <w:p>
            <w:r>
              <w:rPr>
                <w:rFonts w:ascii="Times New Roman" w:hAnsi="Times New Roman" w:eastAsia="宋体"/>
                <w:b w:val="0"/>
                <w:i w:val="0"/>
                <w:color w:val="1A1A1A"/>
                <w:sz w:val="18"/>
              </w:rPr>
              <w:t>系统评价</w:t>
            </w:r>
          </w:p>
        </w:tc>
        <w:tc>
          <w:tcPr>
            <w:tcW w:type="dxa" w:w="1511"/>
          </w:tcPr>
          <w:p>
            <w:r>
              <w:rPr>
                <w:rFonts w:ascii="Times New Roman" w:hAnsi="Times New Roman" w:eastAsia="宋体"/>
                <w:b w:val="0"/>
                <w:i w:val="0"/>
                <w:color w:val="1A1A1A"/>
                <w:sz w:val="18"/>
              </w:rPr>
              <w:t>—</w:t>
            </w:r>
          </w:p>
        </w:tc>
        <w:tc>
          <w:tcPr>
            <w:tcW w:type="dxa" w:w="1511"/>
          </w:tcPr>
          <w:p>
            <w:r>
              <w:rPr>
                <w:rFonts w:ascii="Times New Roman" w:hAnsi="Times New Roman" w:eastAsia="宋体"/>
                <w:b w:val="0"/>
                <w:i w:val="0"/>
                <w:color w:val="1A1A1A"/>
                <w:sz w:val="18"/>
              </w:rPr>
              <w:t>证据质量低</w:t>
            </w:r>
          </w:p>
        </w:tc>
        <w:tc>
          <w:tcPr>
            <w:tcW w:type="dxa" w:w="1511"/>
          </w:tcPr>
          <w:p>
            <w:r>
              <w:rPr>
                <w:rFonts w:ascii="Times New Roman" w:hAnsi="Times New Roman" w:eastAsia="宋体"/>
                <w:b w:val="0"/>
                <w:i w:val="0"/>
                <w:color w:val="1A1A1A"/>
                <w:sz w:val="18"/>
              </w:rPr>
              <w:t>全文未获取，经文献</w:t>
            </w:r>
            <w:r>
              <w:rPr>
                <w:rFonts w:ascii="Times New Roman" w:hAnsi="Times New Roman" w:eastAsia="宋体"/>
                <w:b w:val="0"/>
                <w:i w:val="0"/>
                <w:color w:val="1A1A1A"/>
                <w:sz w:val="18"/>
                <w:vertAlign w:val="superscript"/>
              </w:rPr>
              <w:t>[1]</w:t>
            </w:r>
            <w:r>
              <w:rPr>
                <w:rFonts w:ascii="Times New Roman" w:hAnsi="Times New Roman" w:eastAsia="宋体"/>
                <w:b w:val="0"/>
                <w:i w:val="0"/>
                <w:color w:val="1A1A1A"/>
                <w:sz w:val="18"/>
              </w:rPr>
              <w:t>转引</w:t>
            </w:r>
          </w:p>
        </w:tc>
      </w:tr>
      <w:tr>
        <w:tc>
          <w:tcPr>
            <w:tcW w:type="dxa" w:w="1511"/>
          </w:tcPr>
          <w:p>
            <w:r>
              <w:rPr>
                <w:rFonts w:ascii="Times New Roman" w:hAnsi="Times New Roman" w:eastAsia="宋体"/>
                <w:b w:val="0"/>
                <w:i w:val="0"/>
                <w:color w:val="1A1A1A"/>
                <w:sz w:val="18"/>
              </w:rPr>
              <w:t>速效救心丸</w:t>
            </w:r>
          </w:p>
        </w:tc>
        <w:tc>
          <w:tcPr>
            <w:tcW w:type="dxa" w:w="1511"/>
          </w:tcPr>
          <w:p>
            <w:r>
              <w:rPr>
                <w:rFonts w:ascii="Times New Roman" w:hAnsi="Times New Roman" w:eastAsia="宋体"/>
                <w:b w:val="0"/>
                <w:i w:val="0"/>
                <w:color w:val="1A1A1A"/>
                <w:sz w:val="18"/>
              </w:rPr>
              <w:t>2020年系统评价</w:t>
            </w:r>
            <w:r>
              <w:rPr>
                <w:rFonts w:ascii="Times New Roman" w:hAnsi="Times New Roman" w:eastAsia="宋体"/>
                <w:b w:val="0"/>
                <w:i w:val="0"/>
                <w:color w:val="1A1A1A"/>
                <w:sz w:val="18"/>
                <w:vertAlign w:val="superscript"/>
              </w:rPr>
              <w:t>[14]</w:t>
            </w:r>
          </w:p>
        </w:tc>
        <w:tc>
          <w:tcPr>
            <w:tcW w:type="dxa" w:w="1511"/>
          </w:tcPr>
          <w:p>
            <w:r>
              <w:rPr>
                <w:rFonts w:ascii="Times New Roman" w:hAnsi="Times New Roman" w:eastAsia="宋体"/>
                <w:b w:val="0"/>
                <w:i w:val="0"/>
                <w:color w:val="1A1A1A"/>
                <w:sz w:val="18"/>
              </w:rPr>
              <w:t>急性冠脉综合征疗效与安全性评价</w:t>
            </w:r>
          </w:p>
        </w:tc>
        <w:tc>
          <w:tcPr>
            <w:tcW w:type="dxa" w:w="1511"/>
          </w:tcPr>
          <w:p>
            <w:r>
              <w:rPr>
                <w:rFonts w:ascii="Times New Roman" w:hAnsi="Times New Roman" w:eastAsia="宋体"/>
                <w:b w:val="0"/>
                <w:i w:val="0"/>
                <w:color w:val="1A1A1A"/>
                <w:sz w:val="18"/>
              </w:rPr>
              <w:t>—</w:t>
            </w:r>
          </w:p>
        </w:tc>
        <w:tc>
          <w:tcPr>
            <w:tcW w:type="dxa" w:w="1511"/>
          </w:tcPr>
          <w:p>
            <w:r>
              <w:rPr>
                <w:rFonts w:ascii="Times New Roman" w:hAnsi="Times New Roman" w:eastAsia="宋体"/>
                <w:b w:val="0"/>
                <w:i w:val="0"/>
                <w:color w:val="1A1A1A"/>
                <w:sz w:val="18"/>
              </w:rPr>
              <w:t>定性评估</w:t>
            </w:r>
          </w:p>
        </w:tc>
        <w:tc>
          <w:tcPr>
            <w:tcW w:type="dxa" w:w="1511"/>
          </w:tcPr>
          <w:p>
            <w:r>
              <w:rPr>
                <w:rFonts w:ascii="Times New Roman" w:hAnsi="Times New Roman" w:eastAsia="宋体"/>
                <w:b w:val="0"/>
                <w:i w:val="0"/>
                <w:color w:val="1A1A1A"/>
                <w:sz w:val="18"/>
              </w:rPr>
              <w:t>摘要级</w:t>
            </w:r>
          </w:p>
        </w:tc>
      </w:tr>
      <w:tr>
        <w:tc>
          <w:tcPr>
            <w:tcW w:type="dxa" w:w="1511"/>
          </w:tcPr>
          <w:p>
            <w:r>
              <w:rPr>
                <w:rFonts w:ascii="Times New Roman" w:hAnsi="Times New Roman" w:eastAsia="宋体"/>
                <w:b w:val="0"/>
                <w:i w:val="0"/>
                <w:color w:val="1A1A1A"/>
                <w:sz w:val="18"/>
              </w:rPr>
              <w:t>复方丹参滴丸</w:t>
            </w:r>
          </w:p>
        </w:tc>
        <w:tc>
          <w:tcPr>
            <w:tcW w:type="dxa" w:w="1511"/>
          </w:tcPr>
          <w:p>
            <w:r>
              <w:rPr>
                <w:rFonts w:ascii="Times New Roman" w:hAnsi="Times New Roman" w:eastAsia="宋体"/>
                <w:b w:val="0"/>
                <w:i w:val="0"/>
                <w:color w:val="1A1A1A"/>
                <w:sz w:val="18"/>
              </w:rPr>
              <w:t>2011年系统评价</w:t>
            </w:r>
            <w:r>
              <w:rPr>
                <w:rFonts w:ascii="Times New Roman" w:hAnsi="Times New Roman" w:eastAsia="宋体"/>
                <w:b w:val="0"/>
                <w:i w:val="0"/>
                <w:color w:val="1A1A1A"/>
                <w:sz w:val="18"/>
                <w:vertAlign w:val="superscript"/>
              </w:rPr>
              <w:t>[15]</w:t>
            </w:r>
          </w:p>
        </w:tc>
        <w:tc>
          <w:tcPr>
            <w:tcW w:type="dxa" w:w="1511"/>
          </w:tcPr>
          <w:p>
            <w:r>
              <w:rPr>
                <w:rFonts w:ascii="Times New Roman" w:hAnsi="Times New Roman" w:eastAsia="宋体"/>
                <w:b w:val="0"/>
                <w:i w:val="0"/>
                <w:color w:val="1A1A1A"/>
                <w:sz w:val="18"/>
              </w:rPr>
              <w:t>RCT系统评价</w:t>
            </w:r>
          </w:p>
        </w:tc>
        <w:tc>
          <w:tcPr>
            <w:tcW w:type="dxa" w:w="1511"/>
          </w:tcPr>
          <w:p>
            <w:r>
              <w:rPr>
                <w:rFonts w:ascii="Times New Roman" w:hAnsi="Times New Roman" w:eastAsia="宋体"/>
                <w:b w:val="0"/>
                <w:i w:val="0"/>
                <w:color w:val="1A1A1A"/>
                <w:sz w:val="18"/>
              </w:rPr>
              <w:t>—</w:t>
            </w:r>
          </w:p>
        </w:tc>
        <w:tc>
          <w:tcPr>
            <w:tcW w:type="dxa" w:w="1511"/>
          </w:tcPr>
          <w:p>
            <w:r>
              <w:rPr>
                <w:rFonts w:ascii="Times New Roman" w:hAnsi="Times New Roman" w:eastAsia="宋体"/>
                <w:b w:val="0"/>
                <w:i w:val="0"/>
                <w:color w:val="1A1A1A"/>
                <w:sz w:val="18"/>
              </w:rPr>
              <w:t>症状改善优于消心痛</w:t>
            </w:r>
          </w:p>
        </w:tc>
        <w:tc>
          <w:tcPr>
            <w:tcW w:type="dxa" w:w="1511"/>
          </w:tcPr>
          <w:p>
            <w:r>
              <w:rPr>
                <w:rFonts w:ascii="Times New Roman" w:hAnsi="Times New Roman" w:eastAsia="宋体"/>
                <w:b w:val="0"/>
                <w:i w:val="0"/>
                <w:color w:val="1A1A1A"/>
                <w:sz w:val="18"/>
              </w:rPr>
              <w:t>摘要级</w:t>
            </w:r>
          </w:p>
        </w:tc>
      </w:tr>
      <w:tr>
        <w:tc>
          <w:tcPr>
            <w:tcW w:type="dxa" w:w="1511"/>
          </w:tcPr>
          <w:p>
            <w:r>
              <w:rPr>
                <w:rFonts w:ascii="Times New Roman" w:hAnsi="Times New Roman" w:eastAsia="宋体"/>
                <w:b w:val="0"/>
                <w:i w:val="0"/>
                <w:color w:val="1A1A1A"/>
                <w:sz w:val="18"/>
              </w:rPr>
              <w:t>复方丹参滴丸</w:t>
            </w:r>
          </w:p>
        </w:tc>
        <w:tc>
          <w:tcPr>
            <w:tcW w:type="dxa" w:w="1511"/>
          </w:tcPr>
          <w:p>
            <w:r>
              <w:rPr>
                <w:rFonts w:ascii="Times New Roman" w:hAnsi="Times New Roman" w:eastAsia="宋体"/>
                <w:b w:val="0"/>
                <w:i w:val="0"/>
                <w:color w:val="1A1A1A"/>
                <w:sz w:val="18"/>
              </w:rPr>
              <w:t>2015年系统评价概览</w:t>
            </w:r>
            <w:r>
              <w:rPr>
                <w:rFonts w:ascii="Times New Roman" w:hAnsi="Times New Roman" w:eastAsia="宋体"/>
                <w:b w:val="0"/>
                <w:i w:val="0"/>
                <w:color w:val="1A1A1A"/>
                <w:sz w:val="18"/>
                <w:vertAlign w:val="superscript"/>
              </w:rPr>
              <w:t>[16]</w:t>
            </w:r>
          </w:p>
        </w:tc>
        <w:tc>
          <w:tcPr>
            <w:tcW w:type="dxa" w:w="1511"/>
          </w:tcPr>
          <w:p>
            <w:r>
              <w:rPr>
                <w:rFonts w:ascii="Times New Roman" w:hAnsi="Times New Roman" w:eastAsia="宋体"/>
                <w:b w:val="0"/>
                <w:i w:val="0"/>
                <w:color w:val="1A1A1A"/>
                <w:sz w:val="18"/>
              </w:rPr>
              <w:t>多项系统评价的概览</w:t>
            </w:r>
          </w:p>
        </w:tc>
        <w:tc>
          <w:tcPr>
            <w:tcW w:type="dxa" w:w="1511"/>
          </w:tcPr>
          <w:p>
            <w:r>
              <w:rPr>
                <w:rFonts w:ascii="Times New Roman" w:hAnsi="Times New Roman" w:eastAsia="宋体"/>
                <w:b w:val="0"/>
                <w:i w:val="0"/>
                <w:color w:val="1A1A1A"/>
                <w:sz w:val="18"/>
              </w:rPr>
              <w:t>—</w:t>
            </w:r>
          </w:p>
        </w:tc>
        <w:tc>
          <w:tcPr>
            <w:tcW w:type="dxa" w:w="1511"/>
          </w:tcPr>
          <w:p>
            <w:r>
              <w:rPr>
                <w:rFonts w:ascii="Times New Roman" w:hAnsi="Times New Roman" w:eastAsia="宋体"/>
                <w:b w:val="0"/>
                <w:i w:val="0"/>
                <w:color w:val="1A1A1A"/>
                <w:sz w:val="18"/>
              </w:rPr>
              <w:t>症状与心电图改善示潜在获益；硬终点获益未证实</w:t>
            </w:r>
          </w:p>
        </w:tc>
        <w:tc>
          <w:tcPr>
            <w:tcW w:type="dxa" w:w="1511"/>
          </w:tcPr>
          <w:p>
            <w:r>
              <w:rPr>
                <w:rFonts w:ascii="Times New Roman" w:hAnsi="Times New Roman" w:eastAsia="宋体"/>
                <w:b w:val="0"/>
                <w:i w:val="0"/>
                <w:color w:val="1A1A1A"/>
                <w:sz w:val="18"/>
              </w:rPr>
              <w:t>总体质量低至极低；摘要级</w:t>
            </w:r>
          </w:p>
        </w:tc>
      </w:tr>
      <w:tr>
        <w:tc>
          <w:tcPr>
            <w:tcW w:type="dxa" w:w="1511"/>
          </w:tcPr>
          <w:p>
            <w:r>
              <w:rPr>
                <w:rFonts w:ascii="Times New Roman" w:hAnsi="Times New Roman" w:eastAsia="宋体"/>
                <w:b w:val="0"/>
                <w:i w:val="0"/>
                <w:color w:val="1A1A1A"/>
                <w:sz w:val="18"/>
              </w:rPr>
              <w:t>复方丹参滴丸</w:t>
            </w:r>
          </w:p>
        </w:tc>
        <w:tc>
          <w:tcPr>
            <w:tcW w:type="dxa" w:w="1511"/>
          </w:tcPr>
          <w:p>
            <w:r>
              <w:rPr>
                <w:rFonts w:ascii="Times New Roman" w:hAnsi="Times New Roman" w:eastAsia="宋体"/>
                <w:b w:val="0"/>
                <w:i w:val="0"/>
                <w:color w:val="1A1A1A"/>
                <w:sz w:val="18"/>
              </w:rPr>
              <w:t>2023年系统评价</w:t>
            </w:r>
            <w:r>
              <w:rPr>
                <w:rFonts w:ascii="Times New Roman" w:hAnsi="Times New Roman" w:eastAsia="宋体"/>
                <w:b w:val="0"/>
                <w:i w:val="0"/>
                <w:color w:val="1A1A1A"/>
                <w:sz w:val="18"/>
                <w:vertAlign w:val="superscript"/>
              </w:rPr>
              <w:t>[8]</w:t>
            </w:r>
          </w:p>
        </w:tc>
        <w:tc>
          <w:tcPr>
            <w:tcW w:type="dxa" w:w="1511"/>
          </w:tcPr>
          <w:p>
            <w:r>
              <w:rPr>
                <w:rFonts w:ascii="Times New Roman" w:hAnsi="Times New Roman" w:eastAsia="宋体"/>
                <w:b w:val="0"/>
                <w:i w:val="0"/>
                <w:color w:val="1A1A1A"/>
                <w:sz w:val="18"/>
              </w:rPr>
              <w:t>29项对照硝酸酯RCT，3185例（1997—2013年发表）</w:t>
            </w:r>
          </w:p>
        </w:tc>
        <w:tc>
          <w:tcPr>
            <w:tcW w:type="dxa" w:w="1511"/>
          </w:tcPr>
          <w:p>
            <w:r>
              <w:rPr>
                <w:rFonts w:ascii="Times New Roman" w:hAnsi="Times New Roman" w:eastAsia="宋体"/>
                <w:b w:val="0"/>
                <w:i w:val="0"/>
                <w:color w:val="1A1A1A"/>
                <w:sz w:val="18"/>
              </w:rPr>
              <w:t>4～12周</w:t>
            </w:r>
          </w:p>
        </w:tc>
        <w:tc>
          <w:tcPr>
            <w:tcW w:type="dxa" w:w="1511"/>
          </w:tcPr>
          <w:p>
            <w:r>
              <w:rPr>
                <w:rFonts w:ascii="Times New Roman" w:hAnsi="Times New Roman" w:eastAsia="宋体"/>
                <w:b w:val="0"/>
                <w:i w:val="0"/>
                <w:color w:val="1A1A1A"/>
                <w:sz w:val="18"/>
              </w:rPr>
              <w:t>症状有效率OR 1.95（4周）、3.45（6周）、4.02（8周）；心电图OR 1.60、2.47、3.43；不良反应OR 0.15</w:t>
            </w:r>
          </w:p>
        </w:tc>
        <w:tc>
          <w:tcPr>
            <w:tcW w:type="dxa" w:w="1511"/>
          </w:tcPr>
          <w:p>
            <w:r>
              <w:rPr>
                <w:rFonts w:ascii="Times New Roman" w:hAnsi="Times New Roman" w:eastAsia="宋体"/>
                <w:b w:val="0"/>
                <w:i w:val="0"/>
                <w:color w:val="1A1A1A"/>
                <w:sz w:val="18"/>
              </w:rPr>
              <w:t>GRADE极低至低；全部试验选择与实施偏倚"不清楚"；全文级</w:t>
            </w:r>
          </w:p>
        </w:tc>
      </w:tr>
    </w:tbl>
    <w:p>
      <w:pPr>
        <w:spacing w:after="80"/>
      </w:pPr>
    </w:p>
    <w:p>
      <w:pPr>
        <w:spacing w:after="120" w:line="360" w:lineRule="auto"/>
        <w:ind w:firstLine="420"/>
      </w:pPr>
      <w:r>
        <w:rPr>
          <w:rFonts w:ascii="Times New Roman" w:hAnsi="Times New Roman" w:eastAsia="宋体"/>
          <w:b w:val="0"/>
          <w:i w:val="0"/>
          <w:color w:val="1A1A1A"/>
          <w:sz w:val="21"/>
        </w:rPr>
        <w:t>注：RCT为随机对照试验；MACE为主要心血管不良事件；"—"表示不适用或原文未提供。</w:t>
      </w:r>
    </w:p>
    <w:p>
      <w:pPr>
        <w:spacing w:after="80" w:line="312" w:lineRule="auto" w:before="160"/>
      </w:pPr>
      <w:r>
        <w:rPr>
          <w:rFonts w:ascii="Times New Roman" w:hAnsi="Times New Roman" w:eastAsia="黑体"/>
          <w:b/>
          <w:i w:val="0"/>
          <w:color w:val="1A1A1A"/>
          <w:sz w:val="22"/>
        </w:rPr>
        <w:t>3.4 头对头比较与网络meta分析的间接比较</w:t>
      </w:r>
    </w:p>
    <w:p>
      <w:pPr>
        <w:spacing w:after="120" w:line="360" w:lineRule="auto"/>
        <w:ind w:firstLine="420"/>
      </w:pPr>
      <w:r>
        <w:rPr>
          <w:rFonts w:ascii="Times New Roman" w:hAnsi="Times New Roman" w:eastAsia="宋体"/>
          <w:b/>
          <w:i w:val="0"/>
          <w:color w:val="1A1A1A"/>
          <w:sz w:val="21"/>
        </w:rPr>
        <w:t>直接头对头研究：未检索到。</w:t>
      </w:r>
      <w:r>
        <w:rPr>
          <w:rFonts w:ascii="Times New Roman" w:hAnsi="Times New Roman" w:eastAsia="宋体"/>
          <w:b w:val="0"/>
          <w:i w:val="0"/>
          <w:color w:val="1A1A1A"/>
          <w:sz w:val="21"/>
        </w:rPr>
        <w:t xml:space="preserve"> 以"速效救心丸 复方丹参滴丸 比较"等中英文检索式在可及索引中均未返回两药直接比较的随机对照试验（该中文检索式返回零结果）。2024年发表的经皮冠状动脉介入治疗术后再狭窄预防网络meta分析亦明确说明：因所有数据均来自间接治疗比较、无头对头随机对照试验，故未进行一致性检验</w:t>
      </w:r>
      <w:r>
        <w:rPr>
          <w:rFonts w:ascii="Times New Roman" w:hAnsi="Times New Roman" w:eastAsia="宋体"/>
          <w:b w:val="0"/>
          <w:i w:val="0"/>
          <w:color w:val="1A1A1A"/>
          <w:sz w:val="21"/>
          <w:vertAlign w:val="superscript"/>
        </w:rPr>
        <w:t>[20]</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i w:val="0"/>
          <w:color w:val="1A1A1A"/>
          <w:sz w:val="21"/>
        </w:rPr>
        <w:t>间接比较的存在与结构。</w:t>
      </w:r>
      <w:r>
        <w:rPr>
          <w:rFonts w:ascii="Times New Roman" w:hAnsi="Times New Roman" w:eastAsia="宋体"/>
          <w:b w:val="0"/>
          <w:i w:val="0"/>
          <w:color w:val="1A1A1A"/>
          <w:sz w:val="21"/>
        </w:rPr>
        <w:t xml:space="preserve"> 2022年发表的网络meta分析纳入179项随机对照试验（16789例、11种口服中成药联合西药对比单用西药），其中复方丹参滴丸节点30项试验、速效救心丸节点6项试验，纳入试验疗程为2～144周；全部纳入试验经Cochrane偏倚风险工具第二版（RoB 2）评为"有一定担忧"</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临床有效率的SUCRA排序前三位为芪参益气滴丸联合西药（98.12%）、速效救心丸联合西药（71.04%）与通心络胶囊联合西药（68.40%），单用西药最差（3.09%），复方丹参滴丸未进入前三位；心电图有效率排序中速效救心丸为73.80%</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。该研究报告的全局不一致性检验P值分别为0.077（临床有效率）与0.081（心电图有效率），未达统计学显著但接近界值</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网络内汇总的不良反应发生率为速效救心丸组35.80%（81例，含头晕或头痛17.28%、轻度胸部不适8.64%、皮疹7.41%、轻度腹部不适2.47%）与复方丹参滴丸组7.79%（616例），但作者说明多数研究报告不良反应零发生、无法对不良反应进行网络meta分析，故该差异不含统计推断</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。此外，复方丹参滴丸联合标准治疗在术后再狭窄预防网络meta分析（47项试验、5077例、11种干预）中显示可使再发心绞痛风险降低83%（RR 0.17，95%CI 0.04～0.51），证据确定度为极低至中等</w:t>
      </w:r>
      <w:r>
        <w:rPr>
          <w:rFonts w:ascii="Times New Roman" w:hAnsi="Times New Roman" w:eastAsia="宋体"/>
          <w:b w:val="0"/>
          <w:i w:val="0"/>
          <w:color w:val="1A1A1A"/>
          <w:sz w:val="21"/>
          <w:vertAlign w:val="superscript"/>
        </w:rPr>
        <w:t>[20]</w:t>
      </w:r>
      <w:r>
        <w:rPr>
          <w:rFonts w:ascii="Times New Roman" w:hAnsi="Times New Roman" w:eastAsia="宋体"/>
          <w:b w:val="0"/>
          <w:i w:val="0"/>
          <w:color w:val="1A1A1A"/>
          <w:sz w:val="21"/>
        </w:rPr>
        <w:t>；2024年贝叶斯网络meta分析（摘要级）报告复方丹参滴丸属于疗效居前的中成药之一，但总体GRADE证据强度为低</w:t>
      </w:r>
      <w:r>
        <w:rPr>
          <w:rFonts w:ascii="Times New Roman" w:hAnsi="Times New Roman" w:eastAsia="宋体"/>
          <w:b w:val="0"/>
          <w:i w:val="0"/>
          <w:color w:val="1A1A1A"/>
          <w:sz w:val="21"/>
          <w:vertAlign w:val="superscript"/>
        </w:rPr>
        <w:t>[21]</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i w:val="0"/>
          <w:color w:val="1A1A1A"/>
          <w:sz w:val="21"/>
        </w:rPr>
        <w:t>排序解读的边界（分析性推断）。</w:t>
      </w:r>
      <w:r>
        <w:rPr>
          <w:rFonts w:ascii="Times New Roman" w:hAnsi="Times New Roman" w:eastAsia="宋体"/>
          <w:b w:val="0"/>
          <w:i w:val="0"/>
          <w:color w:val="1A1A1A"/>
          <w:sz w:val="21"/>
        </w:rPr>
        <w:t xml:space="preserve"> 两药之间的间接比较存在三个结构性限制：其一，两节点间无直接比较边，比较完全依赖间接路径；其二，节点证据量悬殊（6项对30项试验）；其三，纳入试验整体质量低，且不一致性信号接近界值。SUCRA为概率性排序指标而非假设检验结果，该网络亦未报告两药之间具有统计学意义的成对比较；因此网络内的任何排序数值（如71.04%）均不能解读为"速效救心丸优于复方丹参滴丸"或相反结论。此判断的前提是网络模型设定（随机效应、节点连通性）成立；若未来出现两药直接比较试验或高质量试验进入网络，应重新评估。</w:t>
      </w:r>
    </w:p>
    <w:p>
      <w:pPr>
        <w:spacing w:after="80" w:line="312" w:lineRule="auto" w:before="160"/>
      </w:pPr>
      <w:r>
        <w:rPr>
          <w:rFonts w:ascii="Times New Roman" w:hAnsi="Times New Roman" w:eastAsia="黑体"/>
          <w:b/>
          <w:i w:val="0"/>
          <w:color w:val="1A1A1A"/>
          <w:sz w:val="22"/>
        </w:rPr>
        <w:t>3.5 "可连续服用3个月"表述的溯源</w:t>
      </w:r>
    </w:p>
    <w:p>
      <w:pPr>
        <w:spacing w:after="120" w:line="360" w:lineRule="auto"/>
        <w:ind w:firstLine="420"/>
      </w:pPr>
      <w:r>
        <w:rPr>
          <w:rFonts w:ascii="Times New Roman" w:hAnsi="Times New Roman" w:eastAsia="宋体"/>
          <w:b w:val="0"/>
          <w:i w:val="0"/>
          <w:color w:val="1A1A1A"/>
          <w:sz w:val="21"/>
        </w:rPr>
        <w:t>围绕"本品可连续服用3个月"，本研究在四个来源层面执行了针对性检索，结果汇总于表3。</w:t>
      </w:r>
    </w:p>
    <w:p>
      <w:pPr>
        <w:spacing w:after="120" w:line="360" w:lineRule="auto"/>
        <w:ind w:firstLine="420"/>
      </w:pPr>
      <w:r>
        <w:rPr>
          <w:rFonts w:ascii="Times New Roman" w:hAnsi="Times New Roman" w:eastAsia="宋体"/>
          <w:b/>
          <w:i w:val="0"/>
          <w:color w:val="1A1A1A"/>
          <w:sz w:val="21"/>
        </w:rPr>
        <w:t>说明书层面</w:t>
      </w:r>
      <w:r>
        <w:rPr>
          <w:rFonts w:ascii="Times New Roman" w:hAnsi="Times New Roman" w:eastAsia="宋体"/>
          <w:b w:val="0"/>
          <w:i w:val="0"/>
          <w:color w:val="1A1A1A"/>
          <w:sz w:val="21"/>
        </w:rPr>
        <w:t>：两药各检得2份NMPA索引记录，均不含用法用量或疗程字段，亦无"3个月"表述</w:t>
      </w:r>
      <w:r>
        <w:rPr>
          <w:rFonts w:ascii="Times New Roman" w:hAnsi="Times New Roman" w:eastAsia="宋体"/>
          <w:b w:val="0"/>
          <w:i w:val="0"/>
          <w:color w:val="1A1A1A"/>
          <w:sz w:val="21"/>
          <w:vertAlign w:val="superscript"/>
        </w:rPr>
        <w:t>[5,7]</w:t>
      </w:r>
      <w:r>
        <w:rPr>
          <w:rFonts w:ascii="Times New Roman" w:hAnsi="Times New Roman" w:eastAsia="宋体"/>
          <w:b w:val="0"/>
          <w:i w:val="0"/>
          <w:color w:val="1A1A1A"/>
          <w:sz w:val="21"/>
        </w:rPr>
        <w:t>。</w:t>
      </w:r>
      <w:r>
        <w:rPr>
          <w:rFonts w:ascii="Times New Roman" w:hAnsi="Times New Roman" w:eastAsia="宋体"/>
          <w:b/>
          <w:i w:val="0"/>
          <w:color w:val="1A1A1A"/>
          <w:sz w:val="21"/>
        </w:rPr>
        <w:t>指南与共识层面</w:t>
      </w:r>
      <w:r>
        <w:rPr>
          <w:rFonts w:ascii="Times New Roman" w:hAnsi="Times New Roman" w:eastAsia="宋体"/>
          <w:b w:val="0"/>
          <w:i w:val="0"/>
          <w:color w:val="1A1A1A"/>
          <w:sz w:val="21"/>
        </w:rPr>
        <w:t>："速效救心丸 疗程 3个月"（命中15条）与"复方丹参滴丸 疗程 推荐疗程"（命中15条）等检索命中《速效救心丸治疗冠心病中国专家共识（2019）》</w:t>
      </w:r>
      <w:r>
        <w:rPr>
          <w:rFonts w:ascii="Times New Roman" w:hAnsi="Times New Roman" w:eastAsia="宋体"/>
          <w:b w:val="0"/>
          <w:i w:val="0"/>
          <w:color w:val="1A1A1A"/>
          <w:sz w:val="21"/>
          <w:vertAlign w:val="superscript"/>
        </w:rPr>
        <w:t>[22]</w:t>
      </w:r>
      <w:r>
        <w:rPr>
          <w:rFonts w:ascii="Times New Roman" w:hAnsi="Times New Roman" w:eastAsia="宋体"/>
          <w:b w:val="0"/>
          <w:i w:val="0"/>
          <w:color w:val="1A1A1A"/>
          <w:sz w:val="21"/>
        </w:rPr>
        <w:t>、《复方丹参滴丸临床应用专家共识（2025）》</w:t>
      </w:r>
      <w:r>
        <w:rPr>
          <w:rFonts w:ascii="Times New Roman" w:hAnsi="Times New Roman" w:eastAsia="宋体"/>
          <w:b w:val="0"/>
          <w:i w:val="0"/>
          <w:color w:val="1A1A1A"/>
          <w:sz w:val="21"/>
          <w:vertAlign w:val="superscript"/>
        </w:rPr>
        <w:t>[23]</w:t>
      </w:r>
      <w:r>
        <w:rPr>
          <w:rFonts w:ascii="Times New Roman" w:hAnsi="Times New Roman" w:eastAsia="宋体"/>
          <w:b w:val="0"/>
          <w:i w:val="0"/>
          <w:color w:val="1A1A1A"/>
          <w:sz w:val="21"/>
        </w:rPr>
        <w:t>、《复方丹参滴丸临床应用中国专家建议（2016）》</w:t>
      </w:r>
      <w:r>
        <w:rPr>
          <w:rFonts w:ascii="Times New Roman" w:hAnsi="Times New Roman" w:eastAsia="宋体"/>
          <w:b w:val="0"/>
          <w:i w:val="0"/>
          <w:color w:val="1A1A1A"/>
          <w:sz w:val="21"/>
          <w:vertAlign w:val="superscript"/>
        </w:rPr>
        <w:t>[24]</w:t>
      </w:r>
      <w:r>
        <w:rPr>
          <w:rFonts w:ascii="Times New Roman" w:hAnsi="Times New Roman" w:eastAsia="宋体"/>
          <w:b w:val="0"/>
          <w:i w:val="0"/>
          <w:color w:val="1A1A1A"/>
          <w:sz w:val="21"/>
        </w:rPr>
        <w:t>、《中成药治疗冠心病临床应用指南（2020年）》</w:t>
      </w:r>
      <w:r>
        <w:rPr>
          <w:rFonts w:ascii="Times New Roman" w:hAnsi="Times New Roman" w:eastAsia="宋体"/>
          <w:b w:val="0"/>
          <w:i w:val="0"/>
          <w:color w:val="1A1A1A"/>
          <w:sz w:val="21"/>
          <w:vertAlign w:val="superscript"/>
        </w:rPr>
        <w:t>[25]</w:t>
      </w:r>
      <w:r>
        <w:rPr>
          <w:rFonts w:ascii="Times New Roman" w:hAnsi="Times New Roman" w:eastAsia="宋体"/>
          <w:b w:val="0"/>
          <w:i w:val="0"/>
          <w:color w:val="1A1A1A"/>
          <w:sz w:val="21"/>
        </w:rPr>
        <w:t>与《冠心病稳定型心绞痛中医诊疗专家共识（2018）》</w:t>
      </w:r>
      <w:r>
        <w:rPr>
          <w:rFonts w:ascii="Times New Roman" w:hAnsi="Times New Roman" w:eastAsia="宋体"/>
          <w:b w:val="0"/>
          <w:i w:val="0"/>
          <w:color w:val="1A1A1A"/>
          <w:sz w:val="21"/>
          <w:vertAlign w:val="superscript"/>
        </w:rPr>
        <w:t>[26]</w:t>
      </w:r>
      <w:r>
        <w:rPr>
          <w:rFonts w:ascii="Times New Roman" w:hAnsi="Times New Roman" w:eastAsia="宋体"/>
          <w:b w:val="0"/>
          <w:i w:val="0"/>
          <w:color w:val="1A1A1A"/>
          <w:sz w:val="21"/>
        </w:rPr>
        <w:t>等文件，其题录摘要均未出现"3个月"疗程表述；上述文件全文未开放获取，正文条款无法逐句核验，故按"未能核验"处理，不据以推断任何方向的结论。</w:t>
      </w:r>
      <w:r>
        <w:rPr>
          <w:rFonts w:ascii="Times New Roman" w:hAnsi="Times New Roman" w:eastAsia="宋体"/>
          <w:b/>
          <w:i w:val="0"/>
          <w:color w:val="1A1A1A"/>
          <w:sz w:val="21"/>
        </w:rPr>
        <w:t>临床试验注册层面</w:t>
      </w:r>
      <w:r>
        <w:rPr>
          <w:rFonts w:ascii="Times New Roman" w:hAnsi="Times New Roman" w:eastAsia="宋体"/>
          <w:b w:val="0"/>
          <w:i w:val="0"/>
          <w:color w:val="1A1A1A"/>
          <w:sz w:val="21"/>
        </w:rPr>
        <w:t>：速效救心丸的2条注册记录（急性心肌梗死易损斑块干预研究</w:t>
      </w:r>
      <w:r>
        <w:rPr>
          <w:rFonts w:ascii="Times New Roman" w:hAnsi="Times New Roman" w:eastAsia="宋体"/>
          <w:b w:val="0"/>
          <w:i w:val="0"/>
          <w:color w:val="1A1A1A"/>
          <w:sz w:val="21"/>
          <w:vertAlign w:val="superscript"/>
        </w:rPr>
        <w:t>[27]</w:t>
      </w:r>
      <w:r>
        <w:rPr>
          <w:rFonts w:ascii="Times New Roman" w:hAnsi="Times New Roman" w:eastAsia="宋体"/>
          <w:b w:val="0"/>
          <w:i w:val="0"/>
          <w:color w:val="1A1A1A"/>
          <w:sz w:val="21"/>
        </w:rPr>
        <w:t>与急性高山病预防研究</w:t>
      </w:r>
      <w:r>
        <w:rPr>
          <w:rFonts w:ascii="Times New Roman" w:hAnsi="Times New Roman" w:eastAsia="宋体"/>
          <w:b w:val="0"/>
          <w:i w:val="0"/>
          <w:color w:val="1A1A1A"/>
          <w:sz w:val="21"/>
          <w:vertAlign w:val="superscript"/>
        </w:rPr>
        <w:t>[28]</w:t>
      </w:r>
      <w:r>
        <w:rPr>
          <w:rFonts w:ascii="Times New Roman" w:hAnsi="Times New Roman" w:eastAsia="宋体"/>
          <w:b w:val="0"/>
          <w:i w:val="0"/>
          <w:color w:val="1A1A1A"/>
          <w:sz w:val="21"/>
        </w:rPr>
        <w:t>）均无"3个月疗程"设计；复方丹参滴丸的注册库检索返回2条记录，亦无该疗程设计。</w:t>
      </w:r>
      <w:r>
        <w:rPr>
          <w:rFonts w:ascii="Times New Roman" w:hAnsi="Times New Roman" w:eastAsia="宋体"/>
          <w:b/>
          <w:i w:val="0"/>
          <w:color w:val="1A1A1A"/>
          <w:sz w:val="21"/>
        </w:rPr>
        <w:t>研究文献层面</w:t>
      </w:r>
      <w:r>
        <w:rPr>
          <w:rFonts w:ascii="Times New Roman" w:hAnsi="Times New Roman" w:eastAsia="宋体"/>
          <w:b w:val="0"/>
          <w:i w:val="0"/>
          <w:color w:val="1A1A1A"/>
          <w:sz w:val="21"/>
        </w:rPr>
        <w:t>："速效救心丸 三个月"（4条）、"复方丹参滴丸 3个月 疗程"（2条）、"Suxiao Jiuxin pill course three months angina"（9条）、"Suxiao Jiuxin 3 months treatment duration"（17条）等检索的命中记录均不含该表述；现有随机对照证据的疗程为4周</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、24周</w:t>
      </w:r>
      <w:r>
        <w:rPr>
          <w:rFonts w:ascii="Times New Roman" w:hAnsi="Times New Roman" w:eastAsia="宋体"/>
          <w:b w:val="0"/>
          <w:i w:val="0"/>
          <w:color w:val="1A1A1A"/>
          <w:sz w:val="21"/>
          <w:vertAlign w:val="superscript"/>
        </w:rPr>
        <w:t>[6,13]</w:t>
      </w:r>
      <w:r>
        <w:rPr>
          <w:rFonts w:ascii="Times New Roman" w:hAnsi="Times New Roman" w:eastAsia="宋体"/>
          <w:b w:val="0"/>
          <w:i w:val="0"/>
          <w:color w:val="1A1A1A"/>
          <w:sz w:val="21"/>
        </w:rPr>
        <w:t>、6个月</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与4～12周</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，网络meta分析纳入试验的疗程范围为2～144周</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，均无"3个月为一疗程"的界定。</w:t>
      </w:r>
    </w:p>
    <w:p>
      <w:pPr>
        <w:spacing w:after="120" w:line="360" w:lineRule="auto"/>
        <w:ind w:firstLine="420"/>
      </w:pPr>
      <w:r>
        <w:rPr>
          <w:rFonts w:ascii="Times New Roman" w:hAnsi="Times New Roman" w:eastAsia="宋体"/>
          <w:b/>
          <w:i w:val="0"/>
          <w:color w:val="1A1A1A"/>
          <w:sz w:val="21"/>
        </w:rPr>
        <w:t>溯源判定（分析性推断）。</w:t>
      </w:r>
      <w:r>
        <w:rPr>
          <w:rFonts w:ascii="Times New Roman" w:hAnsi="Times New Roman" w:eastAsia="宋体"/>
          <w:b w:val="0"/>
          <w:i w:val="0"/>
          <w:color w:val="1A1A1A"/>
          <w:sz w:val="21"/>
        </w:rPr>
        <w:t xml:space="preserve"> 设"可核验出处"成立的充分条件为该句出现于：(a)某版本说明书文本；(b)指南或共识的正式条款；(c)经同行评议论文的方法或结果部分。逐层比对显示三项条件均不满足，故判定"可连续服用3个月"未能追溯到可核验出处。不能以"3个月约等于12周、与部分试验疗程接近"为由推断该表述有出处：疗程数据的存在不等于该表述本身的存在。该判定的前提假设是可及来源能够代表公开证据体系的主要部分；若未来出现载有该句的说明书修订版（含批准文号与修订日期）、指南条款或论文原文，判定应即时更新。在可及证据范围内，该阴性结论稳健，但其性质是检索性结论，不应改写为"该说法不存在"的绝对否定。在找到原始出处之前，任何将该说法表述为说明书、指南、共识或临床研究结论的引用均缺乏依据。</w:t>
      </w:r>
    </w:p>
    <w:p>
      <w:pPr>
        <w:spacing w:after="60" w:line="360" w:lineRule="auto"/>
        <w:jc w:val="center"/>
      </w:pPr>
      <w:r>
        <w:rPr>
          <w:rFonts w:ascii="Times New Roman" w:hAnsi="Times New Roman" w:eastAsia="宋体"/>
          <w:b/>
          <w:i w:val="0"/>
          <w:color w:val="1A1A1A"/>
          <w:sz w:val="19"/>
        </w:rPr>
        <w:t>表3</w:t>
      </w:r>
      <w:r>
        <w:rPr>
          <w:rFonts w:ascii="Times New Roman" w:hAnsi="Times New Roman" w:eastAsia="宋体"/>
          <w:b w:val="0"/>
          <w:i w:val="0"/>
          <w:color w:val="1A1A1A"/>
          <w:sz w:val="19"/>
        </w:rPr>
        <w:t xml:space="preserve"> "可连续服用3个月"表述在各来源层面的溯源检索结果</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来源层面</w:t>
            </w:r>
          </w:p>
        </w:tc>
        <w:tc>
          <w:tcPr>
            <w:tcW w:type="dxa" w:w="2266"/>
            <w:tcBorders>
              <w:bottom w:val="single" w:sz="6" w:color="1A1A1A"/>
            </w:tcBorders>
          </w:tcPr>
          <w:p>
            <w:pPr>
              <w:jc w:val="center"/>
            </w:pPr>
            <w:r>
              <w:rPr>
                <w:rFonts w:ascii="Times New Roman" w:hAnsi="Times New Roman" w:eastAsia="宋体"/>
                <w:b/>
                <w:i w:val="0"/>
                <w:color w:val="1A1A1A"/>
                <w:sz w:val="18"/>
              </w:rPr>
              <w:t>检索与获取情况</w:t>
            </w:r>
          </w:p>
        </w:tc>
        <w:tc>
          <w:tcPr>
            <w:tcW w:type="dxa" w:w="2266"/>
            <w:tcBorders>
              <w:bottom w:val="single" w:sz="6" w:color="1A1A1A"/>
            </w:tcBorders>
          </w:tcPr>
          <w:p>
            <w:pPr>
              <w:jc w:val="center"/>
            </w:pPr>
            <w:r>
              <w:rPr>
                <w:rFonts w:ascii="Times New Roman" w:hAnsi="Times New Roman" w:eastAsia="宋体"/>
                <w:b/>
                <w:i w:val="0"/>
                <w:color w:val="1A1A1A"/>
                <w:sz w:val="18"/>
              </w:rPr>
              <w:t>与该表述相关的发现</w:t>
            </w:r>
          </w:p>
        </w:tc>
        <w:tc>
          <w:tcPr>
            <w:tcW w:type="dxa" w:w="2266"/>
            <w:tcBorders>
              <w:bottom w:val="single" w:sz="6" w:color="1A1A1A"/>
            </w:tcBorders>
          </w:tcPr>
          <w:p>
            <w:pPr>
              <w:jc w:val="center"/>
            </w:pPr>
            <w:r>
              <w:rPr>
                <w:rFonts w:ascii="Times New Roman" w:hAnsi="Times New Roman" w:eastAsia="宋体"/>
                <w:b/>
                <w:i w:val="0"/>
                <w:color w:val="1A1A1A"/>
                <w:sz w:val="18"/>
              </w:rPr>
              <w:t>判定</w:t>
            </w:r>
          </w:p>
        </w:tc>
      </w:tr>
      <w:tr>
        <w:tc>
          <w:tcPr>
            <w:tcW w:type="dxa" w:w="2266"/>
          </w:tcPr>
          <w:p>
            <w:r>
              <w:rPr>
                <w:rFonts w:ascii="Times New Roman" w:hAnsi="Times New Roman" w:eastAsia="宋体"/>
                <w:b w:val="0"/>
                <w:i w:val="0"/>
                <w:color w:val="1A1A1A"/>
                <w:sz w:val="18"/>
              </w:rPr>
              <w:t>药品说明书</w:t>
            </w:r>
          </w:p>
        </w:tc>
        <w:tc>
          <w:tcPr>
            <w:tcW w:type="dxa" w:w="2266"/>
          </w:tcPr>
          <w:p>
            <w:r>
              <w:rPr>
                <w:rFonts w:ascii="Times New Roman" w:hAnsi="Times New Roman" w:eastAsia="宋体"/>
                <w:b w:val="0"/>
                <w:i w:val="0"/>
                <w:color w:val="1A1A1A"/>
                <w:sz w:val="18"/>
              </w:rPr>
              <w:t>两药各2份NMPA索引记录</w:t>
            </w:r>
            <w:r>
              <w:rPr>
                <w:rFonts w:ascii="Times New Roman" w:hAnsi="Times New Roman" w:eastAsia="宋体"/>
                <w:b w:val="0"/>
                <w:i w:val="0"/>
                <w:color w:val="1A1A1A"/>
                <w:sz w:val="18"/>
                <w:vertAlign w:val="superscript"/>
              </w:rPr>
              <w:t>[5,7]</w:t>
            </w:r>
            <w:r>
              <w:rPr>
                <w:rFonts w:ascii="Times New Roman" w:hAnsi="Times New Roman" w:eastAsia="宋体"/>
                <w:b w:val="0"/>
                <w:i w:val="0"/>
                <w:color w:val="1A1A1A"/>
                <w:sz w:val="18"/>
              </w:rPr>
              <w:t>；官方现行文本未能直接获取</w:t>
            </w:r>
          </w:p>
        </w:tc>
        <w:tc>
          <w:tcPr>
            <w:tcW w:type="dxa" w:w="2266"/>
          </w:tcPr>
          <w:p>
            <w:r>
              <w:rPr>
                <w:rFonts w:ascii="Times New Roman" w:hAnsi="Times New Roman" w:eastAsia="宋体"/>
                <w:b w:val="0"/>
                <w:i w:val="0"/>
                <w:color w:val="1A1A1A"/>
                <w:sz w:val="18"/>
              </w:rPr>
              <w:t>均无用法用量与疗程字段，无"3个月"表述</w:t>
            </w:r>
          </w:p>
        </w:tc>
        <w:tc>
          <w:tcPr>
            <w:tcW w:type="dxa" w:w="2266"/>
          </w:tcPr>
          <w:p>
            <w:r>
              <w:rPr>
                <w:rFonts w:ascii="Times New Roman" w:hAnsi="Times New Roman" w:eastAsia="宋体"/>
                <w:b w:val="0"/>
                <w:i w:val="0"/>
                <w:color w:val="1A1A1A"/>
                <w:sz w:val="18"/>
              </w:rPr>
              <w:t>索引记录层面无该表述；官方文本待核验</w:t>
            </w:r>
          </w:p>
        </w:tc>
      </w:tr>
      <w:tr>
        <w:tc>
          <w:tcPr>
            <w:tcW w:type="dxa" w:w="2266"/>
          </w:tcPr>
          <w:p>
            <w:r>
              <w:rPr>
                <w:rFonts w:ascii="Times New Roman" w:hAnsi="Times New Roman" w:eastAsia="宋体"/>
                <w:b w:val="0"/>
                <w:i w:val="0"/>
                <w:color w:val="1A1A1A"/>
                <w:sz w:val="18"/>
              </w:rPr>
              <w:t>指南与专家共识</w:t>
            </w:r>
          </w:p>
        </w:tc>
        <w:tc>
          <w:tcPr>
            <w:tcW w:type="dxa" w:w="2266"/>
          </w:tcPr>
          <w:p>
            <w:r>
              <w:rPr>
                <w:rFonts w:ascii="Times New Roman" w:hAnsi="Times New Roman" w:eastAsia="宋体"/>
                <w:b w:val="0"/>
                <w:i w:val="0"/>
                <w:color w:val="1A1A1A"/>
                <w:sz w:val="18"/>
              </w:rPr>
              <w:t>检得5份相关文件题录</w:t>
            </w:r>
            <w:r>
              <w:rPr>
                <w:rFonts w:ascii="Times New Roman" w:hAnsi="Times New Roman" w:eastAsia="宋体"/>
                <w:b w:val="0"/>
                <w:i w:val="0"/>
                <w:color w:val="1A1A1A"/>
                <w:sz w:val="18"/>
                <w:vertAlign w:val="superscript"/>
              </w:rPr>
              <w:t>[22-26]</w:t>
            </w:r>
            <w:r>
              <w:rPr>
                <w:rFonts w:ascii="Times New Roman" w:hAnsi="Times New Roman" w:eastAsia="宋体"/>
                <w:b w:val="0"/>
                <w:i w:val="0"/>
                <w:color w:val="1A1A1A"/>
                <w:sz w:val="18"/>
              </w:rPr>
              <w:t>（"速效救心丸 疗程 3个月"命中15条，"复方丹参滴丸 疗程 推荐疗程"命中15条）</w:t>
            </w:r>
          </w:p>
        </w:tc>
        <w:tc>
          <w:tcPr>
            <w:tcW w:type="dxa" w:w="2266"/>
          </w:tcPr>
          <w:p>
            <w:r>
              <w:rPr>
                <w:rFonts w:ascii="Times New Roman" w:hAnsi="Times New Roman" w:eastAsia="宋体"/>
                <w:b w:val="0"/>
                <w:i w:val="0"/>
                <w:color w:val="1A1A1A"/>
                <w:sz w:val="18"/>
              </w:rPr>
              <w:t>题录摘要均无"3个月"疗程表述；全文未开放获取</w:t>
            </w:r>
          </w:p>
        </w:tc>
        <w:tc>
          <w:tcPr>
            <w:tcW w:type="dxa" w:w="2266"/>
          </w:tcPr>
          <w:p>
            <w:r>
              <w:rPr>
                <w:rFonts w:ascii="Times New Roman" w:hAnsi="Times New Roman" w:eastAsia="宋体"/>
                <w:b w:val="0"/>
                <w:i w:val="0"/>
                <w:color w:val="1A1A1A"/>
                <w:sz w:val="18"/>
              </w:rPr>
              <w:t>题录层面无该表述；正文条款未能核验</w:t>
            </w:r>
          </w:p>
        </w:tc>
      </w:tr>
      <w:tr>
        <w:tc>
          <w:tcPr>
            <w:tcW w:type="dxa" w:w="2266"/>
          </w:tcPr>
          <w:p>
            <w:r>
              <w:rPr>
                <w:rFonts w:ascii="Times New Roman" w:hAnsi="Times New Roman" w:eastAsia="宋体"/>
                <w:b w:val="0"/>
                <w:i w:val="0"/>
                <w:color w:val="1A1A1A"/>
                <w:sz w:val="18"/>
              </w:rPr>
              <w:t>临床试验注册</w:t>
            </w:r>
          </w:p>
        </w:tc>
        <w:tc>
          <w:tcPr>
            <w:tcW w:type="dxa" w:w="2266"/>
          </w:tcPr>
          <w:p>
            <w:r>
              <w:rPr>
                <w:rFonts w:ascii="Times New Roman" w:hAnsi="Times New Roman" w:eastAsia="宋体"/>
                <w:b w:val="0"/>
                <w:i w:val="0"/>
                <w:color w:val="1A1A1A"/>
                <w:sz w:val="18"/>
              </w:rPr>
              <w:t>速效救心丸2条</w:t>
            </w:r>
            <w:r>
              <w:rPr>
                <w:rFonts w:ascii="Times New Roman" w:hAnsi="Times New Roman" w:eastAsia="宋体"/>
                <w:b w:val="0"/>
                <w:i w:val="0"/>
                <w:color w:val="1A1A1A"/>
                <w:sz w:val="18"/>
                <w:vertAlign w:val="superscript"/>
              </w:rPr>
              <w:t>[27,28]</w:t>
            </w:r>
            <w:r>
              <w:rPr>
                <w:rFonts w:ascii="Times New Roman" w:hAnsi="Times New Roman" w:eastAsia="宋体"/>
                <w:b w:val="0"/>
                <w:i w:val="0"/>
                <w:color w:val="1A1A1A"/>
                <w:sz w:val="18"/>
              </w:rPr>
              <w:t>、复方丹参滴丸2条注册记录</w:t>
            </w:r>
          </w:p>
        </w:tc>
        <w:tc>
          <w:tcPr>
            <w:tcW w:type="dxa" w:w="2266"/>
          </w:tcPr>
          <w:p>
            <w:r>
              <w:rPr>
                <w:rFonts w:ascii="Times New Roman" w:hAnsi="Times New Roman" w:eastAsia="宋体"/>
                <w:b w:val="0"/>
                <w:i w:val="0"/>
                <w:color w:val="1A1A1A"/>
                <w:sz w:val="18"/>
              </w:rPr>
              <w:t>均无"3个月疗程"设计</w:t>
            </w:r>
          </w:p>
        </w:tc>
        <w:tc>
          <w:tcPr>
            <w:tcW w:type="dxa" w:w="2266"/>
          </w:tcPr>
          <w:p>
            <w:r>
              <w:rPr>
                <w:rFonts w:ascii="Times New Roman" w:hAnsi="Times New Roman" w:eastAsia="宋体"/>
                <w:b w:val="0"/>
                <w:i w:val="0"/>
                <w:color w:val="1A1A1A"/>
                <w:sz w:val="18"/>
              </w:rPr>
              <w:t>无该表述</w:t>
            </w:r>
          </w:p>
        </w:tc>
      </w:tr>
      <w:tr>
        <w:tc>
          <w:tcPr>
            <w:tcW w:type="dxa" w:w="2266"/>
          </w:tcPr>
          <w:p>
            <w:r>
              <w:rPr>
                <w:rFonts w:ascii="Times New Roman" w:hAnsi="Times New Roman" w:eastAsia="宋体"/>
                <w:b w:val="0"/>
                <w:i w:val="0"/>
                <w:color w:val="1A1A1A"/>
                <w:sz w:val="18"/>
              </w:rPr>
              <w:t>研究文献</w:t>
            </w:r>
          </w:p>
        </w:tc>
        <w:tc>
          <w:tcPr>
            <w:tcW w:type="dxa" w:w="2266"/>
          </w:tcPr>
          <w:p>
            <w:r>
              <w:rPr>
                <w:rFonts w:ascii="Times New Roman" w:hAnsi="Times New Roman" w:eastAsia="宋体"/>
                <w:b w:val="0"/>
                <w:i w:val="0"/>
                <w:color w:val="1A1A1A"/>
                <w:sz w:val="18"/>
              </w:rPr>
              <w:t>专门检索式："速效救心丸 三个月"（4条）、"复方丹参滴丸 3个月 疗程"（2条）、"Suxiao Jiuxin pill course three months angina"（9条）、"Suxiao Jiuxin 3 months treatment duration"（17条）；另有多个变体检索式零命中</w:t>
            </w:r>
          </w:p>
        </w:tc>
        <w:tc>
          <w:tcPr>
            <w:tcW w:type="dxa" w:w="2266"/>
          </w:tcPr>
          <w:p>
            <w:r>
              <w:rPr>
                <w:rFonts w:ascii="Times New Roman" w:hAnsi="Times New Roman" w:eastAsia="宋体"/>
                <w:b w:val="0"/>
                <w:i w:val="0"/>
                <w:color w:val="1A1A1A"/>
                <w:sz w:val="18"/>
              </w:rPr>
              <w:t>命中记录均不含该表述；现有试验疗程为4周</w:t>
            </w:r>
            <w:r>
              <w:rPr>
                <w:rFonts w:ascii="Times New Roman" w:hAnsi="Times New Roman" w:eastAsia="宋体"/>
                <w:b w:val="0"/>
                <w:i w:val="0"/>
                <w:color w:val="1A1A1A"/>
                <w:sz w:val="18"/>
                <w:vertAlign w:val="superscript"/>
              </w:rPr>
              <w:t>[9]</w:t>
            </w:r>
            <w:r>
              <w:rPr>
                <w:rFonts w:ascii="Times New Roman" w:hAnsi="Times New Roman" w:eastAsia="宋体"/>
                <w:b w:val="0"/>
                <w:i w:val="0"/>
                <w:color w:val="1A1A1A"/>
                <w:sz w:val="18"/>
              </w:rPr>
              <w:t>、24周</w:t>
            </w:r>
            <w:r>
              <w:rPr>
                <w:rFonts w:ascii="Times New Roman" w:hAnsi="Times New Roman" w:eastAsia="宋体"/>
                <w:b w:val="0"/>
                <w:i w:val="0"/>
                <w:color w:val="1A1A1A"/>
                <w:sz w:val="18"/>
                <w:vertAlign w:val="superscript"/>
              </w:rPr>
              <w:t>[6,13]</w:t>
            </w:r>
            <w:r>
              <w:rPr>
                <w:rFonts w:ascii="Times New Roman" w:hAnsi="Times New Roman" w:eastAsia="宋体"/>
                <w:b w:val="0"/>
                <w:i w:val="0"/>
                <w:color w:val="1A1A1A"/>
                <w:sz w:val="18"/>
              </w:rPr>
              <w:t>、6个月</w:t>
            </w:r>
            <w:r>
              <w:rPr>
                <w:rFonts w:ascii="Times New Roman" w:hAnsi="Times New Roman" w:eastAsia="宋体"/>
                <w:b w:val="0"/>
                <w:i w:val="0"/>
                <w:color w:val="1A1A1A"/>
                <w:sz w:val="18"/>
                <w:vertAlign w:val="superscript"/>
              </w:rPr>
              <w:t>[12]</w:t>
            </w:r>
            <w:r>
              <w:rPr>
                <w:rFonts w:ascii="Times New Roman" w:hAnsi="Times New Roman" w:eastAsia="宋体"/>
                <w:b w:val="0"/>
                <w:i w:val="0"/>
                <w:color w:val="1A1A1A"/>
                <w:sz w:val="18"/>
              </w:rPr>
              <w:t>、4～12周</w:t>
            </w:r>
            <w:r>
              <w:rPr>
                <w:rFonts w:ascii="Times New Roman" w:hAnsi="Times New Roman" w:eastAsia="宋体"/>
                <w:b w:val="0"/>
                <w:i w:val="0"/>
                <w:color w:val="1A1A1A"/>
                <w:sz w:val="18"/>
                <w:vertAlign w:val="superscript"/>
              </w:rPr>
              <w:t>[8]</w:t>
            </w:r>
            <w:r>
              <w:rPr>
                <w:rFonts w:ascii="Times New Roman" w:hAnsi="Times New Roman" w:eastAsia="宋体"/>
                <w:b w:val="0"/>
                <w:i w:val="0"/>
                <w:color w:val="1A1A1A"/>
                <w:sz w:val="18"/>
              </w:rPr>
              <w:t>，网络meta纳入试验为2～144周</w:t>
            </w:r>
            <w:r>
              <w:rPr>
                <w:rFonts w:ascii="Times New Roman" w:hAnsi="Times New Roman" w:eastAsia="宋体"/>
                <w:b w:val="0"/>
                <w:i w:val="0"/>
                <w:color w:val="1A1A1A"/>
                <w:sz w:val="18"/>
                <w:vertAlign w:val="superscript"/>
              </w:rPr>
              <w:t>[4]</w:t>
            </w:r>
          </w:p>
        </w:tc>
        <w:tc>
          <w:tcPr>
            <w:tcW w:type="dxa" w:w="2266"/>
          </w:tcPr>
          <w:p>
            <w:r>
              <w:rPr>
                <w:rFonts w:ascii="Times New Roman" w:hAnsi="Times New Roman" w:eastAsia="宋体"/>
                <w:b w:val="0"/>
                <w:i w:val="0"/>
                <w:color w:val="1A1A1A"/>
                <w:sz w:val="18"/>
              </w:rPr>
              <w:t>无该表述</w:t>
            </w:r>
          </w:p>
        </w:tc>
      </w:tr>
    </w:tbl>
    <w:p>
      <w:pPr>
        <w:spacing w:after="80"/>
      </w:pPr>
    </w:p>
    <w:p>
      <w:pPr>
        <w:spacing w:after="120" w:line="312" w:lineRule="auto" w:before="240"/>
      </w:pPr>
      <w:r>
        <w:rPr>
          <w:rFonts w:ascii="Times New Roman" w:hAnsi="Times New Roman" w:eastAsia="黑体"/>
          <w:b/>
          <w:i w:val="0"/>
          <w:color w:val="1A1A1A"/>
          <w:sz w:val="26"/>
        </w:rPr>
        <w:t>4 讨论</w:t>
      </w:r>
    </w:p>
    <w:p>
      <w:pPr>
        <w:spacing w:after="80" w:line="312" w:lineRule="auto" w:before="160"/>
      </w:pPr>
      <w:r>
        <w:rPr>
          <w:rFonts w:ascii="Times New Roman" w:hAnsi="Times New Roman" w:eastAsia="黑体"/>
          <w:b/>
          <w:i w:val="0"/>
          <w:color w:val="1A1A1A"/>
          <w:sz w:val="22"/>
        </w:rPr>
        <w:t>4.1 主要发现与多源印证</w:t>
      </w:r>
    </w:p>
    <w:p>
      <w:pPr>
        <w:spacing w:after="120" w:line="360" w:lineRule="auto"/>
        <w:ind w:firstLine="420"/>
      </w:pPr>
      <w:r>
        <w:rPr>
          <w:rFonts w:ascii="Times New Roman" w:hAnsi="Times New Roman" w:eastAsia="宋体"/>
          <w:b w:val="0"/>
          <w:i w:val="0"/>
          <w:color w:val="1A1A1A"/>
          <w:sz w:val="21"/>
        </w:rPr>
        <w:t>本研究的核心发现可归纳为四点：两药说明书层面的功能主治、禁忌与适应症范围差异可在索引记录层面核验，而用法用量与疗程差异未能核验；起效特征差异仅有机制与动物研究层面证据，无人体对比数据；两药各自的临床证据以低质量替代终点试验为主，且不存在头对头比较；"可连续服用3个月"未能追溯到可核验出处。</w:t>
      </w:r>
    </w:p>
    <w:p>
      <w:pPr>
        <w:spacing w:after="120" w:line="360" w:lineRule="auto"/>
        <w:ind w:firstLine="420"/>
      </w:pPr>
      <w:r>
        <w:rPr>
          <w:rFonts w:ascii="Times New Roman" w:hAnsi="Times New Roman" w:eastAsia="宋体"/>
          <w:b w:val="0"/>
          <w:i w:val="0"/>
          <w:color w:val="1A1A1A"/>
          <w:sz w:val="21"/>
        </w:rPr>
        <w:t>其中两项结论获得多个独立来源的一致印证。"无头对头证据"有三重来源：网络meta分析中两药节点间无直接比较边</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；再狭窄预防网络meta分析明确声明无头对头随机对照试验</w:t>
      </w:r>
      <w:r>
        <w:rPr>
          <w:rFonts w:ascii="Times New Roman" w:hAnsi="Times New Roman" w:eastAsia="宋体"/>
          <w:b w:val="0"/>
          <w:i w:val="0"/>
          <w:color w:val="1A1A1A"/>
          <w:sz w:val="21"/>
          <w:vertAlign w:val="superscript"/>
        </w:rPr>
        <w:t>[20]</w:t>
      </w:r>
      <w:r>
        <w:rPr>
          <w:rFonts w:ascii="Times New Roman" w:hAnsi="Times New Roman" w:eastAsia="宋体"/>
          <w:b w:val="0"/>
          <w:i w:val="0"/>
          <w:color w:val="1A1A1A"/>
          <w:sz w:val="21"/>
        </w:rPr>
        <w:t>；中英文直接检索零命中。三者方向一致，且若存在头对头研究，上述检索理应命中，故该结论可信度较高。"证据质量低"则由四种相互独立的评价工具收敛得出：Jadad评分（多数试验低分）</w:t>
      </w:r>
      <w:r>
        <w:rPr>
          <w:rFonts w:ascii="Times New Roman" w:hAnsi="Times New Roman" w:eastAsia="宋体"/>
          <w:b w:val="0"/>
          <w:i w:val="0"/>
          <w:color w:val="1A1A1A"/>
          <w:sz w:val="21"/>
          <w:vertAlign w:val="superscript"/>
        </w:rPr>
        <w:t>[11]</w:t>
      </w:r>
      <w:r>
        <w:rPr>
          <w:rFonts w:ascii="Times New Roman" w:hAnsi="Times New Roman" w:eastAsia="宋体"/>
          <w:b w:val="0"/>
          <w:i w:val="0"/>
          <w:color w:val="1A1A1A"/>
          <w:sz w:val="21"/>
        </w:rPr>
        <w:t>、GRADE分级（极低至低）</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、RoB 2（全部试验"有一定担忧"）</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与针对试验报告质量的专项评价（高质量试验占比极低）</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一处表面冲突需要说明：网络meta分析中速效救心丸的临床有效率SUCRA（71.04%）高于未进入前三位的复方丹参滴丸</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这一排序差异与"无优劣证据"的结论并不矛盾：SUCRA是概率性排序指标，其数值高低不构成假设检验意义上的差异；该网络中速效救心丸节点仅6项试验，且未报告两药间统计学显著的成对比较。本研究采纳更保守、方法学上更稳健的解读，即排序不可作为用药决策依据。</w:t>
      </w:r>
    </w:p>
    <w:p>
      <w:pPr>
        <w:spacing w:after="80" w:line="312" w:lineRule="auto" w:before="160"/>
      </w:pPr>
      <w:r>
        <w:rPr>
          <w:rFonts w:ascii="Times New Roman" w:hAnsi="Times New Roman" w:eastAsia="黑体"/>
          <w:b/>
          <w:i w:val="0"/>
          <w:color w:val="1A1A1A"/>
          <w:sz w:val="22"/>
        </w:rPr>
        <w:t>4.2 证据解读的边界</w:t>
      </w:r>
    </w:p>
    <w:p>
      <w:pPr>
        <w:spacing w:after="120" w:line="360" w:lineRule="auto"/>
        <w:ind w:firstLine="420"/>
      </w:pPr>
      <w:r>
        <w:rPr>
          <w:rFonts w:ascii="Times New Roman" w:hAnsi="Times New Roman" w:eastAsia="宋体"/>
          <w:b w:val="0"/>
          <w:i w:val="0"/>
          <w:color w:val="1A1A1A"/>
          <w:sz w:val="21"/>
        </w:rPr>
        <w:t>起效特征方面，"速效救心丸起效快于复方丹参滴丸"属于无直接数据支持的推断。可核验的起效数据仅存在于速效救心丸的动物实验（模拟舌下给药后5～20分钟、灌胃后10～20分钟）</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与对Cochrane评价的转述</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；复方丹参滴丸无等价的起效时间数据可供对比</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该推断还依赖"动物时间窗与人体临床起效具有可类比性"的假设，而这一假设本身缺乏证据；只有出现规范的人体达峰时间或症状起效时间对比研究，相应约束才能解除。在此之前，"起效更快"不应写入任何结论或宣传材料。</w:t>
      </w:r>
    </w:p>
    <w:p>
      <w:pPr>
        <w:spacing w:after="120" w:line="360" w:lineRule="auto"/>
        <w:ind w:firstLine="420"/>
      </w:pPr>
      <w:r>
        <w:rPr>
          <w:rFonts w:ascii="Times New Roman" w:hAnsi="Times New Roman" w:eastAsia="宋体"/>
          <w:b w:val="0"/>
          <w:i w:val="0"/>
          <w:color w:val="1A1A1A"/>
          <w:sz w:val="21"/>
        </w:rPr>
        <w:t>疗程表述方面，在可核验记录层面，两药说明书均未见疗程规定</w:t>
      </w:r>
      <w:r>
        <w:rPr>
          <w:rFonts w:ascii="Times New Roman" w:hAnsi="Times New Roman" w:eastAsia="宋体"/>
          <w:b w:val="0"/>
          <w:i w:val="0"/>
          <w:color w:val="1A1A1A"/>
          <w:sz w:val="21"/>
          <w:vertAlign w:val="superscript"/>
        </w:rPr>
        <w:t>[5,7]</w:t>
      </w:r>
      <w:r>
        <w:rPr>
          <w:rFonts w:ascii="Times New Roman" w:hAnsi="Times New Roman" w:eastAsia="宋体"/>
          <w:b w:val="0"/>
          <w:i w:val="0"/>
          <w:color w:val="1A1A1A"/>
          <w:sz w:val="21"/>
        </w:rPr>
        <w:t>，现有试验疗程为4周至6个月不等</w:t>
      </w:r>
      <w:r>
        <w:rPr>
          <w:rFonts w:ascii="Times New Roman" w:hAnsi="Times New Roman" w:eastAsia="宋体"/>
          <w:b w:val="0"/>
          <w:i w:val="0"/>
          <w:color w:val="1A1A1A"/>
          <w:sz w:val="21"/>
          <w:vertAlign w:val="superscript"/>
        </w:rPr>
        <w:t>[6,8,9,12]</w:t>
      </w:r>
      <w:r>
        <w:rPr>
          <w:rFonts w:ascii="Times New Roman" w:hAnsi="Times New Roman" w:eastAsia="宋体"/>
          <w:b w:val="0"/>
          <w:i w:val="0"/>
          <w:color w:val="1A1A1A"/>
          <w:sz w:val="21"/>
        </w:rPr>
        <w:t>。因此面向患者的准确表述应为"按说明书与医嘱使用，疗程由病情与随访决定"，并明确"说明书未规定3个月疗程"。该表述框架的前提是说明书索引记录完整反映说明书文本；若官方现行说明书载有疗程字段，应以官方文本为准更新。</w:t>
      </w:r>
    </w:p>
    <w:p>
      <w:pPr>
        <w:spacing w:after="80" w:line="312" w:lineRule="auto" w:before="160"/>
      </w:pPr>
      <w:r>
        <w:rPr>
          <w:rFonts w:ascii="Times New Roman" w:hAnsi="Times New Roman" w:eastAsia="黑体"/>
          <w:b/>
          <w:i w:val="0"/>
          <w:color w:val="1A1A1A"/>
          <w:sz w:val="22"/>
        </w:rPr>
        <w:t>4.3 对临床实践与公众沟通的启示</w:t>
      </w:r>
    </w:p>
    <w:p>
      <w:pPr>
        <w:spacing w:after="120" w:line="360" w:lineRule="auto"/>
        <w:ind w:firstLine="420"/>
      </w:pPr>
      <w:r>
        <w:rPr>
          <w:rFonts w:ascii="Times New Roman" w:hAnsi="Times New Roman" w:eastAsia="宋体"/>
          <w:b w:val="0"/>
          <w:i w:val="0"/>
          <w:color w:val="1A1A1A"/>
          <w:sz w:val="21"/>
        </w:rPr>
        <w:t>本研究纳入的全部临床证据均来自已确诊冠心病人群（稳定型心绞痛、慢性冠脉综合征、急性冠脉综合征介入治疗后）的常规治疗背景，不构成对急性胸痛自我判断或自救用药的任何支持。突发、持续不缓解的胸痛（可表现为挤压样或压迫样不适，或伴大汗、恶心、气短）应视为可能的心肌梗死，须立即呼叫急救（中国大陆拨打120）并尽快接受医院急诊评估与救治，不得因含服任何药物而延误</w:t>
      </w:r>
      <w:r>
        <w:rPr>
          <w:rFonts w:ascii="Times New Roman" w:hAnsi="Times New Roman" w:eastAsia="宋体"/>
          <w:b w:val="0"/>
          <w:i w:val="0"/>
          <w:color w:val="1A1A1A"/>
          <w:sz w:val="21"/>
          <w:vertAlign w:val="superscript"/>
        </w:rPr>
        <w:t>[29]</w:t>
      </w:r>
      <w:r>
        <w:rPr>
          <w:rFonts w:ascii="Times New Roman" w:hAnsi="Times New Roman" w:eastAsia="宋体"/>
          <w:b w:val="0"/>
          <w:i w:val="0"/>
          <w:color w:val="1A1A1A"/>
          <w:sz w:val="21"/>
        </w:rPr>
        <w:t>；服用速效救心丸不应成为延迟呼叫急救的理由——出现需急救的胸痛时，应同时（而非事后）拨打急救电话，含服速效救心丸不能替代急诊评估与救治</w:t>
      </w:r>
      <w:r>
        <w:rPr>
          <w:rFonts w:ascii="Times New Roman" w:hAnsi="Times New Roman" w:eastAsia="宋体"/>
          <w:b w:val="0"/>
          <w:i w:val="0"/>
          <w:color w:val="1A1A1A"/>
          <w:sz w:val="21"/>
          <w:vertAlign w:val="superscript"/>
        </w:rPr>
        <w:t>[29]</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在慢性治疗语境中，证据的适用范围同样需要严格限定：速效救心丸辅助常规治疗4周改善症状评分的证据，仅适用于不耐受长效硝酸酯的慢性冠脉综合征人群与该疗程</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，不能外推至急性胸痛或长期连续服用的主张；复方丹参滴丸对照硝酸酯的症状与心电图改善证据等级极低至低</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，不能据以宣称其优于硝酸酯或适用于未确诊的胸痛。</w:t>
      </w:r>
    </w:p>
    <w:p>
      <w:pPr>
        <w:spacing w:after="80" w:line="312" w:lineRule="auto" w:before="160"/>
      </w:pPr>
      <w:r>
        <w:rPr>
          <w:rFonts w:ascii="Times New Roman" w:hAnsi="Times New Roman" w:eastAsia="黑体"/>
          <w:b/>
          <w:i w:val="0"/>
          <w:color w:val="1A1A1A"/>
          <w:sz w:val="22"/>
        </w:rPr>
        <w:t>4.4 未来研究方向</w:t>
      </w:r>
    </w:p>
    <w:p>
      <w:pPr>
        <w:spacing w:after="120" w:line="360" w:lineRule="auto"/>
        <w:ind w:firstLine="420"/>
      </w:pPr>
      <w:r>
        <w:rPr>
          <w:rFonts w:ascii="Times New Roman" w:hAnsi="Times New Roman" w:eastAsia="宋体"/>
          <w:b w:val="0"/>
          <w:i w:val="0"/>
          <w:color w:val="1A1A1A"/>
          <w:sz w:val="21"/>
        </w:rPr>
        <w:t>能够实质改变本研究结论的证据包括三类：(1)两药直接头对头、双盲、同时以症状改善与硬终点为结局的随机对照试验；(2)两药在健康志愿者或患者中的规范药代动力学（达峰时间、峰浓度）及舌下含服起效时间对比研究；(3)能够定位"可连续服用3个月"原文的可核验文件，包括含批准文号与修订日期的说明书版本、指南条款或论文段落。在上述证据出现之前，"两药等效或某药更优""起效更快""可连续服用3个月"均不应进入临床结论或科普表述。</w:t>
      </w:r>
    </w:p>
    <w:p>
      <w:pPr>
        <w:spacing w:after="80" w:line="312" w:lineRule="auto" w:before="160"/>
      </w:pPr>
      <w:r>
        <w:rPr>
          <w:rFonts w:ascii="Times New Roman" w:hAnsi="Times New Roman" w:eastAsia="黑体"/>
          <w:b/>
          <w:i w:val="0"/>
          <w:color w:val="1A1A1A"/>
          <w:sz w:val="22"/>
        </w:rPr>
        <w:t>4.5 局限性</w:t>
      </w:r>
    </w:p>
    <w:p>
      <w:pPr>
        <w:spacing w:after="120" w:line="360" w:lineRule="auto"/>
        <w:ind w:firstLine="420"/>
      </w:pPr>
      <w:r>
        <w:rPr>
          <w:rFonts w:ascii="Times New Roman" w:hAnsi="Times New Roman" w:eastAsia="宋体"/>
          <w:b w:val="0"/>
          <w:i w:val="0"/>
          <w:color w:val="1A1A1A"/>
          <w:sz w:val="21"/>
        </w:rPr>
        <w:t>本研究的局限应如实说明。第一，说明书核验受限：两药说明书仅获得NMPA索引记录，官方现行文本未能直接获取，故关于用法用量与疗程的结论是"未能核验"而非"不存在"。第二，中文文献覆盖受限：未检索CNKI、万方等中文全文数据库，相关专家共识全文未开放获取，仅能按题录与摘要处理，可能遗漏仅存在于中文全文中的疗程表述；"3个月"的阴性结论因此限定于可及证据范围，而非对全部文献的穷尽性否定。第三，证据形式受限：纳入试验绝大多数采用替代终点、样本量小、方法学质量低，且高度集中于中国人群，外推性受限，阴性结果的发表偏倚无法排除。第四，间接比较固有局限：两药比较完全依赖网络meta分析的间接路径，节点证据量悬殊，排序不确定性大。第五，流程局限：筛选与提取由单一流程完成，未做双人独立核对，亦无前瞻性注册。第六，时效性：检索截止2026年8月4日，此后发表的证据未纳入。</w:t>
      </w:r>
    </w:p>
    <w:p>
      <w:pPr>
        <w:spacing w:after="120" w:line="312" w:lineRule="auto" w:before="240"/>
      </w:pPr>
      <w:r>
        <w:rPr>
          <w:rFonts w:ascii="Times New Roman" w:hAnsi="Times New Roman" w:eastAsia="黑体"/>
          <w:b/>
          <w:i w:val="0"/>
          <w:color w:val="1A1A1A"/>
          <w:sz w:val="26"/>
        </w:rPr>
        <w:t>5 结论</w:t>
      </w:r>
    </w:p>
    <w:p>
      <w:pPr>
        <w:spacing w:after="120" w:line="360" w:lineRule="auto"/>
        <w:ind w:firstLine="420"/>
      </w:pPr>
      <w:r>
        <w:rPr>
          <w:rFonts w:ascii="Times New Roman" w:hAnsi="Times New Roman" w:eastAsia="宋体"/>
          <w:b w:val="0"/>
          <w:i w:val="0"/>
          <w:color w:val="1A1A1A"/>
          <w:sz w:val="21"/>
        </w:rPr>
        <w:t>在可及证据范围内，本研究得出以下结论。(1)说明书层面：两药的功能主治措辞、规格（速效救心丸每丸重40 mg）、禁忌（孕妇禁用与过敏者禁用）及适应症范围（复方丹参滴丸另有糖尿病视网膜病变适应症）差异可在索引记录层面核验；用法用量与疗程差异未能核验，须以官方现行说明书为准</w:t>
      </w:r>
      <w:r>
        <w:rPr>
          <w:rFonts w:ascii="Times New Roman" w:hAnsi="Times New Roman" w:eastAsia="宋体"/>
          <w:b w:val="0"/>
          <w:i w:val="0"/>
          <w:color w:val="1A1A1A"/>
          <w:sz w:val="21"/>
          <w:vertAlign w:val="superscript"/>
        </w:rPr>
        <w:t>[5,7]</w:t>
      </w:r>
      <w:r>
        <w:rPr>
          <w:rFonts w:ascii="Times New Roman" w:hAnsi="Times New Roman" w:eastAsia="宋体"/>
          <w:b w:val="0"/>
          <w:i w:val="0"/>
          <w:color w:val="1A1A1A"/>
          <w:sz w:val="21"/>
        </w:rPr>
        <w:t>。(2)起效特征：速效救心丸"舌下含服快速缓解心绞痛"有文献转述与动物起效时间数据支持，复方丹参滴丸无等价数据，两药均无人体达峰时间对比证据</w:t>
      </w:r>
      <w:r>
        <w:rPr>
          <w:rFonts w:ascii="Times New Roman" w:hAnsi="Times New Roman" w:eastAsia="宋体"/>
          <w:b w:val="0"/>
          <w:i w:val="0"/>
          <w:color w:val="1A1A1A"/>
          <w:sz w:val="21"/>
          <w:vertAlign w:val="superscript"/>
        </w:rPr>
        <w:t>[1,10]</w:t>
      </w:r>
      <w:r>
        <w:rPr>
          <w:rFonts w:ascii="Times New Roman" w:hAnsi="Times New Roman" w:eastAsia="宋体"/>
          <w:b w:val="0"/>
          <w:i w:val="0"/>
          <w:color w:val="1A1A1A"/>
          <w:sz w:val="21"/>
        </w:rPr>
        <w:t>。(3)证据强度：两药各有以症状与心电图改善为终点的随机对照证据，但试验质量低、硬终点证据不足、证据等级极低至低</w:t>
      </w:r>
      <w:r>
        <w:rPr>
          <w:rFonts w:ascii="Times New Roman" w:hAnsi="Times New Roman" w:eastAsia="宋体"/>
          <w:b w:val="0"/>
          <w:i w:val="0"/>
          <w:color w:val="1A1A1A"/>
          <w:sz w:val="21"/>
          <w:vertAlign w:val="superscript"/>
        </w:rPr>
        <w:t>[8,11]</w:t>
      </w:r>
      <w:r>
        <w:rPr>
          <w:rFonts w:ascii="Times New Roman" w:hAnsi="Times New Roman" w:eastAsia="宋体"/>
          <w:b w:val="0"/>
          <w:i w:val="0"/>
          <w:color w:val="1A1A1A"/>
          <w:sz w:val="21"/>
        </w:rPr>
        <w:t>。(4)比较证据：不存在两药直接头对头随机对照试验；网络meta分析仅能提供低可信度的间接比较，其排序不能作为优劣依据</w:t>
      </w:r>
      <w:r>
        <w:rPr>
          <w:rFonts w:ascii="Times New Roman" w:hAnsi="Times New Roman" w:eastAsia="宋体"/>
          <w:b w:val="0"/>
          <w:i w:val="0"/>
          <w:color w:val="1A1A1A"/>
          <w:sz w:val="21"/>
          <w:vertAlign w:val="superscript"/>
        </w:rPr>
        <w:t>[4,20]</w:t>
      </w:r>
      <w:r>
        <w:rPr>
          <w:rFonts w:ascii="Times New Roman" w:hAnsi="Times New Roman" w:eastAsia="宋体"/>
          <w:b w:val="0"/>
          <w:i w:val="0"/>
          <w:color w:val="1A1A1A"/>
          <w:sz w:val="21"/>
        </w:rPr>
        <w:t>。(5)"可连续服用3个月"未能追溯到可核验出处，不得表述为说明书、指南、共识或临床研究的结论；临床与公众沟通应表述为"说明书未规定3个月疗程，按说明书与医嘱使用，疗程依病情与随访而定"。对可疑急性心肌梗死症状，立即呼叫急救始终优先于任何药物含服</w:t>
      </w:r>
      <w:r>
        <w:rPr>
          <w:rFonts w:ascii="Times New Roman" w:hAnsi="Times New Roman" w:eastAsia="宋体"/>
          <w:b w:val="0"/>
          <w:i w:val="0"/>
          <w:color w:val="1A1A1A"/>
          <w:sz w:val="21"/>
          <w:vertAlign w:val="superscript"/>
        </w:rPr>
        <w:t>[29]</w:t>
      </w:r>
      <w:r>
        <w:rPr>
          <w:rFonts w:ascii="Times New Roman" w:hAnsi="Times New Roman" w:eastAsia="宋体"/>
          <w:b w:val="0"/>
          <w:i w:val="0"/>
          <w:color w:val="1A1A1A"/>
          <w:sz w:val="21"/>
        </w:rPr>
        <w:t>。</w:t>
      </w:r>
    </w:p>
    <w:p>
      <w:pPr>
        <w:spacing w:after="120" w:line="312" w:lineRule="auto" w:before="240"/>
      </w:pPr>
      <w:r>
        <w:rPr>
          <w:rFonts w:ascii="Times New Roman" w:hAnsi="Times New Roman" w:eastAsia="黑体"/>
          <w:b/>
          <w:i w:val="0"/>
          <w:color w:val="1A1A1A"/>
          <w:sz w:val="24"/>
        </w:rPr>
        <w:t>参考文献</w:t>
      </w:r>
    </w:p>
    <w:p>
      <w:pPr>
        <w:spacing w:after="60" w:line="312" w:lineRule="auto"/>
        <w:ind w:left="510" w:hanging="510"/>
      </w:pPr>
      <w:r>
        <w:rPr>
          <w:rFonts w:ascii="Times New Roman" w:hAnsi="Times New Roman" w:eastAsia="宋体"/>
          <w:b w:val="0"/>
          <w:i w:val="0"/>
          <w:color w:val="1A1A1A"/>
          <w:sz w:val="18"/>
        </w:rPr>
        <w:t>[1]</w:t>
      </w:r>
      <w:r>
        <w:rPr>
          <w:rFonts w:ascii="Times New Roman" w:hAnsi="Times New Roman" w:eastAsia="宋体"/>
          <w:b w:val="0"/>
          <w:i w:val="0"/>
          <w:color w:val="1A1A1A"/>
          <w:sz w:val="18"/>
        </w:rPr>
        <w:t xml:space="preserve"> LI S, ZHAN J G, WANG Y C, et al. Suxiao Jiuxin Pill attenuates acute myocardial ischemia via regulation of coronary artery tone[J]. Front Pharmacol, 2023, 14: 1104243. DOI: 10.3389/fphar.2023.1104243.</w:t>
      </w:r>
    </w:p>
    <w:p>
      <w:pPr>
        <w:spacing w:after="60" w:line="312" w:lineRule="auto"/>
        <w:ind w:left="510" w:hanging="510"/>
      </w:pPr>
      <w:r>
        <w:rPr>
          <w:rFonts w:ascii="Times New Roman" w:hAnsi="Times New Roman" w:eastAsia="宋体"/>
          <w:b w:val="0"/>
          <w:i w:val="0"/>
          <w:color w:val="1A1A1A"/>
          <w:sz w:val="18"/>
        </w:rPr>
        <w:t>[2]</w:t>
      </w:r>
      <w:r>
        <w:rPr>
          <w:rFonts w:ascii="Times New Roman" w:hAnsi="Times New Roman" w:eastAsia="宋体"/>
          <w:b w:val="0"/>
          <w:i w:val="0"/>
          <w:color w:val="1A1A1A"/>
          <w:sz w:val="18"/>
        </w:rPr>
        <w:t xml:space="preserve"> JIN T, LIU Z, CHU Y, et al. UFLC-MS/MS determination and population pharmacokinetic study of tanshinol, ginsenoside Rb1 and Rg1 in rat plasma after oral administration of Compound Danshen Dripping Pills[J]. Eur J Drug Metab Pharmacokinet, 2020. PMID: 32304023.</w:t>
      </w:r>
    </w:p>
    <w:p>
      <w:pPr>
        <w:spacing w:after="60" w:line="312" w:lineRule="auto"/>
        <w:ind w:left="510" w:hanging="510"/>
      </w:pPr>
      <w:r>
        <w:rPr>
          <w:rFonts w:ascii="Times New Roman" w:hAnsi="Times New Roman" w:eastAsia="宋体"/>
          <w:b w:val="0"/>
          <w:i w:val="0"/>
          <w:color w:val="1A1A1A"/>
          <w:sz w:val="18"/>
        </w:rPr>
        <w:t>[3]</w:t>
      </w:r>
      <w:r>
        <w:rPr>
          <w:rFonts w:ascii="Times New Roman" w:hAnsi="Times New Roman" w:eastAsia="宋体"/>
          <w:b w:val="0"/>
          <w:i w:val="0"/>
          <w:color w:val="1A1A1A"/>
          <w:sz w:val="18"/>
        </w:rPr>
        <w:t xml:space="preserve"> DUAN X, ZHOU L, WU T. Chinese herbal medicine suxiao jiuxin wan for angina pectoris[J]. Cochrane Database Syst Rev, 2008(1): CD004473. DOI: 10.1002/14651858.CD004473.pub2.</w:t>
      </w:r>
    </w:p>
    <w:p>
      <w:pPr>
        <w:spacing w:after="60" w:line="312" w:lineRule="auto"/>
        <w:ind w:left="510" w:hanging="510"/>
      </w:pPr>
      <w:r>
        <w:rPr>
          <w:rFonts w:ascii="Times New Roman" w:hAnsi="Times New Roman" w:eastAsia="宋体"/>
          <w:b w:val="0"/>
          <w:i w:val="0"/>
          <w:color w:val="1A1A1A"/>
          <w:sz w:val="18"/>
        </w:rPr>
        <w:t>[4]</w:t>
      </w:r>
      <w:r>
        <w:rPr>
          <w:rFonts w:ascii="Times New Roman" w:hAnsi="Times New Roman" w:eastAsia="宋体"/>
          <w:b w:val="0"/>
          <w:i w:val="0"/>
          <w:color w:val="1A1A1A"/>
          <w:sz w:val="18"/>
        </w:rPr>
        <w:t xml:space="preserve"> HUANG P Y, LI Z S, CHEN L, et al. The comparative effects of oral Chinese patent medicines combined with western medicine in stable angina: a systematic review and network meta-analysis of 179 trials[J]. Front Pharmacol, 2022, 13: 918689. DOI: 10.3389/fphar.2022.918689.</w:t>
      </w:r>
    </w:p>
    <w:p>
      <w:pPr>
        <w:spacing w:after="60" w:line="312" w:lineRule="auto"/>
        <w:ind w:left="510" w:hanging="510"/>
      </w:pPr>
      <w:r>
        <w:rPr>
          <w:rFonts w:ascii="Times New Roman" w:hAnsi="Times New Roman" w:eastAsia="宋体"/>
          <w:b w:val="0"/>
          <w:i w:val="0"/>
          <w:color w:val="1A1A1A"/>
          <w:sz w:val="18"/>
        </w:rPr>
        <w:t>[5]</w:t>
      </w:r>
      <w:r>
        <w:rPr>
          <w:rFonts w:ascii="Times New Roman" w:hAnsi="Times New Roman" w:eastAsia="宋体"/>
          <w:b w:val="0"/>
          <w:i w:val="0"/>
          <w:color w:val="1A1A1A"/>
          <w:sz w:val="18"/>
        </w:rPr>
        <w:t xml:space="preserve"> 国家药品监督管理局. 速效救心丸说明书（药品查询数据库索引记录）[DB/OL]. </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https://www.nmpa.gov.cn/datasearch/home-index.html.</w:t>
      </w:r>
    </w:p>
    <w:p>
      <w:pPr>
        <w:spacing w:after="60" w:line="312" w:lineRule="auto"/>
        <w:ind w:left="510" w:hanging="510"/>
      </w:pPr>
      <w:r>
        <w:rPr>
          <w:rFonts w:ascii="Times New Roman" w:hAnsi="Times New Roman" w:eastAsia="宋体"/>
          <w:b w:val="0"/>
          <w:i w:val="0"/>
          <w:color w:val="1A1A1A"/>
          <w:sz w:val="18"/>
        </w:rPr>
        <w:t>[6]</w:t>
      </w:r>
      <w:r>
        <w:rPr>
          <w:rFonts w:ascii="Times New Roman" w:hAnsi="Times New Roman" w:eastAsia="宋体"/>
          <w:b w:val="0"/>
          <w:i w:val="0"/>
          <w:color w:val="1A1A1A"/>
          <w:sz w:val="18"/>
        </w:rPr>
        <w:t xml:space="preserve"> RUAN X F, LI Y P, SUN Y L, et al. Efficacy and safety of Suxiao Jiuxin Pill in the treatment of stable angina (Qi stagnation and blood stasis syndrome): study protocol of a randomized, double-blind, placebo-controlled, multi-center clinical trial[J]. Trials, 2021, 22: 433. DOI: 10.1186/s13063-021-05448-6.</w:t>
      </w:r>
    </w:p>
    <w:p>
      <w:pPr>
        <w:spacing w:after="60" w:line="312" w:lineRule="auto"/>
        <w:ind w:left="510" w:hanging="510"/>
      </w:pPr>
      <w:r>
        <w:rPr>
          <w:rFonts w:ascii="Times New Roman" w:hAnsi="Times New Roman" w:eastAsia="宋体"/>
          <w:b w:val="0"/>
          <w:i w:val="0"/>
          <w:color w:val="1A1A1A"/>
          <w:sz w:val="18"/>
        </w:rPr>
        <w:t>[7]</w:t>
      </w:r>
      <w:r>
        <w:rPr>
          <w:rFonts w:ascii="Times New Roman" w:hAnsi="Times New Roman" w:eastAsia="宋体"/>
          <w:b w:val="0"/>
          <w:i w:val="0"/>
          <w:color w:val="1A1A1A"/>
          <w:sz w:val="18"/>
        </w:rPr>
        <w:t xml:space="preserve"> 国家药品监督管理局. 复方丹参滴丸说明书（药品查询数据库索引记录）[DB/OL]. </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https://www.nmpa.gov.cn/datasearch/home-index.html.</w:t>
      </w:r>
    </w:p>
    <w:p>
      <w:pPr>
        <w:spacing w:after="60" w:line="312" w:lineRule="auto"/>
        <w:ind w:left="510" w:hanging="510"/>
      </w:pPr>
      <w:r>
        <w:rPr>
          <w:rFonts w:ascii="Times New Roman" w:hAnsi="Times New Roman" w:eastAsia="宋体"/>
          <w:b w:val="0"/>
          <w:i w:val="0"/>
          <w:color w:val="1A1A1A"/>
          <w:sz w:val="18"/>
        </w:rPr>
        <w:t>[8]</w:t>
      </w:r>
      <w:r>
        <w:rPr>
          <w:rFonts w:ascii="Times New Roman" w:hAnsi="Times New Roman" w:eastAsia="宋体"/>
          <w:b w:val="0"/>
          <w:i w:val="0"/>
          <w:color w:val="1A1A1A"/>
          <w:sz w:val="18"/>
        </w:rPr>
        <w:t xml:space="preserve"> ZHANG M, WANG W, SUN H, et al. Compound danshen dripping pills vs. nitrates for stable angina pectoris: a systematic review and meta-analysis[J]. Front Cardiovasc Med, 2023, 10: 1168730. DOI: 10.3389/fcvm.2023.1168730.</w:t>
      </w:r>
    </w:p>
    <w:p>
      <w:pPr>
        <w:spacing w:after="60" w:line="312" w:lineRule="auto"/>
        <w:ind w:left="510" w:hanging="510"/>
      </w:pPr>
      <w:r>
        <w:rPr>
          <w:rFonts w:ascii="Times New Roman" w:hAnsi="Times New Roman" w:eastAsia="宋体"/>
          <w:b w:val="0"/>
          <w:i w:val="0"/>
          <w:color w:val="1A1A1A"/>
          <w:sz w:val="18"/>
        </w:rPr>
        <w:t>[9]</w:t>
      </w:r>
      <w:r>
        <w:rPr>
          <w:rFonts w:ascii="Times New Roman" w:hAnsi="Times New Roman" w:eastAsia="宋体"/>
          <w:b w:val="0"/>
          <w:i w:val="0"/>
          <w:color w:val="1A1A1A"/>
          <w:sz w:val="18"/>
        </w:rPr>
        <w:t xml:space="preserve"> HU Y, WANG Y, WANG S, et al. Efficacy and safety of Suxiao Jiuxin Pills in the treatment of chronic coronary syndrome with intolerance to adverse effects of long-acting nitrates: a multicenter, randomized, double-blind, placebo-controlled study[J]. BMC Complement Med Ther, 2024, 24: 349. DOI: 10.1186/s12906-024-04661-5.</w:t>
      </w:r>
    </w:p>
    <w:p>
      <w:pPr>
        <w:spacing w:after="60" w:line="312" w:lineRule="auto"/>
        <w:ind w:left="510" w:hanging="510"/>
      </w:pPr>
      <w:r>
        <w:rPr>
          <w:rFonts w:ascii="Times New Roman" w:hAnsi="Times New Roman" w:eastAsia="宋体"/>
          <w:b w:val="0"/>
          <w:i w:val="0"/>
          <w:color w:val="1A1A1A"/>
          <w:sz w:val="18"/>
        </w:rPr>
        <w:t>[10]</w:t>
      </w:r>
      <w:r>
        <w:rPr>
          <w:rFonts w:ascii="Times New Roman" w:hAnsi="Times New Roman" w:eastAsia="宋体"/>
          <w:b w:val="0"/>
          <w:i w:val="0"/>
          <w:color w:val="1A1A1A"/>
          <w:sz w:val="18"/>
        </w:rPr>
        <w:t xml:space="preserve"> LU Z Q, ZHANG Y J, ZHUANG P W, et al. Protective effect of Suxiao jiuxin pill, a traditional Chinese medicine, against acute myocardial ischemia in dogs[J]. BMC Complement Altern Med, 2015, 15: 373. DOI: 10.1186/s12906-015-0908-9.</w:t>
      </w:r>
    </w:p>
    <w:p>
      <w:pPr>
        <w:spacing w:after="60" w:line="312" w:lineRule="auto"/>
        <w:ind w:left="510" w:hanging="510"/>
      </w:pPr>
      <w:r>
        <w:rPr>
          <w:rFonts w:ascii="Times New Roman" w:hAnsi="Times New Roman" w:eastAsia="宋体"/>
          <w:b w:val="0"/>
          <w:i w:val="0"/>
          <w:color w:val="1A1A1A"/>
          <w:sz w:val="18"/>
        </w:rPr>
        <w:t>[11]</w:t>
      </w:r>
      <w:r>
        <w:rPr>
          <w:rFonts w:ascii="Times New Roman" w:hAnsi="Times New Roman" w:eastAsia="宋体"/>
          <w:b w:val="0"/>
          <w:i w:val="0"/>
          <w:color w:val="1A1A1A"/>
          <w:sz w:val="18"/>
        </w:rPr>
        <w:t xml:space="preserve"> REN L, WANG J, FENG L, et al. Efficacy of Suxiao Jiuxin Pill on coronary heart disease: a meta-analysis of randomized controlled trials[J]. Evid Based Complement Alternat Med, 2018, 2018: 9745804. DOI: 10.1155/2018/9745804.</w:t>
      </w:r>
    </w:p>
    <w:p>
      <w:pPr>
        <w:spacing w:after="60" w:line="312" w:lineRule="auto"/>
        <w:ind w:left="510" w:hanging="510"/>
      </w:pPr>
      <w:r>
        <w:rPr>
          <w:rFonts w:ascii="Times New Roman" w:hAnsi="Times New Roman" w:eastAsia="宋体"/>
          <w:b w:val="0"/>
          <w:i w:val="0"/>
          <w:color w:val="1A1A1A"/>
          <w:sz w:val="18"/>
        </w:rPr>
        <w:t>[12]</w:t>
      </w:r>
      <w:r>
        <w:rPr>
          <w:rFonts w:ascii="Times New Roman" w:hAnsi="Times New Roman" w:eastAsia="宋体"/>
          <w:b w:val="0"/>
          <w:i w:val="0"/>
          <w:color w:val="1A1A1A"/>
          <w:sz w:val="18"/>
        </w:rPr>
        <w:t xml:space="preserve"> SHEN Z, CHEN T, DENG B, et al. Effects on Suxiao Jiuxin Pills in the treatment of patients with acute coronary syndrome undergoing early percutaneous coronary intervention: a multicenter randomized double-blind placebo-controlled trial[J]. J Altern Complement Med, 2020. PMID: 32716206.</w:t>
      </w:r>
    </w:p>
    <w:p>
      <w:pPr>
        <w:spacing w:after="60" w:line="312" w:lineRule="auto"/>
        <w:ind w:left="510" w:hanging="510"/>
      </w:pPr>
      <w:r>
        <w:rPr>
          <w:rFonts w:ascii="Times New Roman" w:hAnsi="Times New Roman" w:eastAsia="宋体"/>
          <w:b w:val="0"/>
          <w:i w:val="0"/>
          <w:color w:val="1A1A1A"/>
          <w:sz w:val="18"/>
        </w:rPr>
        <w:t>[13]</w:t>
      </w:r>
      <w:r>
        <w:rPr>
          <w:rFonts w:ascii="Times New Roman" w:hAnsi="Times New Roman" w:eastAsia="宋体"/>
          <w:b w:val="0"/>
          <w:i w:val="0"/>
          <w:color w:val="1A1A1A"/>
          <w:sz w:val="18"/>
        </w:rPr>
        <w:t xml:space="preserve"> RUAN X F, LI Y P, SUN Y L, et al. Evaluation of the efficacy and safety of Suxiao Jiuxin Pill in the treatment of stable angina: a randomized, double-blind, placebo-controlled, multi-center clinical trial[J]. 2023. PMID: 37487965.</w:t>
      </w:r>
    </w:p>
    <w:p>
      <w:pPr>
        <w:spacing w:after="60" w:line="312" w:lineRule="auto"/>
        <w:ind w:left="510" w:hanging="510"/>
      </w:pPr>
      <w:r>
        <w:rPr>
          <w:rFonts w:ascii="Times New Roman" w:hAnsi="Times New Roman" w:eastAsia="宋体"/>
          <w:b w:val="0"/>
          <w:i w:val="0"/>
          <w:color w:val="1A1A1A"/>
          <w:sz w:val="18"/>
        </w:rPr>
        <w:t>[14]</w:t>
      </w:r>
      <w:r>
        <w:rPr>
          <w:rFonts w:ascii="Times New Roman" w:hAnsi="Times New Roman" w:eastAsia="宋体"/>
          <w:b w:val="0"/>
          <w:i w:val="0"/>
          <w:color w:val="1A1A1A"/>
          <w:sz w:val="18"/>
        </w:rPr>
        <w:t xml:space="preserve"> LIU C, DUAN L, HUANG M Y, et al. Effectiveness and safety of Suxiao Jiuxin pill in treating acute coronary syndrome: a systematic review and meta-analysis[J]. 2020. PMID: 32744020.</w:t>
      </w:r>
    </w:p>
    <w:p>
      <w:pPr>
        <w:spacing w:after="60" w:line="312" w:lineRule="auto"/>
        <w:ind w:left="510" w:hanging="510"/>
      </w:pPr>
      <w:r>
        <w:rPr>
          <w:rFonts w:ascii="Times New Roman" w:hAnsi="Times New Roman" w:eastAsia="宋体"/>
          <w:b w:val="0"/>
          <w:i w:val="0"/>
          <w:color w:val="1A1A1A"/>
          <w:sz w:val="18"/>
        </w:rPr>
        <w:t>[15]</w:t>
      </w:r>
      <w:r>
        <w:rPr>
          <w:rFonts w:ascii="Times New Roman" w:hAnsi="Times New Roman" w:eastAsia="宋体"/>
          <w:b w:val="0"/>
          <w:i w:val="0"/>
          <w:color w:val="1A1A1A"/>
          <w:sz w:val="18"/>
        </w:rPr>
        <w:t xml:space="preserve"> JIA Y, HUANG F Y, ZHANG S K, et al. Is danshen (Salvia miltiorrhiza) dripping pill more effective than isosorbide dinitrate in treating angina pectoris? A systematic review of randomized controlled trials[J]. Int J Cardiol, 2011. PMID: 21251721.</w:t>
      </w:r>
    </w:p>
    <w:p>
      <w:pPr>
        <w:spacing w:after="60" w:line="312" w:lineRule="auto"/>
        <w:ind w:left="510" w:hanging="510"/>
      </w:pPr>
      <w:r>
        <w:rPr>
          <w:rFonts w:ascii="Times New Roman" w:hAnsi="Times New Roman" w:eastAsia="宋体"/>
          <w:b w:val="0"/>
          <w:i w:val="0"/>
          <w:color w:val="1A1A1A"/>
          <w:sz w:val="18"/>
        </w:rPr>
        <w:t>[16]</w:t>
      </w:r>
      <w:r>
        <w:rPr>
          <w:rFonts w:ascii="Times New Roman" w:hAnsi="Times New Roman" w:eastAsia="宋体"/>
          <w:b w:val="0"/>
          <w:i w:val="0"/>
          <w:color w:val="1A1A1A"/>
          <w:sz w:val="18"/>
        </w:rPr>
        <w:t xml:space="preserve"> LUO J, SONG W J, YANG G Y, et al. Compound Danshen (Salvia miltiorrhiza) dripping pill for coronary heart disease: an overview of systematic reviews[J]. Am J Chin Med, 2015, 43(1): 27-45. PMID: 25582415.</w:t>
      </w:r>
    </w:p>
    <w:p>
      <w:pPr>
        <w:spacing w:after="60" w:line="312" w:lineRule="auto"/>
        <w:ind w:left="510" w:hanging="510"/>
      </w:pPr>
      <w:r>
        <w:rPr>
          <w:rFonts w:ascii="Times New Roman" w:hAnsi="Times New Roman" w:eastAsia="宋体"/>
          <w:b w:val="0"/>
          <w:i w:val="0"/>
          <w:color w:val="1A1A1A"/>
          <w:sz w:val="18"/>
        </w:rPr>
        <w:t>[17]</w:t>
      </w:r>
      <w:r>
        <w:rPr>
          <w:rFonts w:ascii="Times New Roman" w:hAnsi="Times New Roman" w:eastAsia="宋体"/>
          <w:b w:val="0"/>
          <w:i w:val="0"/>
          <w:color w:val="1A1A1A"/>
          <w:sz w:val="18"/>
        </w:rPr>
        <w:t xml:space="preserve"> JIA Y, HUANG F, ZHANG S. Assessment of the quality of randomized controlled trials in treating coronary heart disease by Chinese patent medicine[J]. Zhongguo Zhong Xi Yi Jie He Za Zhi, 2012. PMID: 22803444.</w:t>
      </w:r>
    </w:p>
    <w:p>
      <w:pPr>
        <w:spacing w:after="60" w:line="312" w:lineRule="auto"/>
        <w:ind w:left="510" w:hanging="510"/>
      </w:pPr>
      <w:r>
        <w:rPr>
          <w:rFonts w:ascii="Times New Roman" w:hAnsi="Times New Roman" w:eastAsia="宋体"/>
          <w:b w:val="0"/>
          <w:i w:val="0"/>
          <w:color w:val="1A1A1A"/>
          <w:sz w:val="18"/>
        </w:rPr>
        <w:t>[18]</w:t>
      </w:r>
      <w:r>
        <w:rPr>
          <w:rFonts w:ascii="Times New Roman" w:hAnsi="Times New Roman" w:eastAsia="宋体"/>
          <w:b w:val="0"/>
          <w:i w:val="0"/>
          <w:color w:val="1A1A1A"/>
          <w:sz w:val="18"/>
        </w:rPr>
        <w:t xml:space="preserve"> SUN L, ZHU S, CHEN Y, et al. The cost-effectiveness of four Chinese patent medicine in the treatment of angina pectoris in China[J]. Value Health, 2014. PMID: 27202784.</w:t>
      </w:r>
    </w:p>
    <w:p>
      <w:pPr>
        <w:spacing w:after="60" w:line="312" w:lineRule="auto"/>
        <w:ind w:left="510" w:hanging="510"/>
      </w:pPr>
      <w:r>
        <w:rPr>
          <w:rFonts w:ascii="Times New Roman" w:hAnsi="Times New Roman" w:eastAsia="宋体"/>
          <w:b w:val="0"/>
          <w:i w:val="0"/>
          <w:color w:val="1A1A1A"/>
          <w:sz w:val="18"/>
        </w:rPr>
        <w:t>[19]</w:t>
      </w:r>
      <w:r>
        <w:rPr>
          <w:rFonts w:ascii="Times New Roman" w:hAnsi="Times New Roman" w:eastAsia="宋体"/>
          <w:b w:val="0"/>
          <w:i w:val="0"/>
          <w:color w:val="1A1A1A"/>
          <w:sz w:val="18"/>
        </w:rPr>
        <w:t xml:space="preserve"> SUN L X, LI Y Y, XIE Y M, et al. Clinical characteristics and combined medication of Suxiao Jiuxin Pills in 16 856 elderly patients in real world study[J]. Zhongguo Zhong Yao Za Zhi, 2020. PMID: 32495590.</w:t>
      </w:r>
    </w:p>
    <w:p>
      <w:pPr>
        <w:spacing w:after="60" w:line="312" w:lineRule="auto"/>
        <w:ind w:left="510" w:hanging="510"/>
      </w:pPr>
      <w:r>
        <w:rPr>
          <w:rFonts w:ascii="Times New Roman" w:hAnsi="Times New Roman" w:eastAsia="宋体"/>
          <w:b w:val="0"/>
          <w:i w:val="0"/>
          <w:color w:val="1A1A1A"/>
          <w:sz w:val="18"/>
        </w:rPr>
        <w:t>[20]</w:t>
      </w:r>
      <w:r>
        <w:rPr>
          <w:rFonts w:ascii="Times New Roman" w:hAnsi="Times New Roman" w:eastAsia="宋体"/>
          <w:b w:val="0"/>
          <w:i w:val="0"/>
          <w:color w:val="1A1A1A"/>
          <w:sz w:val="18"/>
        </w:rPr>
        <w:t xml:space="preserve"> FAN J, LI T, PU F, et al. Comparative efficacy of different Chinese patent medicines in preventing restenosis after percutaneous coronary intervention: a systematic review and Bayesian network meta-analysis of randomized clinical trials[J]. Front Pharmacol, 2024, 14: 1265766. DOI: 10.3389/fphar.2023.1265766.</w:t>
      </w:r>
    </w:p>
    <w:p>
      <w:pPr>
        <w:spacing w:after="60" w:line="312" w:lineRule="auto"/>
        <w:ind w:left="510" w:hanging="510"/>
      </w:pPr>
      <w:r>
        <w:rPr>
          <w:rFonts w:ascii="Times New Roman" w:hAnsi="Times New Roman" w:eastAsia="宋体"/>
          <w:b w:val="0"/>
          <w:i w:val="0"/>
          <w:color w:val="1A1A1A"/>
          <w:sz w:val="18"/>
        </w:rPr>
        <w:t>[21]</w:t>
      </w:r>
      <w:r>
        <w:rPr>
          <w:rFonts w:ascii="Times New Roman" w:hAnsi="Times New Roman" w:eastAsia="宋体"/>
          <w:b w:val="0"/>
          <w:i w:val="0"/>
          <w:color w:val="1A1A1A"/>
          <w:sz w:val="18"/>
        </w:rPr>
        <w:t xml:space="preserve"> JIA Y, LEUNG S W. The efficacy of Chinese herbal drugs for adults with angina pectoris: Bayesian network meta-analysis of 331 RCTs involving 36,467 individuals[J]. J Ethnopharmacol, 2024. PMID: 38395177.</w:t>
      </w:r>
    </w:p>
    <w:p>
      <w:pPr>
        <w:spacing w:after="60" w:line="312" w:lineRule="auto"/>
        <w:ind w:left="510" w:hanging="510"/>
      </w:pPr>
      <w:r>
        <w:rPr>
          <w:rFonts w:ascii="Times New Roman" w:hAnsi="Times New Roman" w:eastAsia="宋体"/>
          <w:b w:val="0"/>
          <w:i w:val="0"/>
          <w:color w:val="1A1A1A"/>
          <w:sz w:val="18"/>
        </w:rPr>
        <w:t>[22]</w:t>
      </w:r>
      <w:r>
        <w:rPr>
          <w:rFonts w:ascii="Times New Roman" w:hAnsi="Times New Roman" w:eastAsia="宋体"/>
          <w:b w:val="0"/>
          <w:i w:val="0"/>
          <w:color w:val="1A1A1A"/>
          <w:sz w:val="18"/>
        </w:rPr>
        <w:t xml:space="preserve"> 中国中西医结合学会心血管病专业委员会. 速效救心丸治疗冠心病中国专家共识[Z]. 2019（题录级记录，全文未开放获取）.</w:t>
      </w:r>
    </w:p>
    <w:p>
      <w:pPr>
        <w:spacing w:after="60" w:line="312" w:lineRule="auto"/>
        <w:ind w:left="510" w:hanging="510"/>
      </w:pPr>
      <w:r>
        <w:rPr>
          <w:rFonts w:ascii="Times New Roman" w:hAnsi="Times New Roman" w:eastAsia="宋体"/>
          <w:b w:val="0"/>
          <w:i w:val="0"/>
          <w:color w:val="1A1A1A"/>
          <w:sz w:val="18"/>
        </w:rPr>
        <w:t>[23]</w:t>
      </w:r>
      <w:r>
        <w:rPr>
          <w:rFonts w:ascii="Times New Roman" w:hAnsi="Times New Roman" w:eastAsia="宋体"/>
          <w:b w:val="0"/>
          <w:i w:val="0"/>
          <w:color w:val="1A1A1A"/>
          <w:sz w:val="18"/>
        </w:rPr>
        <w:t xml:space="preserve"> 复方丹参滴丸临床应用专家共识编写组. 复方丹参滴丸临床应用专家共识[Z]. 2025（题录级记录，全文未开放获取）.</w:t>
      </w:r>
    </w:p>
    <w:p>
      <w:pPr>
        <w:spacing w:after="60" w:line="312" w:lineRule="auto"/>
        <w:ind w:left="510" w:hanging="510"/>
      </w:pPr>
      <w:r>
        <w:rPr>
          <w:rFonts w:ascii="Times New Roman" w:hAnsi="Times New Roman" w:eastAsia="宋体"/>
          <w:b w:val="0"/>
          <w:i w:val="0"/>
          <w:color w:val="1A1A1A"/>
          <w:sz w:val="18"/>
        </w:rPr>
        <w:t>[24]</w:t>
      </w:r>
      <w:r>
        <w:rPr>
          <w:rFonts w:ascii="Times New Roman" w:hAnsi="Times New Roman" w:eastAsia="宋体"/>
          <w:b w:val="0"/>
          <w:i w:val="0"/>
          <w:color w:val="1A1A1A"/>
          <w:sz w:val="18"/>
        </w:rPr>
        <w:t xml:space="preserve"> 中华医学会老年医学分会. 复方丹参滴丸临床应用中国专家建议[Z]. 2016（题录级记录，全文未开放获取）.</w:t>
      </w:r>
    </w:p>
    <w:p>
      <w:pPr>
        <w:spacing w:after="60" w:line="312" w:lineRule="auto"/>
        <w:ind w:left="510" w:hanging="510"/>
      </w:pPr>
      <w:r>
        <w:rPr>
          <w:rFonts w:ascii="Times New Roman" w:hAnsi="Times New Roman" w:eastAsia="宋体"/>
          <w:b w:val="0"/>
          <w:i w:val="0"/>
          <w:color w:val="1A1A1A"/>
          <w:sz w:val="18"/>
        </w:rPr>
        <w:t>[25]</w:t>
      </w:r>
      <w:r>
        <w:rPr>
          <w:rFonts w:ascii="Times New Roman" w:hAnsi="Times New Roman" w:eastAsia="宋体"/>
          <w:b w:val="0"/>
          <w:i w:val="0"/>
          <w:color w:val="1A1A1A"/>
          <w:sz w:val="18"/>
        </w:rPr>
        <w:t xml:space="preserve"> 《中成药治疗优势病种临床应用指南》标准化项目组. 中成药治疗冠心病临床应用指南（2020年）[Z]. 2021（题录级记录）.</w:t>
      </w:r>
    </w:p>
    <w:p>
      <w:pPr>
        <w:spacing w:after="60" w:line="312" w:lineRule="auto"/>
        <w:ind w:left="510" w:hanging="510"/>
      </w:pPr>
      <w:r>
        <w:rPr>
          <w:rFonts w:ascii="Times New Roman" w:hAnsi="Times New Roman" w:eastAsia="宋体"/>
          <w:b w:val="0"/>
          <w:i w:val="0"/>
          <w:color w:val="1A1A1A"/>
          <w:sz w:val="18"/>
        </w:rPr>
        <w:t>[26]</w:t>
      </w:r>
      <w:r>
        <w:rPr>
          <w:rFonts w:ascii="Times New Roman" w:hAnsi="Times New Roman" w:eastAsia="宋体"/>
          <w:b w:val="0"/>
          <w:i w:val="0"/>
          <w:color w:val="1A1A1A"/>
          <w:sz w:val="18"/>
        </w:rPr>
        <w:t xml:space="preserve"> 中华中医药学会心血管病分会. 冠心病稳定型心绞痛中医诊疗专家共识[Z]. 2018（题录级记录，全文未开放获取）.</w:t>
      </w:r>
    </w:p>
    <w:p>
      <w:pPr>
        <w:spacing w:after="60" w:line="312" w:lineRule="auto"/>
        <w:ind w:left="510" w:hanging="510"/>
      </w:pPr>
      <w:r>
        <w:rPr>
          <w:rFonts w:ascii="Times New Roman" w:hAnsi="Times New Roman" w:eastAsia="宋体"/>
          <w:b w:val="0"/>
          <w:i w:val="0"/>
          <w:color w:val="1A1A1A"/>
          <w:sz w:val="18"/>
        </w:rPr>
        <w:t>[27]</w:t>
      </w:r>
      <w:r>
        <w:rPr>
          <w:rFonts w:ascii="Times New Roman" w:hAnsi="Times New Roman" w:eastAsia="宋体"/>
          <w:b w:val="0"/>
          <w:i w:val="0"/>
          <w:color w:val="1A1A1A"/>
          <w:sz w:val="18"/>
        </w:rPr>
        <w:t xml:space="preserve"> ClinicalTrials.gov. Intervention of Suxiao Jiuxin Pill on instability of vulnerable plaque in acute myocardial infarction: NCT05466968[DB/OL]. </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https://www.clinicaltrials.gov/ct2/show/nct05466968.</w:t>
      </w:r>
    </w:p>
    <w:p>
      <w:pPr>
        <w:spacing w:after="60" w:line="312" w:lineRule="auto"/>
        <w:ind w:left="510" w:hanging="510"/>
      </w:pPr>
      <w:r>
        <w:rPr>
          <w:rFonts w:ascii="Times New Roman" w:hAnsi="Times New Roman" w:eastAsia="宋体"/>
          <w:b w:val="0"/>
          <w:i w:val="0"/>
          <w:color w:val="1A1A1A"/>
          <w:sz w:val="18"/>
        </w:rPr>
        <w:t>[28]</w:t>
      </w:r>
      <w:r>
        <w:rPr>
          <w:rFonts w:ascii="Times New Roman" w:hAnsi="Times New Roman" w:eastAsia="宋体"/>
          <w:b w:val="0"/>
          <w:i w:val="0"/>
          <w:color w:val="1A1A1A"/>
          <w:sz w:val="18"/>
        </w:rPr>
        <w:t xml:space="preserve"> ClinicalTrials.gov. EleVation carE: a randomized controlled trial on the prevention of acute mountain sickness with Suxiao Jiuxin Pill: NCT06531161[DB/OL]. </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https://www.clinicaltrials.gov/ct2/show/nct06531161.</w:t>
      </w:r>
    </w:p>
    <w:p>
      <w:pPr>
        <w:spacing w:after="60" w:line="312" w:lineRule="auto"/>
        <w:ind w:left="510" w:hanging="510"/>
      </w:pPr>
      <w:r>
        <w:rPr>
          <w:rFonts w:ascii="Times New Roman" w:hAnsi="Times New Roman" w:eastAsia="宋体"/>
          <w:b w:val="0"/>
          <w:i w:val="0"/>
          <w:color w:val="1A1A1A"/>
          <w:sz w:val="18"/>
        </w:rPr>
        <w:t>[29]</w:t>
      </w:r>
      <w:r>
        <w:rPr>
          <w:rFonts w:ascii="Times New Roman" w:hAnsi="Times New Roman" w:eastAsia="宋体"/>
          <w:b w:val="0"/>
          <w:i w:val="0"/>
          <w:color w:val="1A1A1A"/>
          <w:sz w:val="18"/>
        </w:rPr>
        <w:t xml:space="preserve"> National Health Service. Chest pain[EB/OL]. (2023-08-08)</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https://www.nhs.uk/symptoms/chest-pain/.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