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12" w:lineRule="auto"/>
        <w:jc w:val="center"/>
      </w:pPr>
      <w:r>
        <w:rPr>
          <w:rFonts w:ascii="Times New Roman" w:hAnsi="Times New Roman" w:eastAsia="黑体"/>
          <w:b/>
          <w:i w:val="0"/>
          <w:color w:val="1A1A1A"/>
          <w:sz w:val="30"/>
        </w:rPr>
        <w:t>速效救心丸开封后冰片挥发损失的分层证据评价及"3～6个月使用期"说法的出处核查</w:t>
      </w:r>
    </w:p>
    <w:p>
      <w:pPr>
        <w:spacing w:after="240" w:line="360" w:lineRule="auto"/>
        <w:jc w:val="center"/>
      </w:pPr>
      <w:r>
        <w:rPr>
          <w:rFonts w:ascii="Times New Roman" w:hAnsi="Times New Roman" w:eastAsia="宋体"/>
          <w:b/>
          <w:i w:val="0"/>
          <w:color w:val="1A1A1A"/>
          <w:sz w:val="24"/>
        </w:rPr>
        <w:t>Volatilization Loss of Borneol in Suxiao Jiuxin Pill After Container Opening: A Stratified Evidence Appraisal and Provenance Verification of the "3-to-6-Month In-Use Period" Claim</w:t>
      </w:r>
    </w:p>
    <w:p>
      <w:pPr>
        <w:spacing w:after="120" w:line="312" w:lineRule="auto" w:before="240"/>
      </w:pPr>
      <w:r>
        <w:rPr>
          <w:rFonts w:ascii="Times New Roman" w:hAnsi="Times New Roman" w:eastAsia="黑体"/>
          <w:b/>
          <w:i w:val="0"/>
          <w:color w:val="1A1A1A"/>
          <w:sz w:val="24"/>
        </w:rPr>
        <w:t>摘要</w:t>
      </w:r>
    </w:p>
    <w:p>
      <w:pPr>
        <w:spacing w:after="120" w:line="360" w:lineRule="auto"/>
      </w:pPr>
      <w:r>
        <w:rPr>
          <w:rFonts w:ascii="Times New Roman" w:hAnsi="Times New Roman" w:eastAsia="宋体"/>
          <w:b/>
          <w:i w:val="0"/>
          <w:color w:val="1A1A1A"/>
          <w:sz w:val="21"/>
        </w:rPr>
        <w:t>目的</w:t>
      </w:r>
      <w:r>
        <w:rPr>
          <w:rFonts w:ascii="Times New Roman" w:hAnsi="Times New Roman" w:eastAsia="宋体"/>
          <w:b w:val="0"/>
          <w:i w:val="0"/>
          <w:color w:val="1A1A1A"/>
          <w:sz w:val="21"/>
        </w:rPr>
        <w:t xml:space="preserve"> 冰片（龙脑）为速效救心丸两味组分之一，具挥发性；"开封后应在3～6个月内用完"的说法在药房实践中流传甚广。本研究评价开封后冰片含量下降的证据强度，并核查该阈值的出处。</w:t>
      </w:r>
      <w:r>
        <w:rPr>
          <w:rFonts w:ascii="Times New Roman" w:hAnsi="Times New Roman" w:eastAsia="宋体"/>
          <w:b/>
          <w:i w:val="0"/>
          <w:color w:val="1A1A1A"/>
          <w:sz w:val="21"/>
        </w:rPr>
        <w:t>方法</w:t>
      </w:r>
      <w:r>
        <w:rPr>
          <w:rFonts w:ascii="Times New Roman" w:hAnsi="Times New Roman" w:eastAsia="宋体"/>
          <w:b w:val="0"/>
          <w:i w:val="0"/>
          <w:color w:val="1A1A1A"/>
          <w:sz w:val="21"/>
        </w:rPr>
        <w:t xml:space="preserve"> 于2026年8月4日检索PubMed、Europe PMC、Crossref、PubChem、DailyMed、药品说明书索引与临床指南索引，共执行41条检索式，识别记录476条，去重后70条，纳入18个来源。证据严格分为三层——未开封（密封）稳定性数据、开封后实测数据、基于理化性质的推断，全程不混用；另以一阶动力学对开封瓶内残留比例作区间估计与敏感性分析，该估计为作者推算而非测量。</w:t>
      </w:r>
      <w:r>
        <w:rPr>
          <w:rFonts w:ascii="Times New Roman" w:hAnsi="Times New Roman" w:eastAsia="宋体"/>
          <w:b/>
          <w:i w:val="0"/>
          <w:color w:val="1A1A1A"/>
          <w:sz w:val="21"/>
        </w:rPr>
        <w:t>结果</w:t>
      </w:r>
      <w:r>
        <w:rPr>
          <w:rFonts w:ascii="Times New Roman" w:hAnsi="Times New Roman" w:eastAsia="宋体"/>
          <w:b w:val="0"/>
          <w:i w:val="0"/>
          <w:color w:val="1A1A1A"/>
          <w:sz w:val="21"/>
        </w:rPr>
        <w:t xml:space="preserve"> 未检索到以本品或同类含冰片滴丸开封后不同时间点冰片含量或效价为终点的研究，此层为空缺。机制层有实测理化证据但均非本品开封状态实测，强度为中等：游离d-龙脑在25 ℃贮存30天内几乎完全损失、40 ℃下30天内完全损失，经脂质体包封后90天分别保留约80%与60%以上；含L-龙脑的艾粉疗效不一致被归因于龙脑升华；即使分散于聚乙二醇基质，升温至80～100 ℃仍见可观挥发损失。本品说明书贮藏项仅载"密封，置阴凉干燥处（不超过20 ℃）"，未载开封后使用期限。一阶推算给出3～6个月残留比例约0%～96%，跨数量级，不能分辨3个月与6个月。</w:t>
      </w:r>
      <w:r>
        <w:rPr>
          <w:rFonts w:ascii="Times New Roman" w:hAnsi="Times New Roman" w:eastAsia="宋体"/>
          <w:b/>
          <w:i w:val="0"/>
          <w:color w:val="1A1A1A"/>
          <w:sz w:val="21"/>
        </w:rPr>
        <w:t>结论</w:t>
      </w:r>
      <w:r>
        <w:rPr>
          <w:rFonts w:ascii="Times New Roman" w:hAnsi="Times New Roman" w:eastAsia="宋体"/>
          <w:b w:val="0"/>
          <w:i w:val="0"/>
          <w:color w:val="1A1A1A"/>
          <w:sz w:val="21"/>
        </w:rPr>
        <w:t xml:space="preserve"> 开封后冰片含量下降在方向上确定、在幅度上未经测量；"3～6个月"在说明书、可检索的规范层面规定与已发表稳定性研究中均未能追溯到可核验出处，其数值与舌下硝酸甘油片"每3～6个月更换"的临床惯例一致，最可能为经验性迁移，宜作为方向保守的管理建议而非有实测依据的规格。</w:t>
      </w:r>
    </w:p>
    <w:p>
      <w:pPr>
        <w:spacing w:after="120" w:line="360" w:lineRule="auto"/>
      </w:pPr>
      <w:r>
        <w:rPr>
          <w:rFonts w:ascii="Times New Roman" w:hAnsi="Times New Roman" w:eastAsia="宋体"/>
          <w:b/>
          <w:i w:val="0"/>
          <w:color w:val="1A1A1A"/>
          <w:sz w:val="21"/>
        </w:rPr>
        <w:t>关键词：</w:t>
      </w:r>
      <w:r>
        <w:rPr>
          <w:rFonts w:ascii="Times New Roman" w:hAnsi="Times New Roman" w:eastAsia="宋体"/>
          <w:b w:val="0"/>
          <w:i w:val="0"/>
          <w:color w:val="1A1A1A"/>
          <w:sz w:val="21"/>
        </w:rPr>
        <w:t xml:space="preserve"> 速效救心丸；冰片；挥发损失；使用中稳定性；药品贮藏；证据评价</w:t>
      </w:r>
    </w:p>
    <w:p>
      <w:pPr>
        <w:spacing w:after="120" w:line="312" w:lineRule="auto" w:before="240"/>
      </w:pPr>
      <w:r>
        <w:rPr>
          <w:rFonts w:ascii="Times New Roman" w:hAnsi="Times New Roman" w:eastAsia="黑体"/>
          <w:b/>
          <w:i w:val="0"/>
          <w:color w:val="1A1A1A"/>
          <w:sz w:val="24"/>
        </w:rPr>
        <w:t>Abstract</w:t>
      </w:r>
    </w:p>
    <w:p>
      <w:pPr>
        <w:spacing w:after="120" w:line="360" w:lineRule="auto"/>
      </w:pPr>
      <w:r>
        <w:rPr>
          <w:rFonts w:ascii="Times New Roman" w:hAnsi="Times New Roman" w:eastAsia="宋体"/>
          <w:b/>
          <w:i w:val="0"/>
          <w:color w:val="1A1A1A"/>
          <w:sz w:val="21"/>
        </w:rPr>
        <w:t>Objective</w:t>
      </w:r>
      <w:r>
        <w:rPr>
          <w:rFonts w:ascii="Times New Roman" w:hAnsi="Times New Roman" w:eastAsia="宋体"/>
          <w:b w:val="0"/>
          <w:i w:val="0"/>
          <w:color w:val="1A1A1A"/>
          <w:sz w:val="21"/>
        </w:rPr>
        <w:t xml:space="preserve"> Borneol, one of the two constituents of Suxiao Jiuxin Pill (SJP), is volatile, and the advice that an opened container "should be used up within 3 to 6 months" is widely repeated in pharmacy practice and patient counselling. This study appraises the strength of evidence that borneol content declines after opening and verifies the provenance of that time threshold. </w:t>
      </w:r>
      <w:r>
        <w:rPr>
          <w:rFonts w:ascii="Times New Roman" w:hAnsi="Times New Roman" w:eastAsia="宋体"/>
          <w:b/>
          <w:i w:val="0"/>
          <w:color w:val="1A1A1A"/>
          <w:sz w:val="21"/>
        </w:rPr>
        <w:t>Methods</w:t>
      </w:r>
      <w:r>
        <w:rPr>
          <w:rFonts w:ascii="Times New Roman" w:hAnsi="Times New Roman" w:eastAsia="宋体"/>
          <w:b w:val="0"/>
          <w:i w:val="0"/>
          <w:color w:val="1A1A1A"/>
          <w:sz w:val="21"/>
        </w:rPr>
        <w:t xml:space="preserve"> On 4 August 2026, PubMed, Europe PMC, Crossref, PubChem, DailyMed, the National Medical Products Administration package-insert index and a clinical guideline index were searched with 41 queries; 476 records were identified, 70 remained after deduplication, and 18 sources were included. Evidence was stratified into three strictly separated layers—unopened (sealed) stability data, measured post-opening data, and inference from physicochemical properties—and a first-order kinetic interval estimate with sensitivity analysis was performed for residual borneol in an opened bottle; this estimate is the authors' calculation, not a measurement. </w:t>
      </w:r>
      <w:r>
        <w:rPr>
          <w:rFonts w:ascii="Times New Roman" w:hAnsi="Times New Roman" w:eastAsia="宋体"/>
          <w:b/>
          <w:i w:val="0"/>
          <w:color w:val="1A1A1A"/>
          <w:sz w:val="21"/>
        </w:rPr>
        <w:t>Results</w:t>
      </w:r>
      <w:r>
        <w:rPr>
          <w:rFonts w:ascii="Times New Roman" w:hAnsi="Times New Roman" w:eastAsia="宋体"/>
          <w:b w:val="0"/>
          <w:i w:val="0"/>
          <w:color w:val="1A1A1A"/>
          <w:sz w:val="21"/>
        </w:rPr>
        <w:t xml:space="preserve"> No published study measuring borneol content or potency of SJP, or of comparable borneol-containing dripping pills, at successive time points after opening was retrieved; this layer is empty. Mechanistic evidence rests on physicochemical measurements, none of which were made on the opened product itself, and is therefore of moderate strength: free d-borneol was almost completely lost within 30 days at 25 °C and completely lost within 30 days at 40 °C, whereas liposome-encapsulated d-borneol retained about 80% and over 60% respectively at 90 days; the inconsistent efficacy of Ai-Fen powder containing 40–60% (w/w) L-borneol has been attributed to sublimation; and even when dispersed in molten polyethylene glycol, appreciable volatilization loss occurred at 80–100 °C. The SJP package insert specifies only "hermetically sealed, stored in a cool and dry place (not exceeding 20 °C)" and states no in-use period after opening. The first-order estimate yields a 3–6-month residual fraction of approximately 0%–96%, spanning orders of magnitude and unable to distinguish 3 months from 6 months. </w:t>
      </w:r>
      <w:r>
        <w:rPr>
          <w:rFonts w:ascii="Times New Roman" w:hAnsi="Times New Roman" w:eastAsia="宋体"/>
          <w:b/>
          <w:i w:val="0"/>
          <w:color w:val="1A1A1A"/>
          <w:sz w:val="21"/>
        </w:rPr>
        <w:t>Conclusion</w:t>
      </w:r>
      <w:r>
        <w:rPr>
          <w:rFonts w:ascii="Times New Roman" w:hAnsi="Times New Roman" w:eastAsia="宋体"/>
          <w:b w:val="0"/>
          <w:i w:val="0"/>
          <w:color w:val="1A1A1A"/>
          <w:sz w:val="21"/>
        </w:rPr>
        <w:t xml:space="preserve"> The direction of borneol decline after opening is certain, but its magnitude has never been measured; no verifiable source for "3 to 6 months" could be traced in the product's package insert, in retrievable regulatory provisions, or in published stability studies. The figure coincides with the clinical convention of refilling sublingual nitroglycerin every 3 to 6 months and is most plausibly an empirical transfer, appropriate as a conservative management recommendation but not as a specification supported by measurement.</w:t>
      </w:r>
    </w:p>
    <w:p>
      <w:pPr>
        <w:spacing w:after="120" w:line="360" w:lineRule="auto"/>
      </w:pPr>
      <w:r>
        <w:rPr>
          <w:rFonts w:ascii="Times New Roman" w:hAnsi="Times New Roman" w:eastAsia="宋体"/>
          <w:b/>
          <w:i w:val="0"/>
          <w:color w:val="1A1A1A"/>
          <w:sz w:val="21"/>
        </w:rPr>
        <w:t>Keywords:</w:t>
      </w:r>
      <w:r>
        <w:rPr>
          <w:rFonts w:ascii="Times New Roman" w:hAnsi="Times New Roman" w:eastAsia="宋体"/>
          <w:b w:val="0"/>
          <w:i w:val="0"/>
          <w:color w:val="1A1A1A"/>
          <w:sz w:val="21"/>
        </w:rPr>
        <w:t xml:space="preserve"> Suxiao Jiuxin Pill; borneol; volatilization loss; in-use stability; drug storage; evidence appraisal</w:t>
      </w:r>
    </w:p>
    <w:p>
      <w:pPr>
        <w:spacing w:after="120" w:line="312" w:lineRule="auto" w:before="240"/>
      </w:pPr>
      <w:r>
        <w:rPr>
          <w:rFonts w:ascii="Times New Roman" w:hAnsi="Times New Roman" w:eastAsia="黑体"/>
          <w:b/>
          <w:i w:val="0"/>
          <w:color w:val="1A1A1A"/>
          <w:sz w:val="26"/>
        </w:rPr>
        <w:t>1 引言</w:t>
      </w:r>
    </w:p>
    <w:p>
      <w:pPr>
        <w:spacing w:after="120" w:line="360" w:lineRule="auto"/>
        <w:ind w:firstLine="420"/>
      </w:pPr>
      <w:r>
        <w:rPr>
          <w:rFonts w:ascii="Times New Roman" w:hAnsi="Times New Roman" w:eastAsia="宋体"/>
          <w:b w:val="0"/>
          <w:i w:val="0"/>
          <w:color w:val="1A1A1A"/>
          <w:sz w:val="21"/>
        </w:rPr>
        <w:t>含挥发性活性成分的固体制剂在质量管理上构成一类特殊风险：这类成分的高挥发性与易化学降解性会在生产与贮存过程中造成显著损失，从而损害最终产品的疗效</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。冰片（龙脑，C10H18O，相对分子质量154.25）是其中的典型代表</w:t>
      </w:r>
      <w:r>
        <w:rPr>
          <w:rFonts w:ascii="Times New Roman" w:hAnsi="Times New Roman" w:eastAsia="宋体"/>
          <w:b w:val="0"/>
          <w:i w:val="0"/>
          <w:color w:val="1A1A1A"/>
          <w:sz w:val="21"/>
          <w:vertAlign w:val="superscript"/>
        </w:rPr>
        <w:t>[16]</w:t>
      </w:r>
      <w:r>
        <w:rPr>
          <w:rFonts w:ascii="Times New Roman" w:hAnsi="Times New Roman" w:eastAsia="宋体"/>
          <w:b w:val="0"/>
          <w:i w:val="0"/>
          <w:color w:val="1A1A1A"/>
          <w:sz w:val="21"/>
        </w:rPr>
        <w:t>。其医用形态包括天然冰片（右旋龙脑）与合成冰片（龙脑与异龙脑的混合物），二者在分析上均以挥发性成分为对象</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速效救心丸由川芎与冰片（合成龙脑）两味组成，这一处方结构在两项独立发表的药理学研究中获得一致确认</w:t>
      </w:r>
      <w:r>
        <w:rPr>
          <w:rFonts w:ascii="Times New Roman" w:hAnsi="Times New Roman" w:eastAsia="宋体"/>
          <w:b w:val="0"/>
          <w:i w:val="0"/>
          <w:color w:val="1A1A1A"/>
          <w:sz w:val="21"/>
          <w:vertAlign w:val="superscript"/>
        </w:rPr>
        <w:t>[3-4]</w:t>
      </w:r>
      <w:r>
        <w:rPr>
          <w:rFonts w:ascii="Times New Roman" w:hAnsi="Times New Roman" w:eastAsia="宋体"/>
          <w:b w:val="0"/>
          <w:i w:val="0"/>
          <w:color w:val="1A1A1A"/>
          <w:sz w:val="21"/>
        </w:rPr>
        <w:t>。冰片在处方中并非佐使性的辅助成分：离体实验显示其可引起大鼠冠状动脉浓度依赖性舒张，半数有效浓度为119.7 μmol/L，最大舒张率为83.63%</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。该品种是《中华人民共和国药典》收载的第一个纯中药滴丸制剂，1982年上市</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；其治疗稳定型心绞痛的疗效与安全性已由随机、双盲、安慰剂对照、多中心临床试验评价</w:t>
      </w:r>
      <w:r>
        <w:rPr>
          <w:rFonts w:ascii="Times New Roman" w:hAnsi="Times New Roman" w:eastAsia="宋体"/>
          <w:b w:val="0"/>
          <w:i w:val="0"/>
          <w:color w:val="1A1A1A"/>
          <w:sz w:val="21"/>
          <w:vertAlign w:val="superscript"/>
        </w:rPr>
        <w:t>[14]</w:t>
      </w:r>
      <w:r>
        <w:rPr>
          <w:rFonts w:ascii="Times New Roman" w:hAnsi="Times New Roman" w:eastAsia="宋体"/>
          <w:b w:val="0"/>
          <w:i w:val="0"/>
          <w:color w:val="1A1A1A"/>
          <w:sz w:val="21"/>
        </w:rPr>
        <w:t>；体内成分定量方法亦已建立，可同时测定包括龙脑与异龙脑在内的21个化学成分</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。换言之，本品的药效学地位、临床评价与分析方法学均较为完整，唯独"开封之后含量如何变化"这一环节缺少对应研究。</w:t>
      </w:r>
    </w:p>
    <w:p>
      <w:pPr>
        <w:spacing w:after="120" w:line="360" w:lineRule="auto"/>
        <w:ind w:firstLine="420"/>
      </w:pPr>
      <w:r>
        <w:rPr>
          <w:rFonts w:ascii="Times New Roman" w:hAnsi="Times New Roman" w:eastAsia="宋体"/>
          <w:b w:val="0"/>
          <w:i w:val="0"/>
          <w:color w:val="1A1A1A"/>
          <w:sz w:val="21"/>
        </w:rPr>
        <w:t>与之形成对照的是，"速效救心丸开封后应在3～6个月内用完"的说法在药房实践与患者用药指导中流传甚广。该说法实际包含三个可分别检验的命题：其一，开封后冰片含量确实下降；其二，下降幅度足以在3～6个月这一尺度上构成使用期限；其三，该期限具有可追溯的规范或实测出处。三者的证据基础并不相同，而既往论述常把它们合并为单一断言，并把三类性质不同的证据——密封条件下的稳定性数据、开封后的实测数据、由理化性质推出的判断——混合使用。一旦混用，读者便无从判断"含量会下降"究竟来自对本品开封状态的测量还是对游离原料挥发行为的外推，也无从判断"3～6个月"是实测得出的限度还是从他药惯例迁移而来的经验数字。</w:t>
      </w:r>
    </w:p>
    <w:p>
      <w:pPr>
        <w:spacing w:after="120" w:line="360" w:lineRule="auto"/>
        <w:ind w:firstLine="420"/>
      </w:pPr>
      <w:r>
        <w:rPr>
          <w:rFonts w:ascii="Times New Roman" w:hAnsi="Times New Roman" w:eastAsia="宋体"/>
          <w:b w:val="0"/>
          <w:i w:val="0"/>
          <w:color w:val="1A1A1A"/>
          <w:sz w:val="21"/>
        </w:rPr>
        <w:t>本研究以药剂学稳定性证据评价为体裁，对上述三个命题分别取证，全程保持三类证据的严格分层，并核查该阈值的出处与现行贮藏规定所针对的状态。</w:t>
      </w:r>
    </w:p>
    <w:p>
      <w:pPr>
        <w:spacing w:after="120" w:line="312" w:lineRule="auto" w:before="240"/>
      </w:pPr>
      <w:r>
        <w:rPr>
          <w:rFonts w:ascii="Times New Roman" w:hAnsi="Times New Roman" w:eastAsia="黑体"/>
          <w:b/>
          <w:i w:val="0"/>
          <w:color w:val="1A1A1A"/>
          <w:sz w:val="26"/>
        </w:rPr>
        <w:t>2 资料与方法</w:t>
      </w:r>
    </w:p>
    <w:p>
      <w:pPr>
        <w:spacing w:after="80" w:line="312" w:lineRule="auto" w:before="160"/>
      </w:pPr>
      <w:r>
        <w:rPr>
          <w:rFonts w:ascii="Times New Roman" w:hAnsi="Times New Roman" w:eastAsia="黑体"/>
          <w:b/>
          <w:i w:val="0"/>
          <w:color w:val="1A1A1A"/>
          <w:sz w:val="22"/>
        </w:rPr>
        <w:t>2.1 检索策略</w:t>
      </w:r>
    </w:p>
    <w:p>
      <w:pPr>
        <w:spacing w:after="120" w:line="360" w:lineRule="auto"/>
        <w:ind w:firstLine="420"/>
      </w:pPr>
      <w:r>
        <w:rPr>
          <w:rFonts w:ascii="Times New Roman" w:hAnsi="Times New Roman" w:eastAsia="宋体"/>
          <w:b w:val="0"/>
          <w:i w:val="0"/>
          <w:color w:val="1A1A1A"/>
          <w:sz w:val="21"/>
        </w:rPr>
        <w:t>证据检索于2026年8月4日完成，采用中英文双语概念的迭代检索协议。检索来源包括PubMed（经文献检索接口与题录检索两种方式）、Europe PMC、Crossref、PubChem、DailyMed、说明书数据接口（OpenFDA）、国家药品监督管理局药品说明书索引、临床指南索引，以及一个内部文献题录库。</w:t>
      </w:r>
    </w:p>
    <w:p>
      <w:pPr>
        <w:spacing w:after="120" w:line="360" w:lineRule="auto"/>
        <w:ind w:firstLine="420"/>
      </w:pPr>
      <w:r>
        <w:rPr>
          <w:rFonts w:ascii="Times New Roman" w:hAnsi="Times New Roman" w:eastAsia="宋体"/>
          <w:b w:val="0"/>
          <w:i w:val="0"/>
          <w:color w:val="1A1A1A"/>
          <w:sz w:val="21"/>
        </w:rPr>
        <w:t>检索概念按四组构建。第一组针对活性成分本身："冰片/龙脑"与"挥发""升华""稳定性""损失"的组合，及其英文对应（borneol与sublimation、volatility、vapor pressure、storage stability、content loss）。第二组针对制剂："速效救心丸"与"稳定性""冰片含量""含量测定""开封""使用期""质量标准"的组合，及其英文对应（Suxiao Jiuxin与stability、borneol、quality control、shelf life）。第三组针对类比对象："硝酸甘油舌下片"与"稳定性""效价""贮藏""开封后更换"的组合。第四组针对方法学概念：使用中稳定性（in-use stability）与开封容器（opened container），并辅以"中成药 开封 使用期限 挥发性成分"等直接指向本问题的中文表达。</w:t>
      </w:r>
    </w:p>
    <w:p>
      <w:pPr>
        <w:spacing w:after="120" w:line="360" w:lineRule="auto"/>
        <w:ind w:firstLine="420"/>
      </w:pPr>
      <w:r>
        <w:rPr>
          <w:rFonts w:ascii="Times New Roman" w:hAnsi="Times New Roman" w:eastAsia="宋体"/>
          <w:b w:val="0"/>
          <w:i w:val="0"/>
          <w:color w:val="1A1A1A"/>
          <w:sz w:val="21"/>
        </w:rPr>
        <w:t>共执行41条成功检索式，各来源的检索式数与返回记录数见表1。检索所得记录按标识符与规范化标题去重后进入标题—摘要筛查。</w:t>
      </w:r>
    </w:p>
    <w:p>
      <w:pPr>
        <w:spacing w:after="80" w:line="312" w:lineRule="auto" w:before="160"/>
      </w:pPr>
      <w:r>
        <w:rPr>
          <w:rFonts w:ascii="Times New Roman" w:hAnsi="Times New Roman" w:eastAsia="黑体"/>
          <w:b/>
          <w:i w:val="0"/>
          <w:color w:val="1A1A1A"/>
          <w:sz w:val="22"/>
        </w:rPr>
        <w:t>2.2 纳入与排除标准</w:t>
      </w:r>
    </w:p>
    <w:p>
      <w:pPr>
        <w:spacing w:after="120" w:line="360" w:lineRule="auto"/>
        <w:ind w:firstLine="420"/>
      </w:pPr>
      <w:r>
        <w:rPr>
          <w:rFonts w:ascii="Times New Roman" w:hAnsi="Times New Roman" w:eastAsia="宋体"/>
          <w:b w:val="0"/>
          <w:i w:val="0"/>
          <w:color w:val="1A1A1A"/>
          <w:sz w:val="21"/>
        </w:rPr>
        <w:t>纳入标准为与下列任一主题直接相关的来源：冰片（龙脑）挥发性与稳定性的实测研究；速效救心丸的处方组成、质量控制与临床评价；舌下硝酸甘油片的贮藏与开封后更换惯例；含挥发油中药的贮存期限；本品与同类制剂的现行说明书贮藏条目；急性胸痛的官方处置指导。排除标准为与主题仅存松散字面匹配的记录（如金属材料升华、食品贮藏类文献）以及无法确认身份的记录；此类排除仅反映宽泛匹配的检索特性，不构成"证据缺失"的证据。</w:t>
      </w:r>
    </w:p>
    <w:p>
      <w:pPr>
        <w:spacing w:after="120" w:line="360" w:lineRule="auto"/>
        <w:ind w:firstLine="420"/>
      </w:pPr>
      <w:r>
        <w:rPr>
          <w:rFonts w:ascii="Times New Roman" w:hAnsi="Times New Roman" w:eastAsia="宋体"/>
          <w:b w:val="0"/>
          <w:i w:val="0"/>
          <w:color w:val="1A1A1A"/>
          <w:sz w:val="21"/>
        </w:rPr>
        <w:t>体裁需要预先限定。本研究是基于系统性检索的药剂学稳定性证据评价，而非PRISMA意义上的系统评价：未实施双人独立筛选与资料提取，未作前瞻性方案注册，亦未对纳入研究进行定量合并。全部结论的强度以此为限，负性检索结果只界定"在可获取的来源范围内未检索到"，不支持"不存在"的推断。</w:t>
      </w:r>
    </w:p>
    <w:p>
      <w:pPr>
        <w:spacing w:after="80" w:line="312" w:lineRule="auto" w:before="160"/>
      </w:pPr>
      <w:r>
        <w:rPr>
          <w:rFonts w:ascii="Times New Roman" w:hAnsi="Times New Roman" w:eastAsia="黑体"/>
          <w:b/>
          <w:i w:val="0"/>
          <w:color w:val="1A1A1A"/>
          <w:sz w:val="22"/>
        </w:rPr>
        <w:t>2.3 证据分层与评价方法</w:t>
      </w:r>
    </w:p>
    <w:p>
      <w:pPr>
        <w:spacing w:after="120" w:line="360" w:lineRule="auto"/>
        <w:ind w:firstLine="420"/>
      </w:pPr>
      <w:r>
        <w:rPr>
          <w:rFonts w:ascii="Times New Roman" w:hAnsi="Times New Roman" w:eastAsia="宋体"/>
          <w:b w:val="0"/>
          <w:i w:val="0"/>
          <w:color w:val="1A1A1A"/>
          <w:sz w:val="21"/>
        </w:rPr>
        <w:t>评价框架的核心是证据分层，三层的定义与本研究中的可得性见表3。第一层为未开封（密封）稳定性数据，指在密封包装或密闭容器条件下测得的含量—时间数据；第二层为开封后实测数据，指制剂开封或暴露后不同时间点的含量或效价实测；第三层为基于理化性质的推断，指由挥发或升华机制与实测理化数据推导的结论。三层在全文中分别标注、分别评价，任何一层的数据不得用于替代另一层的结论；例如密封条件下的加速试验数据只用于说明基质相互作用对保留率的作用，不用于断言开封瓶内的损失速率。</w:t>
      </w:r>
    </w:p>
    <w:p>
      <w:pPr>
        <w:spacing w:after="120" w:line="360" w:lineRule="auto"/>
        <w:ind w:firstLine="420"/>
      </w:pPr>
      <w:r>
        <w:rPr>
          <w:rFonts w:ascii="Times New Roman" w:hAnsi="Times New Roman" w:eastAsia="宋体"/>
          <w:b w:val="0"/>
          <w:i w:val="0"/>
          <w:color w:val="1A1A1A"/>
          <w:sz w:val="21"/>
        </w:rPr>
        <w:t>来源按可核验文本层级记录，分为全文、官方页面、摘要与数据库记录条目四级。带引文的结论性主张须与来源原文逐字绑定；跨来源综合性主张须由至少两个相互独立的来源分别以原文支持；推算型主张须公开输入数据、方法、假设与敏感性分析并明确标注为推算结果。仅达摘要或记录条目层级的来源，其转述限于记录中实际显示的内容，不外推其方法与记录中未显示的数值细节。</w:t>
      </w:r>
    </w:p>
    <w:p>
      <w:pPr>
        <w:spacing w:after="120" w:line="360" w:lineRule="auto"/>
        <w:ind w:firstLine="420"/>
      </w:pPr>
      <w:r>
        <w:rPr>
          <w:rFonts w:ascii="Times New Roman" w:hAnsi="Times New Roman" w:eastAsia="宋体"/>
          <w:b w:val="0"/>
          <w:i w:val="0"/>
          <w:color w:val="1A1A1A"/>
          <w:sz w:val="21"/>
        </w:rPr>
        <w:t>论点的成立以四项判定条件依次检验：冰片确实挥发或升华（需理化性质或实测损失数据）；滴丸剂型中的冰片暴露于空气后会发生可观损失（需剂型相关证据或合理类比）；存在"开封后3～6个月"的可追溯出处（说明书、规范层面规定、稳定性研究或权威建议）；现行贮藏规定能够回答"密封还是开封"的状态问题。若第三项条件不成立，则该说法的性质（经验建议抑或实测规格）与其替代来源即成为结论的关键。</w:t>
      </w:r>
    </w:p>
    <w:p>
      <w:pPr>
        <w:spacing w:after="80" w:line="312" w:lineRule="auto" w:before="160"/>
      </w:pPr>
      <w:r>
        <w:rPr>
          <w:rFonts w:ascii="Times New Roman" w:hAnsi="Times New Roman" w:eastAsia="黑体"/>
          <w:b/>
          <w:i w:val="0"/>
          <w:color w:val="1A1A1A"/>
          <w:sz w:val="22"/>
        </w:rPr>
        <w:t>2.4 区间估计的推算方法</w:t>
      </w:r>
    </w:p>
    <w:p>
      <w:pPr>
        <w:spacing w:after="120" w:line="360" w:lineRule="auto"/>
        <w:ind w:firstLine="420"/>
      </w:pPr>
      <w:r>
        <w:rPr>
          <w:rFonts w:ascii="Times New Roman" w:hAnsi="Times New Roman" w:eastAsia="宋体"/>
          <w:b w:val="0"/>
          <w:i w:val="0"/>
          <w:color w:val="1A1A1A"/>
          <w:sz w:val="21"/>
        </w:rPr>
        <w:t>在开封后实测数据缺位的条件下，本研究以一阶动力学给出残留比例的区间估计，用以界定损失幅度的可能范围。锚点取自实测结果"游离d-龙脑在25 ℃贮存30天内几乎完全损失"</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：设30天损失不低于95%，则一阶速率常数k=−ln(0.05)/30≈0.10 d⁻¹，对应半衰期约6.9天。该值代表完全暴露、无基质保护条件下的上限速率。</w:t>
      </w:r>
    </w:p>
    <w:p>
      <w:pPr>
        <w:spacing w:after="120" w:line="360" w:lineRule="auto"/>
        <w:ind w:firstLine="420"/>
      </w:pPr>
      <w:r>
        <w:rPr>
          <w:rFonts w:ascii="Times New Roman" w:hAnsi="Times New Roman" w:eastAsia="宋体"/>
          <w:b w:val="0"/>
          <w:i w:val="0"/>
          <w:color w:val="1A1A1A"/>
          <w:sz w:val="21"/>
        </w:rPr>
        <w:t>对开封瓶内的滴丸引入暴露分数f，定义为滴丸中可与空气交换的龙脑比例与开瓶换气系数之积，残留比例按R(t)=e^(−k·f·t)计算。f的取值区间设为[0.005, 0.5]，为假设值，未经本品实测标定。分别代入t=90 d与t=180 d计算残留比例，并对"基质保留使有效速率常数降低一个数量级"的情形作敏感性分析。</w:t>
      </w:r>
    </w:p>
    <w:p>
      <w:pPr>
        <w:spacing w:after="120" w:line="360" w:lineRule="auto"/>
        <w:ind w:firstLine="420"/>
      </w:pPr>
      <w:r>
        <w:rPr>
          <w:rFonts w:ascii="Times New Roman" w:hAnsi="Times New Roman" w:eastAsia="宋体"/>
          <w:b w:val="0"/>
          <w:i w:val="0"/>
          <w:color w:val="1A1A1A"/>
          <w:sz w:val="21"/>
        </w:rPr>
        <w:t>该推算的性质须予明确：它是作者基于已测证据的估计，不是测量结果；其全部数值依赖于f与k的假设取值。推算结果在正文中的出现处（摘要、3.4节、3.7节、4.2节与第5节结论）均标注为作者推算，用于说明"方向确定、幅度不可确定"，不作为任何使用期限的规格依据，也不进入实践处置建议。</w:t>
      </w:r>
    </w:p>
    <w:p>
      <w:pPr>
        <w:spacing w:after="120" w:line="312" w:lineRule="auto" w:before="240"/>
      </w:pPr>
      <w:r>
        <w:rPr>
          <w:rFonts w:ascii="Times New Roman" w:hAnsi="Times New Roman" w:eastAsia="黑体"/>
          <w:b/>
          <w:i w:val="0"/>
          <w:color w:val="1A1A1A"/>
          <w:sz w:val="26"/>
        </w:rPr>
        <w:t>3 结果</w:t>
      </w:r>
    </w:p>
    <w:p>
      <w:pPr>
        <w:spacing w:after="80" w:line="312" w:lineRule="auto" w:before="160"/>
      </w:pPr>
      <w:r>
        <w:rPr>
          <w:rFonts w:ascii="Times New Roman" w:hAnsi="Times New Roman" w:eastAsia="黑体"/>
          <w:b/>
          <w:i w:val="0"/>
          <w:color w:val="1A1A1A"/>
          <w:sz w:val="22"/>
        </w:rPr>
        <w:t>3.1 检索与纳入结果</w:t>
      </w:r>
    </w:p>
    <w:p>
      <w:pPr>
        <w:spacing w:after="120" w:line="360" w:lineRule="auto"/>
        <w:ind w:firstLine="420"/>
      </w:pPr>
      <w:r>
        <w:rPr>
          <w:rFonts w:ascii="Times New Roman" w:hAnsi="Times New Roman" w:eastAsia="宋体"/>
          <w:b w:val="0"/>
          <w:i w:val="0"/>
          <w:color w:val="1A1A1A"/>
          <w:sz w:val="21"/>
        </w:rPr>
        <w:t>41条检索式共识别记录476条，去重后70条，最终纳入18个来源。各来源检索式分布与返回记录数见表1，纳入来源的类型、论证角色与可核验文本层级见表2。</w:t>
      </w:r>
    </w:p>
    <w:p>
      <w:pPr>
        <w:spacing w:after="60" w:line="360" w:lineRule="auto"/>
        <w:jc w:val="center"/>
      </w:pPr>
      <w:r>
        <w:rPr>
          <w:rFonts w:ascii="Times New Roman" w:hAnsi="Times New Roman" w:eastAsia="宋体"/>
          <w:b/>
          <w:i w:val="0"/>
          <w:color w:val="1A1A1A"/>
          <w:sz w:val="19"/>
        </w:rPr>
        <w:t>表1</w:t>
      </w:r>
      <w:r>
        <w:rPr>
          <w:rFonts w:ascii="Times New Roman" w:hAnsi="Times New Roman" w:eastAsia="宋体"/>
          <w:b w:val="0"/>
          <w:i w:val="0"/>
          <w:color w:val="1A1A1A"/>
          <w:sz w:val="19"/>
        </w:rPr>
        <w:t xml:space="preserve"> 检索来源、检索式数量与返回记录数</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3022"/>
        <w:gridCol w:w="3022"/>
        <w:gridCol w:w="3022"/>
      </w:tblGrid>
      <w:tr>
        <w:tc>
          <w:tcPr>
            <w:tcW w:type="dxa" w:w="3022"/>
            <w:tcBorders>
              <w:bottom w:val="single" w:sz="6" w:color="1A1A1A"/>
            </w:tcBorders>
          </w:tcPr>
          <w:p>
            <w:pPr>
              <w:jc w:val="center"/>
            </w:pPr>
            <w:r>
              <w:rPr>
                <w:rFonts w:ascii="Times New Roman" w:hAnsi="Times New Roman" w:eastAsia="宋体"/>
                <w:b/>
                <w:i w:val="0"/>
                <w:color w:val="1A1A1A"/>
                <w:sz w:val="18"/>
              </w:rPr>
              <w:t>检索来源</w:t>
            </w:r>
          </w:p>
        </w:tc>
        <w:tc>
          <w:tcPr>
            <w:tcW w:type="dxa" w:w="3022"/>
            <w:tcBorders>
              <w:bottom w:val="single" w:sz="6" w:color="1A1A1A"/>
            </w:tcBorders>
          </w:tcPr>
          <w:p>
            <w:pPr>
              <w:jc w:val="center"/>
            </w:pPr>
            <w:r>
              <w:rPr>
                <w:rFonts w:ascii="Times New Roman" w:hAnsi="Times New Roman" w:eastAsia="宋体"/>
                <w:b/>
                <w:i w:val="0"/>
                <w:color w:val="1A1A1A"/>
                <w:sz w:val="18"/>
              </w:rPr>
              <w:t>检索式数</w:t>
            </w:r>
          </w:p>
        </w:tc>
        <w:tc>
          <w:tcPr>
            <w:tcW w:type="dxa" w:w="3022"/>
            <w:tcBorders>
              <w:bottom w:val="single" w:sz="6" w:color="1A1A1A"/>
            </w:tcBorders>
          </w:tcPr>
          <w:p>
            <w:pPr>
              <w:jc w:val="center"/>
            </w:pPr>
            <w:r>
              <w:rPr>
                <w:rFonts w:ascii="Times New Roman" w:hAnsi="Times New Roman" w:eastAsia="宋体"/>
                <w:b/>
                <w:i w:val="0"/>
                <w:color w:val="1A1A1A"/>
                <w:sz w:val="18"/>
              </w:rPr>
              <w:t>返回记录数</w:t>
            </w:r>
          </w:p>
        </w:tc>
      </w:tr>
      <w:tr>
        <w:tc>
          <w:tcPr>
            <w:tcW w:type="dxa" w:w="3022"/>
          </w:tcPr>
          <w:p>
            <w:r>
              <w:rPr>
                <w:rFonts w:ascii="Times New Roman" w:hAnsi="Times New Roman" w:eastAsia="宋体"/>
                <w:b w:val="0"/>
                <w:i w:val="0"/>
                <w:color w:val="1A1A1A"/>
                <w:sz w:val="18"/>
              </w:rPr>
              <w:t>PubMed（文献检索接口与题录检索）</w:t>
            </w:r>
          </w:p>
        </w:tc>
        <w:tc>
          <w:tcPr>
            <w:tcW w:type="dxa" w:w="3022"/>
          </w:tcPr>
          <w:p>
            <w:r>
              <w:rPr>
                <w:rFonts w:ascii="Times New Roman" w:hAnsi="Times New Roman" w:eastAsia="宋体"/>
                <w:b w:val="0"/>
                <w:i w:val="0"/>
                <w:color w:val="1A1A1A"/>
                <w:sz w:val="18"/>
              </w:rPr>
              <w:t>24</w:t>
            </w:r>
          </w:p>
        </w:tc>
        <w:tc>
          <w:tcPr>
            <w:tcW w:type="dxa" w:w="3022"/>
          </w:tcPr>
          <w:p>
            <w:r>
              <w:rPr>
                <w:rFonts w:ascii="Times New Roman" w:hAnsi="Times New Roman" w:eastAsia="宋体"/>
                <w:b w:val="0"/>
                <w:i w:val="0"/>
                <w:color w:val="1A1A1A"/>
                <w:sz w:val="18"/>
              </w:rPr>
              <w:t>384</w:t>
            </w:r>
          </w:p>
        </w:tc>
      </w:tr>
      <w:tr>
        <w:tc>
          <w:tcPr>
            <w:tcW w:type="dxa" w:w="3022"/>
          </w:tcPr>
          <w:p>
            <w:r>
              <w:rPr>
                <w:rFonts w:ascii="Times New Roman" w:hAnsi="Times New Roman" w:eastAsia="宋体"/>
                <w:b w:val="0"/>
                <w:i w:val="0"/>
                <w:color w:val="1A1A1A"/>
                <w:sz w:val="18"/>
              </w:rPr>
              <w:t>Europe PMC</w:t>
            </w:r>
          </w:p>
        </w:tc>
        <w:tc>
          <w:tcPr>
            <w:tcW w:type="dxa" w:w="3022"/>
          </w:tcPr>
          <w:p>
            <w:r>
              <w:rPr>
                <w:rFonts w:ascii="Times New Roman" w:hAnsi="Times New Roman" w:eastAsia="宋体"/>
                <w:b w:val="0"/>
                <w:i w:val="0"/>
                <w:color w:val="1A1A1A"/>
                <w:sz w:val="18"/>
              </w:rPr>
              <w:t>8</w:t>
            </w:r>
          </w:p>
        </w:tc>
        <w:tc>
          <w:tcPr>
            <w:tcW w:type="dxa" w:w="3022"/>
          </w:tcPr>
          <w:p>
            <w:r>
              <w:rPr>
                <w:rFonts w:ascii="Times New Roman" w:hAnsi="Times New Roman" w:eastAsia="宋体"/>
                <w:b w:val="0"/>
                <w:i w:val="0"/>
                <w:color w:val="1A1A1A"/>
                <w:sz w:val="18"/>
              </w:rPr>
              <w:t>49</w:t>
            </w:r>
          </w:p>
        </w:tc>
      </w:tr>
      <w:tr>
        <w:tc>
          <w:tcPr>
            <w:tcW w:type="dxa" w:w="3022"/>
          </w:tcPr>
          <w:p>
            <w:r>
              <w:rPr>
                <w:rFonts w:ascii="Times New Roman" w:hAnsi="Times New Roman" w:eastAsia="宋体"/>
                <w:b w:val="0"/>
                <w:i w:val="0"/>
                <w:color w:val="1A1A1A"/>
                <w:sz w:val="18"/>
              </w:rPr>
              <w:t>Crossref</w:t>
            </w:r>
          </w:p>
        </w:tc>
        <w:tc>
          <w:tcPr>
            <w:tcW w:type="dxa" w:w="3022"/>
          </w:tcPr>
          <w:p>
            <w:r>
              <w:rPr>
                <w:rFonts w:ascii="Times New Roman" w:hAnsi="Times New Roman" w:eastAsia="宋体"/>
                <w:b w:val="0"/>
                <w:i w:val="0"/>
                <w:color w:val="1A1A1A"/>
                <w:sz w:val="18"/>
              </w:rPr>
              <w:t>2</w:t>
            </w:r>
          </w:p>
        </w:tc>
        <w:tc>
          <w:tcPr>
            <w:tcW w:type="dxa" w:w="3022"/>
          </w:tcPr>
          <w:p>
            <w:r>
              <w:rPr>
                <w:rFonts w:ascii="Times New Roman" w:hAnsi="Times New Roman" w:eastAsia="宋体"/>
                <w:b w:val="0"/>
                <w:i w:val="0"/>
                <w:color w:val="1A1A1A"/>
                <w:sz w:val="18"/>
              </w:rPr>
              <w:t>8</w:t>
            </w:r>
          </w:p>
        </w:tc>
      </w:tr>
      <w:tr>
        <w:tc>
          <w:tcPr>
            <w:tcW w:type="dxa" w:w="3022"/>
          </w:tcPr>
          <w:p>
            <w:r>
              <w:rPr>
                <w:rFonts w:ascii="Times New Roman" w:hAnsi="Times New Roman" w:eastAsia="宋体"/>
                <w:b w:val="0"/>
                <w:i w:val="0"/>
                <w:color w:val="1A1A1A"/>
                <w:sz w:val="18"/>
              </w:rPr>
              <w:t>DailyMed</w:t>
            </w:r>
          </w:p>
        </w:tc>
        <w:tc>
          <w:tcPr>
            <w:tcW w:type="dxa" w:w="3022"/>
          </w:tcPr>
          <w:p>
            <w:r>
              <w:rPr>
                <w:rFonts w:ascii="Times New Roman" w:hAnsi="Times New Roman" w:eastAsia="宋体"/>
                <w:b w:val="0"/>
                <w:i w:val="0"/>
                <w:color w:val="1A1A1A"/>
                <w:sz w:val="18"/>
              </w:rPr>
              <w:t>2</w:t>
            </w:r>
          </w:p>
        </w:tc>
        <w:tc>
          <w:tcPr>
            <w:tcW w:type="dxa" w:w="3022"/>
          </w:tcPr>
          <w:p>
            <w:r>
              <w:rPr>
                <w:rFonts w:ascii="Times New Roman" w:hAnsi="Times New Roman" w:eastAsia="宋体"/>
                <w:b w:val="0"/>
                <w:i w:val="0"/>
                <w:color w:val="1A1A1A"/>
                <w:sz w:val="18"/>
              </w:rPr>
              <w:t>9</w:t>
            </w:r>
          </w:p>
        </w:tc>
      </w:tr>
      <w:tr>
        <w:tc>
          <w:tcPr>
            <w:tcW w:type="dxa" w:w="3022"/>
          </w:tcPr>
          <w:p>
            <w:r>
              <w:rPr>
                <w:rFonts w:ascii="Times New Roman" w:hAnsi="Times New Roman" w:eastAsia="宋体"/>
                <w:b w:val="0"/>
                <w:i w:val="0"/>
                <w:color w:val="1A1A1A"/>
                <w:sz w:val="18"/>
              </w:rPr>
              <w:t>临床指南索引</w:t>
            </w:r>
          </w:p>
        </w:tc>
        <w:tc>
          <w:tcPr>
            <w:tcW w:type="dxa" w:w="3022"/>
          </w:tcPr>
          <w:p>
            <w:r>
              <w:rPr>
                <w:rFonts w:ascii="Times New Roman" w:hAnsi="Times New Roman" w:eastAsia="宋体"/>
                <w:b w:val="0"/>
                <w:i w:val="0"/>
                <w:color w:val="1A1A1A"/>
                <w:sz w:val="18"/>
              </w:rPr>
              <w:t>1</w:t>
            </w:r>
          </w:p>
        </w:tc>
        <w:tc>
          <w:tcPr>
            <w:tcW w:type="dxa" w:w="3022"/>
          </w:tcPr>
          <w:p>
            <w:r>
              <w:rPr>
                <w:rFonts w:ascii="Times New Roman" w:hAnsi="Times New Roman" w:eastAsia="宋体"/>
                <w:b w:val="0"/>
                <w:i w:val="0"/>
                <w:color w:val="1A1A1A"/>
                <w:sz w:val="18"/>
              </w:rPr>
              <w:t>20</w:t>
            </w:r>
          </w:p>
        </w:tc>
      </w:tr>
      <w:tr>
        <w:tc>
          <w:tcPr>
            <w:tcW w:type="dxa" w:w="3022"/>
          </w:tcPr>
          <w:p>
            <w:r>
              <w:rPr>
                <w:rFonts w:ascii="Times New Roman" w:hAnsi="Times New Roman" w:eastAsia="宋体"/>
                <w:b w:val="0"/>
                <w:i w:val="0"/>
                <w:color w:val="1A1A1A"/>
                <w:sz w:val="18"/>
              </w:rPr>
              <w:t>说明书数据接口（OpenFDA）</w:t>
            </w:r>
          </w:p>
        </w:tc>
        <w:tc>
          <w:tcPr>
            <w:tcW w:type="dxa" w:w="3022"/>
          </w:tcPr>
          <w:p>
            <w:r>
              <w:rPr>
                <w:rFonts w:ascii="Times New Roman" w:hAnsi="Times New Roman" w:eastAsia="宋体"/>
                <w:b w:val="0"/>
                <w:i w:val="0"/>
                <w:color w:val="1A1A1A"/>
                <w:sz w:val="18"/>
              </w:rPr>
              <w:t>1</w:t>
            </w:r>
          </w:p>
        </w:tc>
        <w:tc>
          <w:tcPr>
            <w:tcW w:type="dxa" w:w="3022"/>
          </w:tcPr>
          <w:p>
            <w:r>
              <w:rPr>
                <w:rFonts w:ascii="Times New Roman" w:hAnsi="Times New Roman" w:eastAsia="宋体"/>
                <w:b w:val="0"/>
                <w:i w:val="0"/>
                <w:color w:val="1A1A1A"/>
                <w:sz w:val="18"/>
              </w:rPr>
              <w:t>3</w:t>
            </w:r>
          </w:p>
        </w:tc>
      </w:tr>
      <w:tr>
        <w:tc>
          <w:tcPr>
            <w:tcW w:type="dxa" w:w="3022"/>
          </w:tcPr>
          <w:p>
            <w:r>
              <w:rPr>
                <w:rFonts w:ascii="Times New Roman" w:hAnsi="Times New Roman" w:eastAsia="宋体"/>
                <w:b w:val="0"/>
                <w:i w:val="0"/>
                <w:color w:val="1A1A1A"/>
                <w:sz w:val="18"/>
              </w:rPr>
              <w:t>国家药品监督管理局药品说明书索引</w:t>
            </w:r>
          </w:p>
        </w:tc>
        <w:tc>
          <w:tcPr>
            <w:tcW w:type="dxa" w:w="3022"/>
          </w:tcPr>
          <w:p>
            <w:r>
              <w:rPr>
                <w:rFonts w:ascii="Times New Roman" w:hAnsi="Times New Roman" w:eastAsia="宋体"/>
                <w:b w:val="0"/>
                <w:i w:val="0"/>
                <w:color w:val="1A1A1A"/>
                <w:sz w:val="18"/>
              </w:rPr>
              <w:t>1</w:t>
            </w:r>
          </w:p>
        </w:tc>
        <w:tc>
          <w:tcPr>
            <w:tcW w:type="dxa" w:w="3022"/>
          </w:tcPr>
          <w:p>
            <w:r>
              <w:rPr>
                <w:rFonts w:ascii="Times New Roman" w:hAnsi="Times New Roman" w:eastAsia="宋体"/>
                <w:b w:val="0"/>
                <w:i w:val="0"/>
                <w:color w:val="1A1A1A"/>
                <w:sz w:val="18"/>
              </w:rPr>
              <w:t>2</w:t>
            </w:r>
          </w:p>
        </w:tc>
      </w:tr>
      <w:tr>
        <w:tc>
          <w:tcPr>
            <w:tcW w:type="dxa" w:w="3022"/>
          </w:tcPr>
          <w:p>
            <w:r>
              <w:rPr>
                <w:rFonts w:ascii="Times New Roman" w:hAnsi="Times New Roman" w:eastAsia="宋体"/>
                <w:b w:val="0"/>
                <w:i w:val="0"/>
                <w:color w:val="1A1A1A"/>
                <w:sz w:val="18"/>
              </w:rPr>
              <w:t>PubChem</w:t>
            </w:r>
          </w:p>
        </w:tc>
        <w:tc>
          <w:tcPr>
            <w:tcW w:type="dxa" w:w="3022"/>
          </w:tcPr>
          <w:p>
            <w:r>
              <w:rPr>
                <w:rFonts w:ascii="Times New Roman" w:hAnsi="Times New Roman" w:eastAsia="宋体"/>
                <w:b w:val="0"/>
                <w:i w:val="0"/>
                <w:color w:val="1A1A1A"/>
                <w:sz w:val="18"/>
              </w:rPr>
              <w:t>1</w:t>
            </w:r>
          </w:p>
        </w:tc>
        <w:tc>
          <w:tcPr>
            <w:tcW w:type="dxa" w:w="3022"/>
          </w:tcPr>
          <w:p>
            <w:r>
              <w:rPr>
                <w:rFonts w:ascii="Times New Roman" w:hAnsi="Times New Roman" w:eastAsia="宋体"/>
                <w:b w:val="0"/>
                <w:i w:val="0"/>
                <w:color w:val="1A1A1A"/>
                <w:sz w:val="18"/>
              </w:rPr>
              <w:t>1</w:t>
            </w:r>
          </w:p>
        </w:tc>
      </w:tr>
      <w:tr>
        <w:tc>
          <w:tcPr>
            <w:tcW w:type="dxa" w:w="3022"/>
          </w:tcPr>
          <w:p>
            <w:r>
              <w:rPr>
                <w:rFonts w:ascii="Times New Roman" w:hAnsi="Times New Roman" w:eastAsia="宋体"/>
                <w:b w:val="0"/>
                <w:i w:val="0"/>
                <w:color w:val="1A1A1A"/>
                <w:sz w:val="18"/>
              </w:rPr>
              <w:t>内部文献题录库</w:t>
            </w:r>
          </w:p>
        </w:tc>
        <w:tc>
          <w:tcPr>
            <w:tcW w:type="dxa" w:w="3022"/>
          </w:tcPr>
          <w:p>
            <w:r>
              <w:rPr>
                <w:rFonts w:ascii="Times New Roman" w:hAnsi="Times New Roman" w:eastAsia="宋体"/>
                <w:b w:val="0"/>
                <w:i w:val="0"/>
                <w:color w:val="1A1A1A"/>
                <w:sz w:val="18"/>
              </w:rPr>
              <w:t>1</w:t>
            </w:r>
          </w:p>
        </w:tc>
        <w:tc>
          <w:tcPr>
            <w:tcW w:type="dxa" w:w="3022"/>
          </w:tcPr>
          <w:p>
            <w:r>
              <w:rPr>
                <w:rFonts w:ascii="Times New Roman" w:hAnsi="Times New Roman" w:eastAsia="宋体"/>
                <w:b w:val="0"/>
                <w:i w:val="0"/>
                <w:color w:val="1A1A1A"/>
                <w:sz w:val="18"/>
              </w:rPr>
              <w:t>0</w:t>
            </w:r>
          </w:p>
        </w:tc>
      </w:tr>
      <w:tr>
        <w:tc>
          <w:tcPr>
            <w:tcW w:type="dxa" w:w="3022"/>
          </w:tcPr>
          <w:p>
            <w:r>
              <w:rPr>
                <w:rFonts w:ascii="Times New Roman" w:hAnsi="Times New Roman" w:eastAsia="宋体"/>
                <w:b w:val="0"/>
                <w:i w:val="0"/>
                <w:color w:val="1A1A1A"/>
                <w:sz w:val="18"/>
              </w:rPr>
              <w:t>合计</w:t>
            </w:r>
          </w:p>
        </w:tc>
        <w:tc>
          <w:tcPr>
            <w:tcW w:type="dxa" w:w="3022"/>
          </w:tcPr>
          <w:p>
            <w:r>
              <w:rPr>
                <w:rFonts w:ascii="Times New Roman" w:hAnsi="Times New Roman" w:eastAsia="宋体"/>
                <w:b w:val="0"/>
                <w:i w:val="0"/>
                <w:color w:val="1A1A1A"/>
                <w:sz w:val="18"/>
              </w:rPr>
              <w:t>41</w:t>
            </w:r>
          </w:p>
        </w:tc>
        <w:tc>
          <w:tcPr>
            <w:tcW w:type="dxa" w:w="3022"/>
          </w:tcPr>
          <w:p>
            <w:r>
              <w:rPr>
                <w:rFonts w:ascii="Times New Roman" w:hAnsi="Times New Roman" w:eastAsia="宋体"/>
                <w:b w:val="0"/>
                <w:i w:val="0"/>
                <w:color w:val="1A1A1A"/>
                <w:sz w:val="18"/>
              </w:rPr>
              <w:t>476</w:t>
            </w:r>
          </w:p>
        </w:tc>
      </w:tr>
    </w:tbl>
    <w:p>
      <w:pPr>
        <w:spacing w:after="80"/>
      </w:pPr>
    </w:p>
    <w:p>
      <w:pPr>
        <w:spacing w:after="120" w:line="360" w:lineRule="auto"/>
        <w:ind w:firstLine="420"/>
      </w:pPr>
      <w:r>
        <w:rPr>
          <w:rFonts w:ascii="Times New Roman" w:hAnsi="Times New Roman" w:eastAsia="宋体"/>
          <w:b w:val="0"/>
          <w:i w:val="0"/>
          <w:color w:val="1A1A1A"/>
          <w:sz w:val="21"/>
        </w:rPr>
        <w:t>18个来源中，4篇为开放获取期刊全文，1份为官方处置指导页面，6条为摘要层级记录，7条为数据库记录条目。全部13条带逐字原文支持的结论性主张均由前述5个全文或官方页面来源承载；其余来源的转述限于检索记录中实际显示的摘要或字段内容（如</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摘要中的更换惯例间隔、</w:t>
      </w:r>
      <w:r>
        <w:rPr>
          <w:rFonts w:ascii="Times New Roman" w:hAnsi="Times New Roman" w:eastAsia="宋体"/>
          <w:b w:val="0"/>
          <w:i w:val="0"/>
          <w:color w:val="1A1A1A"/>
          <w:sz w:val="21"/>
          <w:vertAlign w:val="superscript"/>
        </w:rPr>
        <w:t>[15]</w:t>
      </w:r>
      <w:r>
        <w:rPr>
          <w:rFonts w:ascii="Times New Roman" w:hAnsi="Times New Roman" w:eastAsia="宋体"/>
          <w:b w:val="0"/>
          <w:i w:val="0"/>
          <w:color w:val="1A1A1A"/>
          <w:sz w:val="21"/>
        </w:rPr>
        <w:t>摘要中的贮存期限阈值、</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题名中的成分数、</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记录中的制剂定位与上市年份），不外推其方法与记录中未显示的数值细节。</w:t>
      </w:r>
    </w:p>
    <w:p>
      <w:pPr>
        <w:spacing w:after="60" w:line="360" w:lineRule="auto"/>
        <w:jc w:val="center"/>
      </w:pPr>
      <w:r>
        <w:rPr>
          <w:rFonts w:ascii="Times New Roman" w:hAnsi="Times New Roman" w:eastAsia="宋体"/>
          <w:b/>
          <w:i w:val="0"/>
          <w:color w:val="1A1A1A"/>
          <w:sz w:val="19"/>
        </w:rPr>
        <w:t>表2</w:t>
      </w:r>
      <w:r>
        <w:rPr>
          <w:rFonts w:ascii="Times New Roman" w:hAnsi="Times New Roman" w:eastAsia="宋体"/>
          <w:b w:val="0"/>
          <w:i w:val="0"/>
          <w:color w:val="1A1A1A"/>
          <w:sz w:val="19"/>
        </w:rPr>
        <w:t xml:space="preserve"> 纳入来源的类型、论证角色与可核验文本层级</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266"/>
        <w:gridCol w:w="2266"/>
        <w:gridCol w:w="2266"/>
        <w:gridCol w:w="2266"/>
      </w:tblGrid>
      <w:tr>
        <w:tc>
          <w:tcPr>
            <w:tcW w:type="dxa" w:w="2266"/>
            <w:tcBorders>
              <w:bottom w:val="single" w:sz="6" w:color="1A1A1A"/>
            </w:tcBorders>
          </w:tcPr>
          <w:p>
            <w:pPr>
              <w:jc w:val="center"/>
            </w:pPr>
            <w:r>
              <w:rPr>
                <w:rFonts w:ascii="Times New Roman" w:hAnsi="Times New Roman" w:eastAsia="宋体"/>
                <w:b/>
                <w:i w:val="0"/>
                <w:color w:val="1A1A1A"/>
                <w:sz w:val="18"/>
              </w:rPr>
              <w:t>编号</w:t>
            </w:r>
          </w:p>
        </w:tc>
        <w:tc>
          <w:tcPr>
            <w:tcW w:type="dxa" w:w="2266"/>
            <w:tcBorders>
              <w:bottom w:val="single" w:sz="6" w:color="1A1A1A"/>
            </w:tcBorders>
          </w:tcPr>
          <w:p>
            <w:pPr>
              <w:jc w:val="center"/>
            </w:pPr>
            <w:r>
              <w:rPr>
                <w:rFonts w:ascii="Times New Roman" w:hAnsi="Times New Roman" w:eastAsia="宋体"/>
                <w:b/>
                <w:i w:val="0"/>
                <w:color w:val="1A1A1A"/>
                <w:sz w:val="18"/>
              </w:rPr>
              <w:t>来源与类型</w:t>
            </w:r>
          </w:p>
        </w:tc>
        <w:tc>
          <w:tcPr>
            <w:tcW w:type="dxa" w:w="2266"/>
            <w:tcBorders>
              <w:bottom w:val="single" w:sz="6" w:color="1A1A1A"/>
            </w:tcBorders>
          </w:tcPr>
          <w:p>
            <w:pPr>
              <w:jc w:val="center"/>
            </w:pPr>
            <w:r>
              <w:rPr>
                <w:rFonts w:ascii="Times New Roman" w:hAnsi="Times New Roman" w:eastAsia="宋体"/>
                <w:b/>
                <w:i w:val="0"/>
                <w:color w:val="1A1A1A"/>
                <w:sz w:val="18"/>
              </w:rPr>
              <w:t>在论证中承担的角色</w:t>
            </w:r>
          </w:p>
        </w:tc>
        <w:tc>
          <w:tcPr>
            <w:tcW w:type="dxa" w:w="2266"/>
            <w:tcBorders>
              <w:bottom w:val="single" w:sz="6" w:color="1A1A1A"/>
            </w:tcBorders>
          </w:tcPr>
          <w:p>
            <w:pPr>
              <w:jc w:val="center"/>
            </w:pPr>
            <w:r>
              <w:rPr>
                <w:rFonts w:ascii="Times New Roman" w:hAnsi="Times New Roman" w:eastAsia="宋体"/>
                <w:b/>
                <w:i w:val="0"/>
                <w:color w:val="1A1A1A"/>
                <w:sz w:val="18"/>
              </w:rPr>
              <w:t>可核验文本层级</w:t>
            </w:r>
          </w:p>
        </w:tc>
      </w:tr>
      <w:tr>
        <w:tc>
          <w:tcPr>
            <w:tcW w:type="dxa" w:w="2266"/>
          </w:tcPr>
          <w:p>
            <w:r>
              <w:rPr>
                <w:rFonts w:ascii="Times New Roman" w:hAnsi="Times New Roman" w:eastAsia="宋体"/>
                <w:b w:val="0"/>
                <w:i w:val="0"/>
                <w:color w:val="1A1A1A"/>
                <w:sz w:val="18"/>
                <w:vertAlign w:val="superscript"/>
              </w:rPr>
              <w:t>[1]</w:t>
            </w:r>
          </w:p>
        </w:tc>
        <w:tc>
          <w:tcPr>
            <w:tcW w:type="dxa" w:w="2266"/>
          </w:tcPr>
          <w:p>
            <w:r>
              <w:rPr>
                <w:rFonts w:ascii="Times New Roman" w:hAnsi="Times New Roman" w:eastAsia="宋体"/>
                <w:b w:val="0"/>
                <w:i w:val="0"/>
                <w:color w:val="1A1A1A"/>
                <w:sz w:val="18"/>
              </w:rPr>
              <w:t>挥发性药物稳定化的结构预测研究（期刊论文）</w:t>
            </w:r>
          </w:p>
        </w:tc>
        <w:tc>
          <w:tcPr>
            <w:tcW w:type="dxa" w:w="2266"/>
          </w:tcPr>
          <w:p>
            <w:r>
              <w:rPr>
                <w:rFonts w:ascii="Times New Roman" w:hAnsi="Times New Roman" w:eastAsia="宋体"/>
                <w:b w:val="0"/>
                <w:i w:val="0"/>
                <w:color w:val="1A1A1A"/>
                <w:sz w:val="18"/>
              </w:rPr>
              <w:t>龙脑挥发行为实测与保留率数据</w:t>
            </w:r>
          </w:p>
        </w:tc>
        <w:tc>
          <w:tcPr>
            <w:tcW w:type="dxa" w:w="2266"/>
          </w:tcPr>
          <w:p>
            <w:r>
              <w:rPr>
                <w:rFonts w:ascii="Times New Roman" w:hAnsi="Times New Roman" w:eastAsia="宋体"/>
                <w:b w:val="0"/>
                <w:i w:val="0"/>
                <w:color w:val="1A1A1A"/>
                <w:sz w:val="18"/>
              </w:rPr>
              <w:t>全文</w:t>
            </w:r>
          </w:p>
        </w:tc>
      </w:tr>
      <w:tr>
        <w:tc>
          <w:tcPr>
            <w:tcW w:type="dxa" w:w="2266"/>
          </w:tcPr>
          <w:p>
            <w:r>
              <w:rPr>
                <w:rFonts w:ascii="Times New Roman" w:hAnsi="Times New Roman" w:eastAsia="宋体"/>
                <w:b w:val="0"/>
                <w:i w:val="0"/>
                <w:color w:val="1A1A1A"/>
                <w:sz w:val="18"/>
                <w:vertAlign w:val="superscript"/>
              </w:rPr>
              <w:t>[2]</w:t>
            </w:r>
          </w:p>
        </w:tc>
        <w:tc>
          <w:tcPr>
            <w:tcW w:type="dxa" w:w="2266"/>
          </w:tcPr>
          <w:p>
            <w:r>
              <w:rPr>
                <w:rFonts w:ascii="Times New Roman" w:hAnsi="Times New Roman" w:eastAsia="宋体"/>
                <w:b w:val="0"/>
                <w:i w:val="0"/>
                <w:color w:val="1A1A1A"/>
                <w:sz w:val="18"/>
              </w:rPr>
              <w:t>艾粉固体分散体制备与评价研究（期刊论文）</w:t>
            </w:r>
          </w:p>
        </w:tc>
        <w:tc>
          <w:tcPr>
            <w:tcW w:type="dxa" w:w="2266"/>
          </w:tcPr>
          <w:p>
            <w:r>
              <w:rPr>
                <w:rFonts w:ascii="Times New Roman" w:hAnsi="Times New Roman" w:eastAsia="宋体"/>
                <w:b w:val="0"/>
                <w:i w:val="0"/>
                <w:color w:val="1A1A1A"/>
                <w:sz w:val="18"/>
              </w:rPr>
              <w:t>含龙脑固体材料的升华与加工挥发损失</w:t>
            </w:r>
          </w:p>
        </w:tc>
        <w:tc>
          <w:tcPr>
            <w:tcW w:type="dxa" w:w="2266"/>
          </w:tcPr>
          <w:p>
            <w:r>
              <w:rPr>
                <w:rFonts w:ascii="Times New Roman" w:hAnsi="Times New Roman" w:eastAsia="宋体"/>
                <w:b w:val="0"/>
                <w:i w:val="0"/>
                <w:color w:val="1A1A1A"/>
                <w:sz w:val="18"/>
              </w:rPr>
              <w:t>全文</w:t>
            </w:r>
          </w:p>
        </w:tc>
      </w:tr>
      <w:tr>
        <w:tc>
          <w:tcPr>
            <w:tcW w:type="dxa" w:w="2266"/>
          </w:tcPr>
          <w:p>
            <w:r>
              <w:rPr>
                <w:rFonts w:ascii="Times New Roman" w:hAnsi="Times New Roman" w:eastAsia="宋体"/>
                <w:b w:val="0"/>
                <w:i w:val="0"/>
                <w:color w:val="1A1A1A"/>
                <w:sz w:val="18"/>
                <w:vertAlign w:val="superscript"/>
              </w:rPr>
              <w:t>[3]</w:t>
            </w:r>
          </w:p>
        </w:tc>
        <w:tc>
          <w:tcPr>
            <w:tcW w:type="dxa" w:w="2266"/>
          </w:tcPr>
          <w:p>
            <w:r>
              <w:rPr>
                <w:rFonts w:ascii="Times New Roman" w:hAnsi="Times New Roman" w:eastAsia="宋体"/>
                <w:b w:val="0"/>
                <w:i w:val="0"/>
                <w:color w:val="1A1A1A"/>
                <w:sz w:val="18"/>
              </w:rPr>
              <w:t>速效救心丸调节冠状动脉张力的药理研究（期刊论文）</w:t>
            </w:r>
          </w:p>
        </w:tc>
        <w:tc>
          <w:tcPr>
            <w:tcW w:type="dxa" w:w="2266"/>
          </w:tcPr>
          <w:p>
            <w:r>
              <w:rPr>
                <w:rFonts w:ascii="Times New Roman" w:hAnsi="Times New Roman" w:eastAsia="宋体"/>
                <w:b w:val="0"/>
                <w:i w:val="0"/>
                <w:color w:val="1A1A1A"/>
                <w:sz w:val="18"/>
              </w:rPr>
              <w:t>处方组成与冰片的药理活性</w:t>
            </w:r>
          </w:p>
        </w:tc>
        <w:tc>
          <w:tcPr>
            <w:tcW w:type="dxa" w:w="2266"/>
          </w:tcPr>
          <w:p>
            <w:r>
              <w:rPr>
                <w:rFonts w:ascii="Times New Roman" w:hAnsi="Times New Roman" w:eastAsia="宋体"/>
                <w:b w:val="0"/>
                <w:i w:val="0"/>
                <w:color w:val="1A1A1A"/>
                <w:sz w:val="18"/>
              </w:rPr>
              <w:t>全文</w:t>
            </w:r>
          </w:p>
        </w:tc>
      </w:tr>
      <w:tr>
        <w:tc>
          <w:tcPr>
            <w:tcW w:type="dxa" w:w="2266"/>
          </w:tcPr>
          <w:p>
            <w:r>
              <w:rPr>
                <w:rFonts w:ascii="Times New Roman" w:hAnsi="Times New Roman" w:eastAsia="宋体"/>
                <w:b w:val="0"/>
                <w:i w:val="0"/>
                <w:color w:val="1A1A1A"/>
                <w:sz w:val="18"/>
                <w:vertAlign w:val="superscript"/>
              </w:rPr>
              <w:t>[4]</w:t>
            </w:r>
          </w:p>
        </w:tc>
        <w:tc>
          <w:tcPr>
            <w:tcW w:type="dxa" w:w="2266"/>
          </w:tcPr>
          <w:p>
            <w:r>
              <w:rPr>
                <w:rFonts w:ascii="Times New Roman" w:hAnsi="Times New Roman" w:eastAsia="宋体"/>
                <w:b w:val="0"/>
                <w:i w:val="0"/>
                <w:color w:val="1A1A1A"/>
                <w:sz w:val="18"/>
              </w:rPr>
              <w:t>速效救心丸对犬急性心肌缺血保护作用的研究（期刊论文）</w:t>
            </w:r>
          </w:p>
        </w:tc>
        <w:tc>
          <w:tcPr>
            <w:tcW w:type="dxa" w:w="2266"/>
          </w:tcPr>
          <w:p>
            <w:r>
              <w:rPr>
                <w:rFonts w:ascii="Times New Roman" w:hAnsi="Times New Roman" w:eastAsia="宋体"/>
                <w:b w:val="0"/>
                <w:i w:val="0"/>
                <w:color w:val="1A1A1A"/>
                <w:sz w:val="18"/>
              </w:rPr>
              <w:t>处方组成与成分含量的量值尺度</w:t>
            </w:r>
          </w:p>
        </w:tc>
        <w:tc>
          <w:tcPr>
            <w:tcW w:type="dxa" w:w="2266"/>
          </w:tcPr>
          <w:p>
            <w:r>
              <w:rPr>
                <w:rFonts w:ascii="Times New Roman" w:hAnsi="Times New Roman" w:eastAsia="宋体"/>
                <w:b w:val="0"/>
                <w:i w:val="0"/>
                <w:color w:val="1A1A1A"/>
                <w:sz w:val="18"/>
              </w:rPr>
              <w:t>全文</w:t>
            </w:r>
          </w:p>
        </w:tc>
      </w:tr>
      <w:tr>
        <w:tc>
          <w:tcPr>
            <w:tcW w:type="dxa" w:w="2266"/>
          </w:tcPr>
          <w:p>
            <w:r>
              <w:rPr>
                <w:rFonts w:ascii="Times New Roman" w:hAnsi="Times New Roman" w:eastAsia="宋体"/>
                <w:b w:val="0"/>
                <w:i w:val="0"/>
                <w:color w:val="1A1A1A"/>
                <w:sz w:val="18"/>
                <w:vertAlign w:val="superscript"/>
              </w:rPr>
              <w:t>[5]</w:t>
            </w:r>
          </w:p>
        </w:tc>
        <w:tc>
          <w:tcPr>
            <w:tcW w:type="dxa" w:w="2266"/>
          </w:tcPr>
          <w:p>
            <w:r>
              <w:rPr>
                <w:rFonts w:ascii="Times New Roman" w:hAnsi="Times New Roman" w:eastAsia="宋体"/>
                <w:b w:val="0"/>
                <w:i w:val="0"/>
                <w:color w:val="1A1A1A"/>
                <w:sz w:val="18"/>
              </w:rPr>
              <w:t>舌下硝酸甘油片模拟真实使用条件的开放研究（期刊论文）</w:t>
            </w:r>
          </w:p>
        </w:tc>
        <w:tc>
          <w:tcPr>
            <w:tcW w:type="dxa" w:w="2266"/>
          </w:tcPr>
          <w:p>
            <w:r>
              <w:rPr>
                <w:rFonts w:ascii="Times New Roman" w:hAnsi="Times New Roman" w:eastAsia="宋体"/>
                <w:b w:val="0"/>
                <w:i w:val="0"/>
                <w:color w:val="1A1A1A"/>
                <w:sz w:val="18"/>
              </w:rPr>
              <w:t>"每3～6个月更换"惯例与真实使用条件下的效价损失</w:t>
            </w:r>
          </w:p>
        </w:tc>
        <w:tc>
          <w:tcPr>
            <w:tcW w:type="dxa" w:w="2266"/>
          </w:tcPr>
          <w:p>
            <w:r>
              <w:rPr>
                <w:rFonts w:ascii="Times New Roman" w:hAnsi="Times New Roman" w:eastAsia="宋体"/>
                <w:b w:val="0"/>
                <w:i w:val="0"/>
                <w:color w:val="1A1A1A"/>
                <w:sz w:val="18"/>
              </w:rPr>
              <w:t>摘要</w:t>
            </w:r>
          </w:p>
        </w:tc>
      </w:tr>
      <w:tr>
        <w:tc>
          <w:tcPr>
            <w:tcW w:type="dxa" w:w="2266"/>
          </w:tcPr>
          <w:p>
            <w:r>
              <w:rPr>
                <w:rFonts w:ascii="Times New Roman" w:hAnsi="Times New Roman" w:eastAsia="宋体"/>
                <w:b w:val="0"/>
                <w:i w:val="0"/>
                <w:color w:val="1A1A1A"/>
                <w:sz w:val="18"/>
                <w:vertAlign w:val="superscript"/>
              </w:rPr>
              <w:t>[6]</w:t>
            </w:r>
          </w:p>
        </w:tc>
        <w:tc>
          <w:tcPr>
            <w:tcW w:type="dxa" w:w="2266"/>
          </w:tcPr>
          <w:p>
            <w:r>
              <w:rPr>
                <w:rFonts w:ascii="Times New Roman" w:hAnsi="Times New Roman" w:eastAsia="宋体"/>
                <w:b w:val="0"/>
                <w:i w:val="0"/>
                <w:color w:val="1A1A1A"/>
                <w:sz w:val="18"/>
              </w:rPr>
              <w:t>市售舌下硝酸甘油片物理稳定性比较研究（期刊论文）</w:t>
            </w:r>
          </w:p>
        </w:tc>
        <w:tc>
          <w:tcPr>
            <w:tcW w:type="dxa" w:w="2266"/>
          </w:tcPr>
          <w:p>
            <w:r>
              <w:rPr>
                <w:rFonts w:ascii="Times New Roman" w:hAnsi="Times New Roman" w:eastAsia="宋体"/>
                <w:b w:val="0"/>
                <w:i w:val="0"/>
                <w:color w:val="1A1A1A"/>
                <w:sz w:val="18"/>
              </w:rPr>
              <w:t>密闭容器贮存的对照类比</w:t>
            </w:r>
          </w:p>
        </w:tc>
        <w:tc>
          <w:tcPr>
            <w:tcW w:type="dxa" w:w="2266"/>
          </w:tcPr>
          <w:p>
            <w:r>
              <w:rPr>
                <w:rFonts w:ascii="Times New Roman" w:hAnsi="Times New Roman" w:eastAsia="宋体"/>
                <w:b w:val="0"/>
                <w:i w:val="0"/>
                <w:color w:val="1A1A1A"/>
                <w:sz w:val="18"/>
              </w:rPr>
              <w:t>摘要</w:t>
            </w:r>
          </w:p>
        </w:tc>
      </w:tr>
      <w:tr>
        <w:tc>
          <w:tcPr>
            <w:tcW w:type="dxa" w:w="2266"/>
          </w:tcPr>
          <w:p>
            <w:r>
              <w:rPr>
                <w:rFonts w:ascii="Times New Roman" w:hAnsi="Times New Roman" w:eastAsia="宋体"/>
                <w:b w:val="0"/>
                <w:i w:val="0"/>
                <w:color w:val="1A1A1A"/>
                <w:sz w:val="18"/>
                <w:vertAlign w:val="superscript"/>
              </w:rPr>
              <w:t>[7]</w:t>
            </w:r>
          </w:p>
        </w:tc>
        <w:tc>
          <w:tcPr>
            <w:tcW w:type="dxa" w:w="2266"/>
          </w:tcPr>
          <w:p>
            <w:r>
              <w:rPr>
                <w:rFonts w:ascii="Times New Roman" w:hAnsi="Times New Roman" w:eastAsia="宋体"/>
                <w:b w:val="0"/>
                <w:i w:val="0"/>
                <w:color w:val="1A1A1A"/>
                <w:sz w:val="18"/>
              </w:rPr>
              <w:t>龙脑、异龙脑及代谢物樟脑测定方法研究（期刊论文）</w:t>
            </w:r>
          </w:p>
        </w:tc>
        <w:tc>
          <w:tcPr>
            <w:tcW w:type="dxa" w:w="2266"/>
          </w:tcPr>
          <w:p>
            <w:r>
              <w:rPr>
                <w:rFonts w:ascii="Times New Roman" w:hAnsi="Times New Roman" w:eastAsia="宋体"/>
                <w:b w:val="0"/>
                <w:i w:val="0"/>
                <w:color w:val="1A1A1A"/>
                <w:sz w:val="18"/>
              </w:rPr>
              <w:t>天然冰片与合成冰片的界定</w:t>
            </w:r>
          </w:p>
        </w:tc>
        <w:tc>
          <w:tcPr>
            <w:tcW w:type="dxa" w:w="2266"/>
          </w:tcPr>
          <w:p>
            <w:r>
              <w:rPr>
                <w:rFonts w:ascii="Times New Roman" w:hAnsi="Times New Roman" w:eastAsia="宋体"/>
                <w:b w:val="0"/>
                <w:i w:val="0"/>
                <w:color w:val="1A1A1A"/>
                <w:sz w:val="18"/>
              </w:rPr>
              <w:t>摘要</w:t>
            </w:r>
          </w:p>
        </w:tc>
      </w:tr>
      <w:tr>
        <w:tc>
          <w:tcPr>
            <w:tcW w:type="dxa" w:w="2266"/>
          </w:tcPr>
          <w:p>
            <w:r>
              <w:rPr>
                <w:rFonts w:ascii="Times New Roman" w:hAnsi="Times New Roman" w:eastAsia="宋体"/>
                <w:b w:val="0"/>
                <w:i w:val="0"/>
                <w:color w:val="1A1A1A"/>
                <w:sz w:val="18"/>
                <w:vertAlign w:val="superscript"/>
              </w:rPr>
              <w:t>[8]</w:t>
            </w:r>
          </w:p>
        </w:tc>
        <w:tc>
          <w:tcPr>
            <w:tcW w:type="dxa" w:w="2266"/>
          </w:tcPr>
          <w:p>
            <w:r>
              <w:rPr>
                <w:rFonts w:ascii="Times New Roman" w:hAnsi="Times New Roman" w:eastAsia="宋体"/>
                <w:b w:val="0"/>
                <w:i w:val="0"/>
                <w:color w:val="1A1A1A"/>
                <w:sz w:val="18"/>
              </w:rPr>
              <w:t>速效救心丸说明书</w:t>
            </w:r>
          </w:p>
        </w:tc>
        <w:tc>
          <w:tcPr>
            <w:tcW w:type="dxa" w:w="2266"/>
          </w:tcPr>
          <w:p>
            <w:r>
              <w:rPr>
                <w:rFonts w:ascii="Times New Roman" w:hAnsi="Times New Roman" w:eastAsia="宋体"/>
                <w:b w:val="0"/>
                <w:i w:val="0"/>
                <w:color w:val="1A1A1A"/>
                <w:sz w:val="18"/>
              </w:rPr>
              <w:t>本品贮藏项及开封期限的有无</w:t>
            </w:r>
          </w:p>
        </w:tc>
        <w:tc>
          <w:tcPr>
            <w:tcW w:type="dxa" w:w="2266"/>
          </w:tcPr>
          <w:p>
            <w:r>
              <w:rPr>
                <w:rFonts w:ascii="Times New Roman" w:hAnsi="Times New Roman" w:eastAsia="宋体"/>
                <w:b w:val="0"/>
                <w:i w:val="0"/>
                <w:color w:val="1A1A1A"/>
                <w:sz w:val="18"/>
              </w:rPr>
              <w:t>数据库记录条目</w:t>
            </w:r>
          </w:p>
        </w:tc>
      </w:tr>
      <w:tr>
        <w:tc>
          <w:tcPr>
            <w:tcW w:type="dxa" w:w="2266"/>
          </w:tcPr>
          <w:p>
            <w:r>
              <w:rPr>
                <w:rFonts w:ascii="Times New Roman" w:hAnsi="Times New Roman" w:eastAsia="宋体"/>
                <w:b w:val="0"/>
                <w:i w:val="0"/>
                <w:color w:val="1A1A1A"/>
                <w:sz w:val="18"/>
                <w:vertAlign w:val="superscript"/>
              </w:rPr>
              <w:t>[9]</w:t>
            </w:r>
          </w:p>
        </w:tc>
        <w:tc>
          <w:tcPr>
            <w:tcW w:type="dxa" w:w="2266"/>
          </w:tcPr>
          <w:p>
            <w:r>
              <w:rPr>
                <w:rFonts w:ascii="Times New Roman" w:hAnsi="Times New Roman" w:eastAsia="宋体"/>
                <w:b w:val="0"/>
                <w:i w:val="0"/>
                <w:color w:val="1A1A1A"/>
                <w:sz w:val="18"/>
              </w:rPr>
              <w:t>麝香保心丸说明书</w:t>
            </w:r>
          </w:p>
        </w:tc>
        <w:tc>
          <w:tcPr>
            <w:tcW w:type="dxa" w:w="2266"/>
          </w:tcPr>
          <w:p>
            <w:r>
              <w:rPr>
                <w:rFonts w:ascii="Times New Roman" w:hAnsi="Times New Roman" w:eastAsia="宋体"/>
                <w:b w:val="0"/>
                <w:i w:val="0"/>
                <w:color w:val="1A1A1A"/>
                <w:sz w:val="18"/>
              </w:rPr>
              <w:t>同类含挥发性组分中成药贮藏项</w:t>
            </w:r>
          </w:p>
        </w:tc>
        <w:tc>
          <w:tcPr>
            <w:tcW w:type="dxa" w:w="2266"/>
          </w:tcPr>
          <w:p>
            <w:r>
              <w:rPr>
                <w:rFonts w:ascii="Times New Roman" w:hAnsi="Times New Roman" w:eastAsia="宋体"/>
                <w:b w:val="0"/>
                <w:i w:val="0"/>
                <w:color w:val="1A1A1A"/>
                <w:sz w:val="18"/>
              </w:rPr>
              <w:t>数据库记录条目</w:t>
            </w:r>
          </w:p>
        </w:tc>
      </w:tr>
      <w:tr>
        <w:tc>
          <w:tcPr>
            <w:tcW w:type="dxa" w:w="2266"/>
          </w:tcPr>
          <w:p>
            <w:r>
              <w:rPr>
                <w:rFonts w:ascii="Times New Roman" w:hAnsi="Times New Roman" w:eastAsia="宋体"/>
                <w:b w:val="0"/>
                <w:i w:val="0"/>
                <w:color w:val="1A1A1A"/>
                <w:sz w:val="18"/>
                <w:vertAlign w:val="superscript"/>
              </w:rPr>
              <w:t>[10]</w:t>
            </w:r>
          </w:p>
        </w:tc>
        <w:tc>
          <w:tcPr>
            <w:tcW w:type="dxa" w:w="2266"/>
          </w:tcPr>
          <w:p>
            <w:r>
              <w:rPr>
                <w:rFonts w:ascii="Times New Roman" w:hAnsi="Times New Roman" w:eastAsia="宋体"/>
                <w:b w:val="0"/>
                <w:i w:val="0"/>
                <w:color w:val="1A1A1A"/>
                <w:sz w:val="18"/>
              </w:rPr>
              <w:t>复方丹参滴丸说明书</w:t>
            </w:r>
          </w:p>
        </w:tc>
        <w:tc>
          <w:tcPr>
            <w:tcW w:type="dxa" w:w="2266"/>
          </w:tcPr>
          <w:p>
            <w:r>
              <w:rPr>
                <w:rFonts w:ascii="Times New Roman" w:hAnsi="Times New Roman" w:eastAsia="宋体"/>
                <w:b w:val="0"/>
                <w:i w:val="0"/>
                <w:color w:val="1A1A1A"/>
                <w:sz w:val="18"/>
              </w:rPr>
              <w:t>同类含冰片滴丸贮藏项</w:t>
            </w:r>
          </w:p>
        </w:tc>
        <w:tc>
          <w:tcPr>
            <w:tcW w:type="dxa" w:w="2266"/>
          </w:tcPr>
          <w:p>
            <w:r>
              <w:rPr>
                <w:rFonts w:ascii="Times New Roman" w:hAnsi="Times New Roman" w:eastAsia="宋体"/>
                <w:b w:val="0"/>
                <w:i w:val="0"/>
                <w:color w:val="1A1A1A"/>
                <w:sz w:val="18"/>
              </w:rPr>
              <w:t>数据库记录条目</w:t>
            </w:r>
          </w:p>
        </w:tc>
      </w:tr>
      <w:tr>
        <w:tc>
          <w:tcPr>
            <w:tcW w:type="dxa" w:w="2266"/>
          </w:tcPr>
          <w:p>
            <w:r>
              <w:rPr>
                <w:rFonts w:ascii="Times New Roman" w:hAnsi="Times New Roman" w:eastAsia="宋体"/>
                <w:b w:val="0"/>
                <w:i w:val="0"/>
                <w:color w:val="1A1A1A"/>
                <w:sz w:val="18"/>
                <w:vertAlign w:val="superscript"/>
              </w:rPr>
              <w:t>[11]</w:t>
            </w:r>
          </w:p>
        </w:tc>
        <w:tc>
          <w:tcPr>
            <w:tcW w:type="dxa" w:w="2266"/>
          </w:tcPr>
          <w:p>
            <w:r>
              <w:rPr>
                <w:rFonts w:ascii="Times New Roman" w:hAnsi="Times New Roman" w:eastAsia="宋体"/>
                <w:b w:val="0"/>
                <w:i w:val="0"/>
                <w:color w:val="1A1A1A"/>
                <w:sz w:val="18"/>
              </w:rPr>
              <w:t>硝酸甘油片说明书（多厂商）</w:t>
            </w:r>
          </w:p>
        </w:tc>
        <w:tc>
          <w:tcPr>
            <w:tcW w:type="dxa" w:w="2266"/>
          </w:tcPr>
          <w:p>
            <w:r>
              <w:rPr>
                <w:rFonts w:ascii="Times New Roman" w:hAnsi="Times New Roman" w:eastAsia="宋体"/>
                <w:b w:val="0"/>
                <w:i w:val="0"/>
                <w:color w:val="1A1A1A"/>
                <w:sz w:val="18"/>
              </w:rPr>
              <w:t>硝酸甘油片中国说明书贮藏项</w:t>
            </w:r>
          </w:p>
        </w:tc>
        <w:tc>
          <w:tcPr>
            <w:tcW w:type="dxa" w:w="2266"/>
          </w:tcPr>
          <w:p>
            <w:r>
              <w:rPr>
                <w:rFonts w:ascii="Times New Roman" w:hAnsi="Times New Roman" w:eastAsia="宋体"/>
                <w:b w:val="0"/>
                <w:i w:val="0"/>
                <w:color w:val="1A1A1A"/>
                <w:sz w:val="18"/>
              </w:rPr>
              <w:t>数据库记录条目</w:t>
            </w:r>
          </w:p>
        </w:tc>
      </w:tr>
      <w:tr>
        <w:tc>
          <w:tcPr>
            <w:tcW w:type="dxa" w:w="2266"/>
          </w:tcPr>
          <w:p>
            <w:r>
              <w:rPr>
                <w:rFonts w:ascii="Times New Roman" w:hAnsi="Times New Roman" w:eastAsia="宋体"/>
                <w:b w:val="0"/>
                <w:i w:val="0"/>
                <w:color w:val="1A1A1A"/>
                <w:sz w:val="18"/>
                <w:vertAlign w:val="superscript"/>
              </w:rPr>
              <w:t>[12]</w:t>
            </w:r>
          </w:p>
        </w:tc>
        <w:tc>
          <w:tcPr>
            <w:tcW w:type="dxa" w:w="2266"/>
          </w:tcPr>
          <w:p>
            <w:r>
              <w:rPr>
                <w:rFonts w:ascii="Times New Roman" w:hAnsi="Times New Roman" w:eastAsia="宋体"/>
                <w:b w:val="0"/>
                <w:i w:val="0"/>
                <w:color w:val="1A1A1A"/>
                <w:sz w:val="18"/>
              </w:rPr>
              <w:t>速效救心丸治疗冠心病中国专家共识</w:t>
            </w:r>
          </w:p>
        </w:tc>
        <w:tc>
          <w:tcPr>
            <w:tcW w:type="dxa" w:w="2266"/>
          </w:tcPr>
          <w:p>
            <w:r>
              <w:rPr>
                <w:rFonts w:ascii="Times New Roman" w:hAnsi="Times New Roman" w:eastAsia="宋体"/>
                <w:b w:val="0"/>
                <w:i w:val="0"/>
                <w:color w:val="1A1A1A"/>
                <w:sz w:val="18"/>
              </w:rPr>
              <w:t>制剂定位与药典收载背景</w:t>
            </w:r>
          </w:p>
        </w:tc>
        <w:tc>
          <w:tcPr>
            <w:tcW w:type="dxa" w:w="2266"/>
          </w:tcPr>
          <w:p>
            <w:r>
              <w:rPr>
                <w:rFonts w:ascii="Times New Roman" w:hAnsi="Times New Roman" w:eastAsia="宋体"/>
                <w:b w:val="0"/>
                <w:i w:val="0"/>
                <w:color w:val="1A1A1A"/>
                <w:sz w:val="18"/>
              </w:rPr>
              <w:t>数据库记录条目</w:t>
            </w:r>
          </w:p>
        </w:tc>
      </w:tr>
      <w:tr>
        <w:tc>
          <w:tcPr>
            <w:tcW w:type="dxa" w:w="2266"/>
          </w:tcPr>
          <w:p>
            <w:r>
              <w:rPr>
                <w:rFonts w:ascii="Times New Roman" w:hAnsi="Times New Roman" w:eastAsia="宋体"/>
                <w:b w:val="0"/>
                <w:i w:val="0"/>
                <w:color w:val="1A1A1A"/>
                <w:sz w:val="18"/>
                <w:vertAlign w:val="superscript"/>
              </w:rPr>
              <w:t>[13]</w:t>
            </w:r>
          </w:p>
        </w:tc>
        <w:tc>
          <w:tcPr>
            <w:tcW w:type="dxa" w:w="2266"/>
          </w:tcPr>
          <w:p>
            <w:r>
              <w:rPr>
                <w:rFonts w:ascii="Times New Roman" w:hAnsi="Times New Roman" w:eastAsia="宋体"/>
                <w:b w:val="0"/>
                <w:i w:val="0"/>
                <w:color w:val="1A1A1A"/>
                <w:sz w:val="18"/>
              </w:rPr>
              <w:t>速效救心丸21个化学成分定量方法研究（期刊论文）</w:t>
            </w:r>
          </w:p>
        </w:tc>
        <w:tc>
          <w:tcPr>
            <w:tcW w:type="dxa" w:w="2266"/>
          </w:tcPr>
          <w:p>
            <w:r>
              <w:rPr>
                <w:rFonts w:ascii="Times New Roman" w:hAnsi="Times New Roman" w:eastAsia="宋体"/>
                <w:b w:val="0"/>
                <w:i w:val="0"/>
                <w:color w:val="1A1A1A"/>
                <w:sz w:val="18"/>
              </w:rPr>
              <w:t>龙脑与异龙脑的可测定性</w:t>
            </w:r>
          </w:p>
        </w:tc>
        <w:tc>
          <w:tcPr>
            <w:tcW w:type="dxa" w:w="2266"/>
          </w:tcPr>
          <w:p>
            <w:r>
              <w:rPr>
                <w:rFonts w:ascii="Times New Roman" w:hAnsi="Times New Roman" w:eastAsia="宋体"/>
                <w:b w:val="0"/>
                <w:i w:val="0"/>
                <w:color w:val="1A1A1A"/>
                <w:sz w:val="18"/>
              </w:rPr>
              <w:t>摘要</w:t>
            </w:r>
          </w:p>
        </w:tc>
      </w:tr>
      <w:tr>
        <w:tc>
          <w:tcPr>
            <w:tcW w:type="dxa" w:w="2266"/>
          </w:tcPr>
          <w:p>
            <w:r>
              <w:rPr>
                <w:rFonts w:ascii="Times New Roman" w:hAnsi="Times New Roman" w:eastAsia="宋体"/>
                <w:b w:val="0"/>
                <w:i w:val="0"/>
                <w:color w:val="1A1A1A"/>
                <w:sz w:val="18"/>
                <w:vertAlign w:val="superscript"/>
              </w:rPr>
              <w:t>[14]</w:t>
            </w:r>
          </w:p>
        </w:tc>
        <w:tc>
          <w:tcPr>
            <w:tcW w:type="dxa" w:w="2266"/>
          </w:tcPr>
          <w:p>
            <w:r>
              <w:rPr>
                <w:rFonts w:ascii="Times New Roman" w:hAnsi="Times New Roman" w:eastAsia="宋体"/>
                <w:b w:val="0"/>
                <w:i w:val="0"/>
                <w:color w:val="1A1A1A"/>
                <w:sz w:val="18"/>
              </w:rPr>
              <w:t>速效救心丸治疗稳定型心绞痛的随机对照试验（期刊论文）</w:t>
            </w:r>
          </w:p>
        </w:tc>
        <w:tc>
          <w:tcPr>
            <w:tcW w:type="dxa" w:w="2266"/>
          </w:tcPr>
          <w:p>
            <w:r>
              <w:rPr>
                <w:rFonts w:ascii="Times New Roman" w:hAnsi="Times New Roman" w:eastAsia="宋体"/>
                <w:b w:val="0"/>
                <w:i w:val="0"/>
                <w:color w:val="1A1A1A"/>
                <w:sz w:val="18"/>
              </w:rPr>
              <w:t>临床证据的人群边界</w:t>
            </w:r>
          </w:p>
        </w:tc>
        <w:tc>
          <w:tcPr>
            <w:tcW w:type="dxa" w:w="2266"/>
          </w:tcPr>
          <w:p>
            <w:r>
              <w:rPr>
                <w:rFonts w:ascii="Times New Roman" w:hAnsi="Times New Roman" w:eastAsia="宋体"/>
                <w:b w:val="0"/>
                <w:i w:val="0"/>
                <w:color w:val="1A1A1A"/>
                <w:sz w:val="18"/>
              </w:rPr>
              <w:t>摘要</w:t>
            </w:r>
          </w:p>
        </w:tc>
      </w:tr>
      <w:tr>
        <w:tc>
          <w:tcPr>
            <w:tcW w:type="dxa" w:w="2266"/>
          </w:tcPr>
          <w:p>
            <w:r>
              <w:rPr>
                <w:rFonts w:ascii="Times New Roman" w:hAnsi="Times New Roman" w:eastAsia="宋体"/>
                <w:b w:val="0"/>
                <w:i w:val="0"/>
                <w:color w:val="1A1A1A"/>
                <w:sz w:val="18"/>
                <w:vertAlign w:val="superscript"/>
              </w:rPr>
              <w:t>[15]</w:t>
            </w:r>
          </w:p>
        </w:tc>
        <w:tc>
          <w:tcPr>
            <w:tcW w:type="dxa" w:w="2266"/>
          </w:tcPr>
          <w:p>
            <w:r>
              <w:rPr>
                <w:rFonts w:ascii="Times New Roman" w:hAnsi="Times New Roman" w:eastAsia="宋体"/>
                <w:b w:val="0"/>
                <w:i w:val="0"/>
                <w:color w:val="1A1A1A"/>
                <w:sz w:val="18"/>
              </w:rPr>
              <w:t>12种中药饮片不同贮存时间稳定性研究（期刊论文）</w:t>
            </w:r>
          </w:p>
        </w:tc>
        <w:tc>
          <w:tcPr>
            <w:tcW w:type="dxa" w:w="2266"/>
          </w:tcPr>
          <w:p>
            <w:r>
              <w:rPr>
                <w:rFonts w:ascii="Times New Roman" w:hAnsi="Times New Roman" w:eastAsia="宋体"/>
                <w:b w:val="0"/>
                <w:i w:val="0"/>
                <w:color w:val="1A1A1A"/>
                <w:sz w:val="18"/>
              </w:rPr>
              <w:t>含挥发油中药贮存期限的邻近证据</w:t>
            </w:r>
          </w:p>
        </w:tc>
        <w:tc>
          <w:tcPr>
            <w:tcW w:type="dxa" w:w="2266"/>
          </w:tcPr>
          <w:p>
            <w:r>
              <w:rPr>
                <w:rFonts w:ascii="Times New Roman" w:hAnsi="Times New Roman" w:eastAsia="宋体"/>
                <w:b w:val="0"/>
                <w:i w:val="0"/>
                <w:color w:val="1A1A1A"/>
                <w:sz w:val="18"/>
              </w:rPr>
              <w:t>摘要</w:t>
            </w:r>
          </w:p>
        </w:tc>
      </w:tr>
      <w:tr>
        <w:tc>
          <w:tcPr>
            <w:tcW w:type="dxa" w:w="2266"/>
          </w:tcPr>
          <w:p>
            <w:r>
              <w:rPr>
                <w:rFonts w:ascii="Times New Roman" w:hAnsi="Times New Roman" w:eastAsia="宋体"/>
                <w:b w:val="0"/>
                <w:i w:val="0"/>
                <w:color w:val="1A1A1A"/>
                <w:sz w:val="18"/>
                <w:vertAlign w:val="superscript"/>
              </w:rPr>
              <w:t>[16]</w:t>
            </w:r>
          </w:p>
        </w:tc>
        <w:tc>
          <w:tcPr>
            <w:tcW w:type="dxa" w:w="2266"/>
          </w:tcPr>
          <w:p>
            <w:r>
              <w:rPr>
                <w:rFonts w:ascii="Times New Roman" w:hAnsi="Times New Roman" w:eastAsia="宋体"/>
                <w:b w:val="0"/>
                <w:i w:val="0"/>
                <w:color w:val="1A1A1A"/>
                <w:sz w:val="18"/>
              </w:rPr>
              <w:t>龙脑化合物记录</w:t>
            </w:r>
          </w:p>
        </w:tc>
        <w:tc>
          <w:tcPr>
            <w:tcW w:type="dxa" w:w="2266"/>
          </w:tcPr>
          <w:p>
            <w:r>
              <w:rPr>
                <w:rFonts w:ascii="Times New Roman" w:hAnsi="Times New Roman" w:eastAsia="宋体"/>
                <w:b w:val="0"/>
                <w:i w:val="0"/>
                <w:color w:val="1A1A1A"/>
                <w:sz w:val="18"/>
              </w:rPr>
              <w:t>分子式与相对分子质量</w:t>
            </w:r>
          </w:p>
        </w:tc>
        <w:tc>
          <w:tcPr>
            <w:tcW w:type="dxa" w:w="2266"/>
          </w:tcPr>
          <w:p>
            <w:r>
              <w:rPr>
                <w:rFonts w:ascii="Times New Roman" w:hAnsi="Times New Roman" w:eastAsia="宋体"/>
                <w:b w:val="0"/>
                <w:i w:val="0"/>
                <w:color w:val="1A1A1A"/>
                <w:sz w:val="18"/>
              </w:rPr>
              <w:t>数据库记录条目</w:t>
            </w:r>
          </w:p>
        </w:tc>
      </w:tr>
      <w:tr>
        <w:tc>
          <w:tcPr>
            <w:tcW w:type="dxa" w:w="2266"/>
          </w:tcPr>
          <w:p>
            <w:r>
              <w:rPr>
                <w:rFonts w:ascii="Times New Roman" w:hAnsi="Times New Roman" w:eastAsia="宋体"/>
                <w:b w:val="0"/>
                <w:i w:val="0"/>
                <w:color w:val="1A1A1A"/>
                <w:sz w:val="18"/>
                <w:vertAlign w:val="superscript"/>
              </w:rPr>
              <w:t>[17]</w:t>
            </w:r>
          </w:p>
        </w:tc>
        <w:tc>
          <w:tcPr>
            <w:tcW w:type="dxa" w:w="2266"/>
          </w:tcPr>
          <w:p>
            <w:r>
              <w:rPr>
                <w:rFonts w:ascii="Times New Roman" w:hAnsi="Times New Roman" w:eastAsia="宋体"/>
                <w:b w:val="0"/>
                <w:i w:val="0"/>
                <w:color w:val="1A1A1A"/>
                <w:sz w:val="18"/>
              </w:rPr>
              <w:t>舌下硝酸甘油片美国说明书记录</w:t>
            </w:r>
          </w:p>
        </w:tc>
        <w:tc>
          <w:tcPr>
            <w:tcW w:type="dxa" w:w="2266"/>
          </w:tcPr>
          <w:p>
            <w:r>
              <w:rPr>
                <w:rFonts w:ascii="Times New Roman" w:hAnsi="Times New Roman" w:eastAsia="宋体"/>
                <w:b w:val="0"/>
                <w:i w:val="0"/>
                <w:color w:val="1A1A1A"/>
                <w:sz w:val="18"/>
              </w:rPr>
              <w:t>境外说明书识别锚点（条文未逐字核验）</w:t>
            </w:r>
          </w:p>
        </w:tc>
        <w:tc>
          <w:tcPr>
            <w:tcW w:type="dxa" w:w="2266"/>
          </w:tcPr>
          <w:p>
            <w:r>
              <w:rPr>
                <w:rFonts w:ascii="Times New Roman" w:hAnsi="Times New Roman" w:eastAsia="宋体"/>
                <w:b w:val="0"/>
                <w:i w:val="0"/>
                <w:color w:val="1A1A1A"/>
                <w:sz w:val="18"/>
              </w:rPr>
              <w:t>数据库记录条目</w:t>
            </w:r>
          </w:p>
        </w:tc>
      </w:tr>
      <w:tr>
        <w:tc>
          <w:tcPr>
            <w:tcW w:type="dxa" w:w="2266"/>
          </w:tcPr>
          <w:p>
            <w:r>
              <w:rPr>
                <w:rFonts w:ascii="Times New Roman" w:hAnsi="Times New Roman" w:eastAsia="宋体"/>
                <w:b w:val="0"/>
                <w:i w:val="0"/>
                <w:color w:val="1A1A1A"/>
                <w:sz w:val="18"/>
                <w:vertAlign w:val="superscript"/>
              </w:rPr>
              <w:t>[18]</w:t>
            </w:r>
          </w:p>
        </w:tc>
        <w:tc>
          <w:tcPr>
            <w:tcW w:type="dxa" w:w="2266"/>
          </w:tcPr>
          <w:p>
            <w:r>
              <w:rPr>
                <w:rFonts w:ascii="Times New Roman" w:hAnsi="Times New Roman" w:eastAsia="宋体"/>
                <w:b w:val="0"/>
                <w:i w:val="0"/>
                <w:color w:val="1A1A1A"/>
                <w:sz w:val="18"/>
              </w:rPr>
              <w:t>急性胸痛官方处置指导页面</w:t>
            </w:r>
          </w:p>
        </w:tc>
        <w:tc>
          <w:tcPr>
            <w:tcW w:type="dxa" w:w="2266"/>
          </w:tcPr>
          <w:p>
            <w:r>
              <w:rPr>
                <w:rFonts w:ascii="Times New Roman" w:hAnsi="Times New Roman" w:eastAsia="宋体"/>
                <w:b w:val="0"/>
                <w:i w:val="0"/>
                <w:color w:val="1A1A1A"/>
                <w:sz w:val="18"/>
              </w:rPr>
              <w:t>急救呼叫的限定症状条件与动作</w:t>
            </w:r>
          </w:p>
        </w:tc>
        <w:tc>
          <w:tcPr>
            <w:tcW w:type="dxa" w:w="2266"/>
          </w:tcPr>
          <w:p>
            <w:r>
              <w:rPr>
                <w:rFonts w:ascii="Times New Roman" w:hAnsi="Times New Roman" w:eastAsia="宋体"/>
                <w:b w:val="0"/>
                <w:i w:val="0"/>
                <w:color w:val="1A1A1A"/>
                <w:sz w:val="18"/>
              </w:rPr>
              <w:t>官方页面</w:t>
            </w:r>
          </w:p>
        </w:tc>
      </w:tr>
    </w:tbl>
    <w:p>
      <w:pPr>
        <w:spacing w:after="80"/>
      </w:pPr>
    </w:p>
    <w:p>
      <w:pPr>
        <w:spacing w:after="80" w:line="312" w:lineRule="auto" w:before="160"/>
      </w:pPr>
      <w:r>
        <w:rPr>
          <w:rFonts w:ascii="Times New Roman" w:hAnsi="Times New Roman" w:eastAsia="黑体"/>
          <w:b/>
          <w:i w:val="0"/>
          <w:color w:val="1A1A1A"/>
          <w:sz w:val="22"/>
        </w:rPr>
        <w:t>3.2 分层框架下的直接证据缺口</w:t>
      </w:r>
    </w:p>
    <w:p>
      <w:pPr>
        <w:spacing w:after="120" w:line="360" w:lineRule="auto"/>
        <w:ind w:firstLine="420"/>
      </w:pPr>
      <w:r>
        <w:rPr>
          <w:rFonts w:ascii="Times New Roman" w:hAnsi="Times New Roman" w:eastAsia="宋体"/>
          <w:b w:val="0"/>
          <w:i w:val="0"/>
          <w:color w:val="1A1A1A"/>
          <w:sz w:val="21"/>
        </w:rPr>
        <w:t>针对本品开封后稳定性的检索使用了10余个中英文查询变体，覆盖"稳定性""冰片含量""含量测定""开封""使用期""质量标准"及其英文对应，检索范围包括PubMed、Europe PMC、Crossref与中文期刊题录。结果显示，未检索到以速效救心丸（或同类含冰片滴丸）开封或暴露后不同时间点的冰片含量或效价变化为直接测定终点的已发表研究。可检索到的本品研究集中在药效学（动物缺血模型</w:t>
      </w:r>
      <w:r>
        <w:rPr>
          <w:rFonts w:ascii="Times New Roman" w:hAnsi="Times New Roman" w:eastAsia="宋体"/>
          <w:b w:val="0"/>
          <w:i w:val="0"/>
          <w:color w:val="1A1A1A"/>
          <w:sz w:val="21"/>
          <w:vertAlign w:val="superscript"/>
        </w:rPr>
        <w:t>[3-4]</w:t>
      </w:r>
      <w:r>
        <w:rPr>
          <w:rFonts w:ascii="Times New Roman" w:hAnsi="Times New Roman" w:eastAsia="宋体"/>
          <w:b w:val="0"/>
          <w:i w:val="0"/>
          <w:color w:val="1A1A1A"/>
          <w:sz w:val="21"/>
        </w:rPr>
        <w:t>）、临床疗效（稳定型心绞痛随机对照试验</w:t>
      </w:r>
      <w:r>
        <w:rPr>
          <w:rFonts w:ascii="Times New Roman" w:hAnsi="Times New Roman" w:eastAsia="宋体"/>
          <w:b w:val="0"/>
          <w:i w:val="0"/>
          <w:color w:val="1A1A1A"/>
          <w:sz w:val="21"/>
          <w:vertAlign w:val="superscript"/>
        </w:rPr>
        <w:t>[14]</w:t>
      </w:r>
      <w:r>
        <w:rPr>
          <w:rFonts w:ascii="Times New Roman" w:hAnsi="Times New Roman" w:eastAsia="宋体"/>
          <w:b w:val="0"/>
          <w:i w:val="0"/>
          <w:color w:val="1A1A1A"/>
          <w:sz w:val="21"/>
        </w:rPr>
        <w:t>）、体内成分定量方法（可同时测定21个成分，含龙脑与异龙脑</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）与临床用药共识</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，均不以开封后稳定性为终点。</w:t>
      </w:r>
    </w:p>
    <w:p>
      <w:pPr>
        <w:spacing w:after="120" w:line="360" w:lineRule="auto"/>
        <w:ind w:firstLine="420"/>
      </w:pPr>
      <w:r>
        <w:rPr>
          <w:rFonts w:ascii="Times New Roman" w:hAnsi="Times New Roman" w:eastAsia="宋体"/>
          <w:b w:val="0"/>
          <w:i w:val="0"/>
          <w:color w:val="1A1A1A"/>
          <w:sz w:val="21"/>
        </w:rPr>
        <w:t>按分层框架，本研究的"开封后实测"层为空缺，"未开封（密封）稳定性"层亦只有间接证据（表3）。直接证据的缺失本身即为本研究的核心发现：若"3～6个月"源于实测，则理应存在相应的开封后稳定性研究报告，而在可获取的来源范围内没有。依据负性检索结果只能表述为"未检索到"，不能表述为"不存在"——企业内部未公开的稳定性档案可能持有该数据。</w:t>
      </w:r>
    </w:p>
    <w:p>
      <w:pPr>
        <w:spacing w:after="60" w:line="360" w:lineRule="auto"/>
        <w:jc w:val="center"/>
      </w:pPr>
      <w:r>
        <w:rPr>
          <w:rFonts w:ascii="Times New Roman" w:hAnsi="Times New Roman" w:eastAsia="宋体"/>
          <w:b/>
          <w:i w:val="0"/>
          <w:color w:val="1A1A1A"/>
          <w:sz w:val="19"/>
        </w:rPr>
        <w:t>表3</w:t>
      </w:r>
      <w:r>
        <w:rPr>
          <w:rFonts w:ascii="Times New Roman" w:hAnsi="Times New Roman" w:eastAsia="宋体"/>
          <w:b w:val="0"/>
          <w:i w:val="0"/>
          <w:color w:val="1A1A1A"/>
          <w:sz w:val="19"/>
        </w:rPr>
        <w:t xml:space="preserve"> 证据分层框架的定义与本研究中各层的可得性</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266"/>
        <w:gridCol w:w="2266"/>
        <w:gridCol w:w="2266"/>
        <w:gridCol w:w="2266"/>
      </w:tblGrid>
      <w:tr>
        <w:tc>
          <w:tcPr>
            <w:tcW w:type="dxa" w:w="2266"/>
            <w:tcBorders>
              <w:bottom w:val="single" w:sz="6" w:color="1A1A1A"/>
            </w:tcBorders>
          </w:tcPr>
          <w:p>
            <w:pPr>
              <w:jc w:val="center"/>
            </w:pPr>
            <w:r>
              <w:rPr>
                <w:rFonts w:ascii="Times New Roman" w:hAnsi="Times New Roman" w:eastAsia="宋体"/>
                <w:b/>
                <w:i w:val="0"/>
                <w:color w:val="1A1A1A"/>
                <w:sz w:val="18"/>
              </w:rPr>
              <w:t>证据层</w:t>
            </w:r>
          </w:p>
        </w:tc>
        <w:tc>
          <w:tcPr>
            <w:tcW w:type="dxa" w:w="2266"/>
            <w:tcBorders>
              <w:bottom w:val="single" w:sz="6" w:color="1A1A1A"/>
            </w:tcBorders>
          </w:tcPr>
          <w:p>
            <w:pPr>
              <w:jc w:val="center"/>
            </w:pPr>
            <w:r>
              <w:rPr>
                <w:rFonts w:ascii="Times New Roman" w:hAnsi="Times New Roman" w:eastAsia="宋体"/>
                <w:b/>
                <w:i w:val="0"/>
                <w:color w:val="1A1A1A"/>
                <w:sz w:val="18"/>
              </w:rPr>
              <w:t>定义</w:t>
            </w:r>
          </w:p>
        </w:tc>
        <w:tc>
          <w:tcPr>
            <w:tcW w:type="dxa" w:w="2266"/>
            <w:tcBorders>
              <w:bottom w:val="single" w:sz="6" w:color="1A1A1A"/>
            </w:tcBorders>
          </w:tcPr>
          <w:p>
            <w:pPr>
              <w:jc w:val="center"/>
            </w:pPr>
            <w:r>
              <w:rPr>
                <w:rFonts w:ascii="Times New Roman" w:hAnsi="Times New Roman" w:eastAsia="宋体"/>
                <w:b/>
                <w:i w:val="0"/>
                <w:color w:val="1A1A1A"/>
                <w:sz w:val="18"/>
              </w:rPr>
              <w:t>本研究中的可得性</w:t>
            </w:r>
          </w:p>
        </w:tc>
        <w:tc>
          <w:tcPr>
            <w:tcW w:type="dxa" w:w="2266"/>
            <w:tcBorders>
              <w:bottom w:val="single" w:sz="6" w:color="1A1A1A"/>
            </w:tcBorders>
          </w:tcPr>
          <w:p>
            <w:pPr>
              <w:jc w:val="center"/>
            </w:pPr>
            <w:r>
              <w:rPr>
                <w:rFonts w:ascii="Times New Roman" w:hAnsi="Times New Roman" w:eastAsia="宋体"/>
                <w:b/>
                <w:i w:val="0"/>
                <w:color w:val="1A1A1A"/>
                <w:sz w:val="18"/>
              </w:rPr>
              <w:t>承载来源</w:t>
            </w:r>
          </w:p>
        </w:tc>
      </w:tr>
      <w:tr>
        <w:tc>
          <w:tcPr>
            <w:tcW w:type="dxa" w:w="2266"/>
          </w:tcPr>
          <w:p>
            <w:r>
              <w:rPr>
                <w:rFonts w:ascii="Times New Roman" w:hAnsi="Times New Roman" w:eastAsia="宋体"/>
                <w:b w:val="0"/>
                <w:i w:val="0"/>
                <w:color w:val="1A1A1A"/>
                <w:sz w:val="18"/>
              </w:rPr>
              <w:t>未开封（密封）稳定性数据</w:t>
            </w:r>
          </w:p>
        </w:tc>
        <w:tc>
          <w:tcPr>
            <w:tcW w:type="dxa" w:w="2266"/>
          </w:tcPr>
          <w:p>
            <w:r>
              <w:rPr>
                <w:rFonts w:ascii="Times New Roman" w:hAnsi="Times New Roman" w:eastAsia="宋体"/>
                <w:b w:val="0"/>
                <w:i w:val="0"/>
                <w:color w:val="1A1A1A"/>
                <w:sz w:val="18"/>
              </w:rPr>
              <w:t>在密封包装或密闭容器条件下测得的含量—时间数据</w:t>
            </w:r>
          </w:p>
        </w:tc>
        <w:tc>
          <w:tcPr>
            <w:tcW w:type="dxa" w:w="2266"/>
          </w:tcPr>
          <w:p>
            <w:r>
              <w:rPr>
                <w:rFonts w:ascii="Times New Roman" w:hAnsi="Times New Roman" w:eastAsia="宋体"/>
                <w:b w:val="0"/>
                <w:i w:val="0"/>
                <w:color w:val="1A1A1A"/>
                <w:sz w:val="18"/>
              </w:rPr>
              <w:t>仅有间接证据：龙脑—辅料复合物60 ℃×12 h密封小瓶加速试验；硝酸甘油片密闭容器贮存研究</w:t>
            </w:r>
          </w:p>
        </w:tc>
        <w:tc>
          <w:tcPr>
            <w:tcW w:type="dxa" w:w="2266"/>
          </w:tcPr>
          <w:p>
            <w:r>
              <w:rPr>
                <w:rFonts w:ascii="Times New Roman" w:hAnsi="Times New Roman" w:eastAsia="宋体"/>
                <w:b w:val="0"/>
                <w:i w:val="0"/>
                <w:color w:val="1A1A1A"/>
                <w:sz w:val="18"/>
                <w:vertAlign w:val="superscript"/>
              </w:rPr>
              <w:t>[1]</w:t>
            </w:r>
            <w:r>
              <w:rPr>
                <w:rFonts w:ascii="Times New Roman" w:hAnsi="Times New Roman" w:eastAsia="宋体"/>
                <w:b w:val="0"/>
                <w:i w:val="0"/>
                <w:color w:val="1A1A1A"/>
                <w:sz w:val="18"/>
              </w:rPr>
              <w:t>、</w:t>
            </w:r>
            <w:r>
              <w:rPr>
                <w:rFonts w:ascii="Times New Roman" w:hAnsi="Times New Roman" w:eastAsia="宋体"/>
                <w:b w:val="0"/>
                <w:i w:val="0"/>
                <w:color w:val="1A1A1A"/>
                <w:sz w:val="18"/>
                <w:vertAlign w:val="superscript"/>
              </w:rPr>
              <w:t>[6]</w:t>
            </w:r>
          </w:p>
        </w:tc>
      </w:tr>
      <w:tr>
        <w:tc>
          <w:tcPr>
            <w:tcW w:type="dxa" w:w="2266"/>
          </w:tcPr>
          <w:p>
            <w:r>
              <w:rPr>
                <w:rFonts w:ascii="Times New Roman" w:hAnsi="Times New Roman" w:eastAsia="宋体"/>
                <w:b w:val="0"/>
                <w:i w:val="0"/>
                <w:color w:val="1A1A1A"/>
                <w:sz w:val="18"/>
              </w:rPr>
              <w:t>开封后实测数据</w:t>
            </w:r>
          </w:p>
        </w:tc>
        <w:tc>
          <w:tcPr>
            <w:tcW w:type="dxa" w:w="2266"/>
          </w:tcPr>
          <w:p>
            <w:r>
              <w:rPr>
                <w:rFonts w:ascii="Times New Roman" w:hAnsi="Times New Roman" w:eastAsia="宋体"/>
                <w:b w:val="0"/>
                <w:i w:val="0"/>
                <w:color w:val="1A1A1A"/>
                <w:sz w:val="18"/>
              </w:rPr>
              <w:t>制剂开封或暴露后不同时间点的含量或效价实测</w:t>
            </w:r>
          </w:p>
        </w:tc>
        <w:tc>
          <w:tcPr>
            <w:tcW w:type="dxa" w:w="2266"/>
          </w:tcPr>
          <w:p>
            <w:r>
              <w:rPr>
                <w:rFonts w:ascii="Times New Roman" w:hAnsi="Times New Roman" w:eastAsia="宋体"/>
                <w:b w:val="0"/>
                <w:i w:val="0"/>
                <w:color w:val="1A1A1A"/>
                <w:sz w:val="18"/>
              </w:rPr>
              <w:t>未检索到，证据缺口</w:t>
            </w:r>
          </w:p>
        </w:tc>
        <w:tc>
          <w:tcPr>
            <w:tcW w:type="dxa" w:w="2266"/>
          </w:tcPr>
          <w:p>
            <w:r>
              <w:rPr>
                <w:rFonts w:ascii="Times New Roman" w:hAnsi="Times New Roman" w:eastAsia="宋体"/>
                <w:b w:val="0"/>
                <w:i w:val="0"/>
                <w:color w:val="1A1A1A"/>
                <w:sz w:val="18"/>
              </w:rPr>
              <w:t>无</w:t>
            </w:r>
          </w:p>
        </w:tc>
      </w:tr>
      <w:tr>
        <w:tc>
          <w:tcPr>
            <w:tcW w:type="dxa" w:w="2266"/>
          </w:tcPr>
          <w:p>
            <w:r>
              <w:rPr>
                <w:rFonts w:ascii="Times New Roman" w:hAnsi="Times New Roman" w:eastAsia="宋体"/>
                <w:b w:val="0"/>
                <w:i w:val="0"/>
                <w:color w:val="1A1A1A"/>
                <w:sz w:val="18"/>
              </w:rPr>
              <w:t>基于理化性质的推断</w:t>
            </w:r>
          </w:p>
        </w:tc>
        <w:tc>
          <w:tcPr>
            <w:tcW w:type="dxa" w:w="2266"/>
          </w:tcPr>
          <w:p>
            <w:r>
              <w:rPr>
                <w:rFonts w:ascii="Times New Roman" w:hAnsi="Times New Roman" w:eastAsia="宋体"/>
                <w:b w:val="0"/>
                <w:i w:val="0"/>
                <w:color w:val="1A1A1A"/>
                <w:sz w:val="18"/>
              </w:rPr>
              <w:t>由挥发或升华机制与实测理化数据推导的结论</w:t>
            </w:r>
          </w:p>
        </w:tc>
        <w:tc>
          <w:tcPr>
            <w:tcW w:type="dxa" w:w="2266"/>
          </w:tcPr>
          <w:p>
            <w:r>
              <w:rPr>
                <w:rFonts w:ascii="Times New Roman" w:hAnsi="Times New Roman" w:eastAsia="宋体"/>
                <w:b w:val="0"/>
                <w:i w:val="0"/>
                <w:color w:val="1A1A1A"/>
                <w:sz w:val="18"/>
              </w:rPr>
              <w:t>全部推算结论，见3.7</w:t>
            </w:r>
          </w:p>
        </w:tc>
        <w:tc>
          <w:tcPr>
            <w:tcW w:type="dxa" w:w="2266"/>
          </w:tcPr>
          <w:p>
            <w:r>
              <w:rPr>
                <w:rFonts w:ascii="Times New Roman" w:hAnsi="Times New Roman" w:eastAsia="宋体"/>
                <w:b w:val="0"/>
                <w:i w:val="0"/>
                <w:color w:val="1A1A1A"/>
                <w:sz w:val="18"/>
              </w:rPr>
              <w:t>推算自</w:t>
            </w:r>
            <w:r>
              <w:rPr>
                <w:rFonts w:ascii="Times New Roman" w:hAnsi="Times New Roman" w:eastAsia="宋体"/>
                <w:b w:val="0"/>
                <w:i w:val="0"/>
                <w:color w:val="1A1A1A"/>
                <w:sz w:val="18"/>
                <w:vertAlign w:val="superscript"/>
              </w:rPr>
              <w:t>[1-2]</w:t>
            </w:r>
          </w:p>
        </w:tc>
      </w:tr>
    </w:tbl>
    <w:p>
      <w:pPr>
        <w:spacing w:after="80"/>
      </w:pPr>
    </w:p>
    <w:p>
      <w:pPr>
        <w:spacing w:after="80" w:line="312" w:lineRule="auto" w:before="160"/>
      </w:pPr>
      <w:r>
        <w:rPr>
          <w:rFonts w:ascii="Times New Roman" w:hAnsi="Times New Roman" w:eastAsia="黑体"/>
          <w:b/>
          <w:i w:val="0"/>
          <w:color w:val="1A1A1A"/>
          <w:sz w:val="22"/>
        </w:rPr>
        <w:t>3.3 冰片挥发行为的实测证据</w:t>
      </w:r>
    </w:p>
    <w:p>
      <w:pPr>
        <w:spacing w:after="120" w:line="360" w:lineRule="auto"/>
        <w:ind w:firstLine="420"/>
      </w:pPr>
      <w:r>
        <w:rPr>
          <w:rFonts w:ascii="Times New Roman" w:hAnsi="Times New Roman" w:eastAsia="宋体"/>
          <w:b w:val="0"/>
          <w:i w:val="0"/>
          <w:color w:val="1A1A1A"/>
          <w:sz w:val="21"/>
        </w:rPr>
        <w:t>机制层的实测证据来自两项开放获取研究，其条件与结果见表4。热重分析显示，游离d-龙脑在30～86 ℃区间挥发很少（微分热重曲线小于0.1%），87～165 ℃进入快速挥发相，最大速率出现在129～164.5 ℃之间，170.44 ℃时完全挥发</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。该测定为动态升温程序，单位时间的暴露很短，其温度依赖性可以外推，常温长期损失速率则不可由此直接推得。</w:t>
      </w:r>
    </w:p>
    <w:p>
      <w:pPr>
        <w:spacing w:after="120" w:line="360" w:lineRule="auto"/>
        <w:ind w:firstLine="420"/>
      </w:pPr>
      <w:r>
        <w:rPr>
          <w:rFonts w:ascii="Times New Roman" w:hAnsi="Times New Roman" w:eastAsia="宋体"/>
          <w:b w:val="0"/>
          <w:i w:val="0"/>
          <w:color w:val="1A1A1A"/>
          <w:sz w:val="21"/>
        </w:rPr>
        <w:t>长期贮存实测提供了另一类信息。未包封的游离d-龙脑在25 ℃贮存条件下约30天内几乎完全损失；在40 ℃加速条件下30天内完全损失；而经磷脂双层包封后，90天时在25 ℃保留约80%、在40 ℃保留60%以上</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。这一组数据表明，常温并不构成龙脑损失的屏障，真正决定保留率的是其所处的基质环境。</w:t>
      </w:r>
    </w:p>
    <w:p>
      <w:pPr>
        <w:spacing w:after="120" w:line="360" w:lineRule="auto"/>
        <w:ind w:firstLine="420"/>
      </w:pPr>
      <w:r>
        <w:rPr>
          <w:rFonts w:ascii="Times New Roman" w:hAnsi="Times New Roman" w:eastAsia="宋体"/>
          <w:b w:val="0"/>
          <w:i w:val="0"/>
          <w:color w:val="1A1A1A"/>
          <w:sz w:val="21"/>
        </w:rPr>
        <w:t>固体制剂层面的证据来自艾粉研究。含40%～60%（w/w）L-龙脑的艾粉粗粉在口腔应用中疗效不一致，既往药理学研究将其归因于龙脑的升华与水润湿性差</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。同一研究在制备L-龙脑固体分散体时观察到剂量—温度关系的转折：聚乙二醇6000熔融温度自60 ℃升至70 ℃时，累积释放量由21.35±1.42 mg升至32.08±1.52 mg；继续升至80、90与100 ℃时，累积释放量反而递减至30.57±1.38、29.14±1.55与27.68±1.62 mg，研究者判断该下降很可能归因于高温下L-龙脑的挥发损失；为减少挥发，制备过程需以聚乙烯膜密封</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综合而言，龙脑在常温下即可挥发或升华，其损失速率与温度、暴露表面积及基质相互作用强相关；该机制同样作用于含龙脑的固体剂型——滴丸中的冰片不会因为进入基质而停止挥发，只是速率可能被基质改变。</w:t>
      </w:r>
    </w:p>
    <w:p>
      <w:pPr>
        <w:spacing w:after="60" w:line="360" w:lineRule="auto"/>
        <w:jc w:val="center"/>
      </w:pPr>
      <w:r>
        <w:rPr>
          <w:rFonts w:ascii="Times New Roman" w:hAnsi="Times New Roman" w:eastAsia="宋体"/>
          <w:b/>
          <w:i w:val="0"/>
          <w:color w:val="1A1A1A"/>
          <w:sz w:val="19"/>
        </w:rPr>
        <w:t>表4</w:t>
      </w:r>
      <w:r>
        <w:rPr>
          <w:rFonts w:ascii="Times New Roman" w:hAnsi="Times New Roman" w:eastAsia="宋体"/>
          <w:b w:val="0"/>
          <w:i w:val="0"/>
          <w:color w:val="1A1A1A"/>
          <w:sz w:val="19"/>
        </w:rPr>
        <w:t xml:space="preserve"> 龙脑挥发行为的实测证据及其对本问题的直接性</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1813"/>
        <w:gridCol w:w="1813"/>
        <w:gridCol w:w="1813"/>
        <w:gridCol w:w="1813"/>
        <w:gridCol w:w="1813"/>
      </w:tblGrid>
      <w:tr>
        <w:tc>
          <w:tcPr>
            <w:tcW w:type="dxa" w:w="1813"/>
            <w:tcBorders>
              <w:bottom w:val="single" w:sz="6" w:color="1A1A1A"/>
            </w:tcBorders>
          </w:tcPr>
          <w:p>
            <w:pPr>
              <w:jc w:val="center"/>
            </w:pPr>
            <w:r>
              <w:rPr>
                <w:rFonts w:ascii="Times New Roman" w:hAnsi="Times New Roman" w:eastAsia="宋体"/>
                <w:b/>
                <w:i w:val="0"/>
                <w:color w:val="1A1A1A"/>
                <w:sz w:val="18"/>
              </w:rPr>
              <w:t>测定条件</w:t>
            </w:r>
          </w:p>
        </w:tc>
        <w:tc>
          <w:tcPr>
            <w:tcW w:type="dxa" w:w="1813"/>
            <w:tcBorders>
              <w:bottom w:val="single" w:sz="6" w:color="1A1A1A"/>
            </w:tcBorders>
          </w:tcPr>
          <w:p>
            <w:pPr>
              <w:jc w:val="center"/>
            </w:pPr>
            <w:r>
              <w:rPr>
                <w:rFonts w:ascii="Times New Roman" w:hAnsi="Times New Roman" w:eastAsia="宋体"/>
                <w:b/>
                <w:i w:val="0"/>
                <w:color w:val="1A1A1A"/>
                <w:sz w:val="18"/>
              </w:rPr>
              <w:t>观察终点</w:t>
            </w:r>
          </w:p>
        </w:tc>
        <w:tc>
          <w:tcPr>
            <w:tcW w:type="dxa" w:w="1813"/>
            <w:tcBorders>
              <w:bottom w:val="single" w:sz="6" w:color="1A1A1A"/>
            </w:tcBorders>
          </w:tcPr>
          <w:p>
            <w:pPr>
              <w:jc w:val="center"/>
            </w:pPr>
            <w:r>
              <w:rPr>
                <w:rFonts w:ascii="Times New Roman" w:hAnsi="Times New Roman" w:eastAsia="宋体"/>
                <w:b/>
                <w:i w:val="0"/>
                <w:color w:val="1A1A1A"/>
                <w:sz w:val="18"/>
              </w:rPr>
              <w:t>结果</w:t>
            </w:r>
          </w:p>
        </w:tc>
        <w:tc>
          <w:tcPr>
            <w:tcW w:type="dxa" w:w="1813"/>
            <w:tcBorders>
              <w:bottom w:val="single" w:sz="6" w:color="1A1A1A"/>
            </w:tcBorders>
          </w:tcPr>
          <w:p>
            <w:pPr>
              <w:jc w:val="center"/>
            </w:pPr>
            <w:r>
              <w:rPr>
                <w:rFonts w:ascii="Times New Roman" w:hAnsi="Times New Roman" w:eastAsia="宋体"/>
                <w:b/>
                <w:i w:val="0"/>
                <w:color w:val="1A1A1A"/>
                <w:sz w:val="18"/>
              </w:rPr>
              <w:t>对本问题的直接性</w:t>
            </w:r>
          </w:p>
        </w:tc>
        <w:tc>
          <w:tcPr>
            <w:tcW w:type="dxa" w:w="1813"/>
            <w:tcBorders>
              <w:bottom w:val="single" w:sz="6" w:color="1A1A1A"/>
            </w:tcBorders>
          </w:tcPr>
          <w:p>
            <w:pPr>
              <w:jc w:val="center"/>
            </w:pPr>
            <w:r>
              <w:rPr>
                <w:rFonts w:ascii="Times New Roman" w:hAnsi="Times New Roman" w:eastAsia="宋体"/>
                <w:b/>
                <w:i w:val="0"/>
                <w:color w:val="1A1A1A"/>
                <w:sz w:val="18"/>
              </w:rPr>
              <w:t>来源</w:t>
            </w:r>
          </w:p>
        </w:tc>
      </w:tr>
      <w:tr>
        <w:tc>
          <w:tcPr>
            <w:tcW w:type="dxa" w:w="1813"/>
          </w:tcPr>
          <w:p>
            <w:r>
              <w:rPr>
                <w:rFonts w:ascii="Times New Roman" w:hAnsi="Times New Roman" w:eastAsia="宋体"/>
                <w:b w:val="0"/>
                <w:i w:val="0"/>
                <w:color w:val="1A1A1A"/>
                <w:sz w:val="18"/>
              </w:rPr>
              <w:t>热重分析（氮气，10 mg±0.5 mg，敞口氧化铝坩埚，30→300 ℃，升温5 ℃/min）</w:t>
            </w:r>
          </w:p>
        </w:tc>
        <w:tc>
          <w:tcPr>
            <w:tcW w:type="dxa" w:w="1813"/>
          </w:tcPr>
          <w:p>
            <w:r>
              <w:rPr>
                <w:rFonts w:ascii="Times New Roman" w:hAnsi="Times New Roman" w:eastAsia="宋体"/>
                <w:b w:val="0"/>
                <w:i w:val="0"/>
                <w:color w:val="1A1A1A"/>
                <w:sz w:val="18"/>
              </w:rPr>
              <w:t>挥发温度区间</w:t>
            </w:r>
          </w:p>
        </w:tc>
        <w:tc>
          <w:tcPr>
            <w:tcW w:type="dxa" w:w="1813"/>
          </w:tcPr>
          <w:p>
            <w:r>
              <w:rPr>
                <w:rFonts w:ascii="Times New Roman" w:hAnsi="Times New Roman" w:eastAsia="宋体"/>
                <w:b w:val="0"/>
                <w:i w:val="0"/>
                <w:color w:val="1A1A1A"/>
                <w:sz w:val="18"/>
              </w:rPr>
              <w:t>30～86 ℃挥发很少（微分热重&lt;0.1%）；87～165 ℃快速挥发，最大速率区间129～164.5 ℃；170.44 ℃完全挥发</w:t>
            </w:r>
          </w:p>
        </w:tc>
        <w:tc>
          <w:tcPr>
            <w:tcW w:type="dxa" w:w="1813"/>
          </w:tcPr>
          <w:p>
            <w:r>
              <w:rPr>
                <w:rFonts w:ascii="Times New Roman" w:hAnsi="Times New Roman" w:eastAsia="宋体"/>
                <w:b w:val="0"/>
                <w:i w:val="0"/>
                <w:color w:val="1A1A1A"/>
                <w:sz w:val="18"/>
              </w:rPr>
              <w:t>确立温度依赖性；动态升温程序不可外推常温长期速率</w:t>
            </w:r>
          </w:p>
        </w:tc>
        <w:tc>
          <w:tcPr>
            <w:tcW w:type="dxa" w:w="1813"/>
          </w:tcPr>
          <w:p>
            <w:r>
              <w:rPr>
                <w:rFonts w:ascii="Times New Roman" w:hAnsi="Times New Roman" w:eastAsia="宋体"/>
                <w:b w:val="0"/>
                <w:i w:val="0"/>
                <w:color w:val="1A1A1A"/>
                <w:sz w:val="18"/>
                <w:vertAlign w:val="superscript"/>
              </w:rPr>
              <w:t>[1]</w:t>
            </w:r>
          </w:p>
        </w:tc>
      </w:tr>
      <w:tr>
        <w:tc>
          <w:tcPr>
            <w:tcW w:type="dxa" w:w="1813"/>
          </w:tcPr>
          <w:p>
            <w:r>
              <w:rPr>
                <w:rFonts w:ascii="Times New Roman" w:hAnsi="Times New Roman" w:eastAsia="宋体"/>
                <w:b w:val="0"/>
                <w:i w:val="0"/>
                <w:color w:val="1A1A1A"/>
                <w:sz w:val="18"/>
              </w:rPr>
              <w:t>25 ℃长期贮存</w:t>
            </w:r>
          </w:p>
        </w:tc>
        <w:tc>
          <w:tcPr>
            <w:tcW w:type="dxa" w:w="1813"/>
          </w:tcPr>
          <w:p>
            <w:r>
              <w:rPr>
                <w:rFonts w:ascii="Times New Roman" w:hAnsi="Times New Roman" w:eastAsia="宋体"/>
                <w:b w:val="0"/>
                <w:i w:val="0"/>
                <w:color w:val="1A1A1A"/>
                <w:sz w:val="18"/>
              </w:rPr>
              <w:t>游离d-龙脑残留</w:t>
            </w:r>
          </w:p>
        </w:tc>
        <w:tc>
          <w:tcPr>
            <w:tcW w:type="dxa" w:w="1813"/>
          </w:tcPr>
          <w:p>
            <w:r>
              <w:rPr>
                <w:rFonts w:ascii="Times New Roman" w:hAnsi="Times New Roman" w:eastAsia="宋体"/>
                <w:b w:val="0"/>
                <w:i w:val="0"/>
                <w:color w:val="1A1A1A"/>
                <w:sz w:val="18"/>
              </w:rPr>
              <w:t>约30天内几乎完全损失</w:t>
            </w:r>
          </w:p>
        </w:tc>
        <w:tc>
          <w:tcPr>
            <w:tcW w:type="dxa" w:w="1813"/>
          </w:tcPr>
          <w:p>
            <w:r>
              <w:rPr>
                <w:rFonts w:ascii="Times New Roman" w:hAnsi="Times New Roman" w:eastAsia="宋体"/>
                <w:b w:val="0"/>
                <w:i w:val="0"/>
                <w:color w:val="1A1A1A"/>
                <w:sz w:val="18"/>
              </w:rPr>
              <w:t>完全暴露、无基质保护条件下的损失上限锚点</w:t>
            </w:r>
          </w:p>
        </w:tc>
        <w:tc>
          <w:tcPr>
            <w:tcW w:type="dxa" w:w="1813"/>
          </w:tcPr>
          <w:p>
            <w:r>
              <w:rPr>
                <w:rFonts w:ascii="Times New Roman" w:hAnsi="Times New Roman" w:eastAsia="宋体"/>
                <w:b w:val="0"/>
                <w:i w:val="0"/>
                <w:color w:val="1A1A1A"/>
                <w:sz w:val="18"/>
                <w:vertAlign w:val="superscript"/>
              </w:rPr>
              <w:t>[1]</w:t>
            </w:r>
          </w:p>
        </w:tc>
      </w:tr>
      <w:tr>
        <w:tc>
          <w:tcPr>
            <w:tcW w:type="dxa" w:w="1813"/>
          </w:tcPr>
          <w:p>
            <w:r>
              <w:rPr>
                <w:rFonts w:ascii="Times New Roman" w:hAnsi="Times New Roman" w:eastAsia="宋体"/>
                <w:b w:val="0"/>
                <w:i w:val="0"/>
                <w:color w:val="1A1A1A"/>
                <w:sz w:val="18"/>
              </w:rPr>
              <w:t>40 ℃加速贮存</w:t>
            </w:r>
          </w:p>
        </w:tc>
        <w:tc>
          <w:tcPr>
            <w:tcW w:type="dxa" w:w="1813"/>
          </w:tcPr>
          <w:p>
            <w:r>
              <w:rPr>
                <w:rFonts w:ascii="Times New Roman" w:hAnsi="Times New Roman" w:eastAsia="宋体"/>
                <w:b w:val="0"/>
                <w:i w:val="0"/>
                <w:color w:val="1A1A1A"/>
                <w:sz w:val="18"/>
              </w:rPr>
              <w:t>游离d-龙脑残留</w:t>
            </w:r>
          </w:p>
        </w:tc>
        <w:tc>
          <w:tcPr>
            <w:tcW w:type="dxa" w:w="1813"/>
          </w:tcPr>
          <w:p>
            <w:r>
              <w:rPr>
                <w:rFonts w:ascii="Times New Roman" w:hAnsi="Times New Roman" w:eastAsia="宋体"/>
                <w:b w:val="0"/>
                <w:i w:val="0"/>
                <w:color w:val="1A1A1A"/>
                <w:sz w:val="18"/>
              </w:rPr>
              <w:t>30天内完全损失</w:t>
            </w:r>
          </w:p>
        </w:tc>
        <w:tc>
          <w:tcPr>
            <w:tcW w:type="dxa" w:w="1813"/>
          </w:tcPr>
          <w:p>
            <w:r>
              <w:rPr>
                <w:rFonts w:ascii="Times New Roman" w:hAnsi="Times New Roman" w:eastAsia="宋体"/>
                <w:b w:val="0"/>
                <w:i w:val="0"/>
                <w:color w:val="1A1A1A"/>
                <w:sz w:val="18"/>
              </w:rPr>
              <w:t>温度升高对损失的加速作用</w:t>
            </w:r>
          </w:p>
        </w:tc>
        <w:tc>
          <w:tcPr>
            <w:tcW w:type="dxa" w:w="1813"/>
          </w:tcPr>
          <w:p>
            <w:r>
              <w:rPr>
                <w:rFonts w:ascii="Times New Roman" w:hAnsi="Times New Roman" w:eastAsia="宋体"/>
                <w:b w:val="0"/>
                <w:i w:val="0"/>
                <w:color w:val="1A1A1A"/>
                <w:sz w:val="18"/>
                <w:vertAlign w:val="superscript"/>
              </w:rPr>
              <w:t>[1]</w:t>
            </w:r>
          </w:p>
        </w:tc>
      </w:tr>
      <w:tr>
        <w:tc>
          <w:tcPr>
            <w:tcW w:type="dxa" w:w="1813"/>
          </w:tcPr>
          <w:p>
            <w:r>
              <w:rPr>
                <w:rFonts w:ascii="Times New Roman" w:hAnsi="Times New Roman" w:eastAsia="宋体"/>
                <w:b w:val="0"/>
                <w:i w:val="0"/>
                <w:color w:val="1A1A1A"/>
                <w:sz w:val="18"/>
              </w:rPr>
              <w:t>25 ℃与40 ℃，贮存90天</w:t>
            </w:r>
          </w:p>
        </w:tc>
        <w:tc>
          <w:tcPr>
            <w:tcW w:type="dxa" w:w="1813"/>
          </w:tcPr>
          <w:p>
            <w:r>
              <w:rPr>
                <w:rFonts w:ascii="Times New Roman" w:hAnsi="Times New Roman" w:eastAsia="宋体"/>
                <w:b w:val="0"/>
                <w:i w:val="0"/>
                <w:color w:val="1A1A1A"/>
                <w:sz w:val="18"/>
              </w:rPr>
              <w:t>脂质体包封d-龙脑残留</w:t>
            </w:r>
          </w:p>
        </w:tc>
        <w:tc>
          <w:tcPr>
            <w:tcW w:type="dxa" w:w="1813"/>
          </w:tcPr>
          <w:p>
            <w:r>
              <w:rPr>
                <w:rFonts w:ascii="Times New Roman" w:hAnsi="Times New Roman" w:eastAsia="宋体"/>
                <w:b w:val="0"/>
                <w:i w:val="0"/>
                <w:color w:val="1A1A1A"/>
                <w:sz w:val="18"/>
              </w:rPr>
              <w:t>分别保留约80%与60%以上</w:t>
            </w:r>
          </w:p>
        </w:tc>
        <w:tc>
          <w:tcPr>
            <w:tcW w:type="dxa" w:w="1813"/>
          </w:tcPr>
          <w:p>
            <w:r>
              <w:rPr>
                <w:rFonts w:ascii="Times New Roman" w:hAnsi="Times New Roman" w:eastAsia="宋体"/>
                <w:b w:val="0"/>
                <w:i w:val="0"/>
                <w:color w:val="1A1A1A"/>
                <w:sz w:val="18"/>
              </w:rPr>
              <w:t>强相互作用基质可显著提高保留率</w:t>
            </w:r>
          </w:p>
        </w:tc>
        <w:tc>
          <w:tcPr>
            <w:tcW w:type="dxa" w:w="1813"/>
          </w:tcPr>
          <w:p>
            <w:r>
              <w:rPr>
                <w:rFonts w:ascii="Times New Roman" w:hAnsi="Times New Roman" w:eastAsia="宋体"/>
                <w:b w:val="0"/>
                <w:i w:val="0"/>
                <w:color w:val="1A1A1A"/>
                <w:sz w:val="18"/>
                <w:vertAlign w:val="superscript"/>
              </w:rPr>
              <w:t>[1]</w:t>
            </w:r>
          </w:p>
        </w:tc>
      </w:tr>
      <w:tr>
        <w:tc>
          <w:tcPr>
            <w:tcW w:type="dxa" w:w="1813"/>
          </w:tcPr>
          <w:p>
            <w:r>
              <w:rPr>
                <w:rFonts w:ascii="Times New Roman" w:hAnsi="Times New Roman" w:eastAsia="宋体"/>
                <w:b w:val="0"/>
                <w:i w:val="0"/>
                <w:color w:val="1A1A1A"/>
                <w:sz w:val="18"/>
              </w:rPr>
              <w:t>60 ℃×12 h，密封小瓶加速试验</w:t>
            </w:r>
          </w:p>
        </w:tc>
        <w:tc>
          <w:tcPr>
            <w:tcW w:type="dxa" w:w="1813"/>
          </w:tcPr>
          <w:p>
            <w:r>
              <w:rPr>
                <w:rFonts w:ascii="Times New Roman" w:hAnsi="Times New Roman" w:eastAsia="宋体"/>
                <w:b w:val="0"/>
                <w:i w:val="0"/>
                <w:color w:val="1A1A1A"/>
                <w:sz w:val="18"/>
              </w:rPr>
              <w:t>不同辅料复合物中龙脑保留率</w:t>
            </w:r>
          </w:p>
        </w:tc>
        <w:tc>
          <w:tcPr>
            <w:tcW w:type="dxa" w:w="1813"/>
          </w:tcPr>
          <w:p>
            <w:r>
              <w:rPr>
                <w:rFonts w:ascii="Times New Roman" w:hAnsi="Times New Roman" w:eastAsia="宋体"/>
                <w:b w:val="0"/>
                <w:i w:val="0"/>
                <w:color w:val="1A1A1A"/>
                <w:sz w:val="18"/>
              </w:rPr>
              <w:t>羟丙基-β-环糊精组&gt;50%；两组弱相互作用辅料&lt;20%，接近纯龙脑的快速挥发行为</w:t>
            </w:r>
          </w:p>
        </w:tc>
        <w:tc>
          <w:tcPr>
            <w:tcW w:type="dxa" w:w="1813"/>
          </w:tcPr>
          <w:p>
            <w:r>
              <w:rPr>
                <w:rFonts w:ascii="Times New Roman" w:hAnsi="Times New Roman" w:eastAsia="宋体"/>
                <w:b w:val="0"/>
                <w:i w:val="0"/>
                <w:color w:val="1A1A1A"/>
                <w:sz w:val="18"/>
              </w:rPr>
              <w:t>基质相互作用强度是保留率的主要决定因素；条件为密封而非开封</w:t>
            </w:r>
          </w:p>
        </w:tc>
        <w:tc>
          <w:tcPr>
            <w:tcW w:type="dxa" w:w="1813"/>
          </w:tcPr>
          <w:p>
            <w:r>
              <w:rPr>
                <w:rFonts w:ascii="Times New Roman" w:hAnsi="Times New Roman" w:eastAsia="宋体"/>
                <w:b w:val="0"/>
                <w:i w:val="0"/>
                <w:color w:val="1A1A1A"/>
                <w:sz w:val="18"/>
                <w:vertAlign w:val="superscript"/>
              </w:rPr>
              <w:t>[1]</w:t>
            </w:r>
          </w:p>
        </w:tc>
      </w:tr>
      <w:tr>
        <w:tc>
          <w:tcPr>
            <w:tcW w:type="dxa" w:w="1813"/>
          </w:tcPr>
          <w:p>
            <w:r>
              <w:rPr>
                <w:rFonts w:ascii="Times New Roman" w:hAnsi="Times New Roman" w:eastAsia="宋体"/>
                <w:b w:val="0"/>
                <w:i w:val="0"/>
                <w:color w:val="1A1A1A"/>
                <w:sz w:val="18"/>
              </w:rPr>
              <w:t>聚乙二醇6000熔融分散，60～100 ℃</w:t>
            </w:r>
          </w:p>
        </w:tc>
        <w:tc>
          <w:tcPr>
            <w:tcW w:type="dxa" w:w="1813"/>
          </w:tcPr>
          <w:p>
            <w:r>
              <w:rPr>
                <w:rFonts w:ascii="Times New Roman" w:hAnsi="Times New Roman" w:eastAsia="宋体"/>
                <w:b w:val="0"/>
                <w:i w:val="0"/>
                <w:color w:val="1A1A1A"/>
                <w:sz w:val="18"/>
              </w:rPr>
              <w:t>L-龙脑累积释放量</w:t>
            </w:r>
          </w:p>
        </w:tc>
        <w:tc>
          <w:tcPr>
            <w:tcW w:type="dxa" w:w="1813"/>
          </w:tcPr>
          <w:p>
            <w:r>
              <w:rPr>
                <w:rFonts w:ascii="Times New Roman" w:hAnsi="Times New Roman" w:eastAsia="宋体"/>
                <w:b w:val="0"/>
                <w:i w:val="0"/>
                <w:color w:val="1A1A1A"/>
                <w:sz w:val="18"/>
              </w:rPr>
              <w:t>60 ℃为21.35±1.42 mg，70 ℃升至32.08±1.52 mg，80、90、100 ℃依次降至30.57±1.38、29.14±1.55、27.68±1.62 mg</w:t>
            </w:r>
          </w:p>
        </w:tc>
        <w:tc>
          <w:tcPr>
            <w:tcW w:type="dxa" w:w="1813"/>
          </w:tcPr>
          <w:p>
            <w:r>
              <w:rPr>
                <w:rFonts w:ascii="Times New Roman" w:hAnsi="Times New Roman" w:eastAsia="宋体"/>
                <w:b w:val="0"/>
                <w:i w:val="0"/>
                <w:color w:val="1A1A1A"/>
                <w:sz w:val="18"/>
              </w:rPr>
              <w:t>即使分散于聚乙二醇基质，受热仍发生可观挥发损失</w:t>
            </w:r>
          </w:p>
        </w:tc>
        <w:tc>
          <w:tcPr>
            <w:tcW w:type="dxa" w:w="1813"/>
          </w:tcPr>
          <w:p>
            <w:r>
              <w:rPr>
                <w:rFonts w:ascii="Times New Roman" w:hAnsi="Times New Roman" w:eastAsia="宋体"/>
                <w:b w:val="0"/>
                <w:i w:val="0"/>
                <w:color w:val="1A1A1A"/>
                <w:sz w:val="18"/>
                <w:vertAlign w:val="superscript"/>
              </w:rPr>
              <w:t>[2]</w:t>
            </w:r>
          </w:p>
        </w:tc>
      </w:tr>
      <w:tr>
        <w:tc>
          <w:tcPr>
            <w:tcW w:type="dxa" w:w="1813"/>
          </w:tcPr>
          <w:p>
            <w:r>
              <w:rPr>
                <w:rFonts w:ascii="Times New Roman" w:hAnsi="Times New Roman" w:eastAsia="宋体"/>
                <w:b w:val="0"/>
                <w:i w:val="0"/>
                <w:color w:val="1A1A1A"/>
                <w:sz w:val="18"/>
              </w:rPr>
              <w:t>艾粉粗粉（含L-龙脑40%～60%，w/w）</w:t>
            </w:r>
          </w:p>
        </w:tc>
        <w:tc>
          <w:tcPr>
            <w:tcW w:type="dxa" w:w="1813"/>
          </w:tcPr>
          <w:p>
            <w:r>
              <w:rPr>
                <w:rFonts w:ascii="Times New Roman" w:hAnsi="Times New Roman" w:eastAsia="宋体"/>
                <w:b w:val="0"/>
                <w:i w:val="0"/>
                <w:color w:val="1A1A1A"/>
                <w:sz w:val="18"/>
              </w:rPr>
              <w:t>口腔应用疗效一致性</w:t>
            </w:r>
          </w:p>
        </w:tc>
        <w:tc>
          <w:tcPr>
            <w:tcW w:type="dxa" w:w="1813"/>
          </w:tcPr>
          <w:p>
            <w:r>
              <w:rPr>
                <w:rFonts w:ascii="Times New Roman" w:hAnsi="Times New Roman" w:eastAsia="宋体"/>
                <w:b w:val="0"/>
                <w:i w:val="0"/>
                <w:color w:val="1A1A1A"/>
                <w:sz w:val="18"/>
              </w:rPr>
              <w:t>疗效不一致，被既往药理学研究归因于龙脑升华与水润湿性差</w:t>
            </w:r>
          </w:p>
        </w:tc>
        <w:tc>
          <w:tcPr>
            <w:tcW w:type="dxa" w:w="1813"/>
          </w:tcPr>
          <w:p>
            <w:r>
              <w:rPr>
                <w:rFonts w:ascii="Times New Roman" w:hAnsi="Times New Roman" w:eastAsia="宋体"/>
                <w:b w:val="0"/>
                <w:i w:val="0"/>
                <w:color w:val="1A1A1A"/>
                <w:sz w:val="18"/>
              </w:rPr>
              <w:t>升华可造成含龙脑固体材料的药效不确定性</w:t>
            </w:r>
          </w:p>
        </w:tc>
        <w:tc>
          <w:tcPr>
            <w:tcW w:type="dxa" w:w="1813"/>
          </w:tcPr>
          <w:p>
            <w:r>
              <w:rPr>
                <w:rFonts w:ascii="Times New Roman" w:hAnsi="Times New Roman" w:eastAsia="宋体"/>
                <w:b w:val="0"/>
                <w:i w:val="0"/>
                <w:color w:val="1A1A1A"/>
                <w:sz w:val="18"/>
                <w:vertAlign w:val="superscript"/>
              </w:rPr>
              <w:t>[2]</w:t>
            </w:r>
          </w:p>
        </w:tc>
      </w:tr>
    </w:tbl>
    <w:p>
      <w:pPr>
        <w:spacing w:after="80"/>
      </w:pPr>
    </w:p>
    <w:p>
      <w:pPr>
        <w:spacing w:after="80" w:line="312" w:lineRule="auto" w:before="160"/>
      </w:pPr>
      <w:r>
        <w:rPr>
          <w:rFonts w:ascii="Times New Roman" w:hAnsi="Times New Roman" w:eastAsia="黑体"/>
          <w:b/>
          <w:i w:val="0"/>
          <w:color w:val="1A1A1A"/>
          <w:sz w:val="22"/>
        </w:rPr>
        <w:t>3.4 剂型基质对损失速率的约束与可测量的量值尺度</w:t>
      </w:r>
    </w:p>
    <w:p>
      <w:pPr>
        <w:spacing w:after="120" w:line="360" w:lineRule="auto"/>
        <w:ind w:firstLine="420"/>
      </w:pPr>
      <w:r>
        <w:rPr>
          <w:rFonts w:ascii="Times New Roman" w:hAnsi="Times New Roman" w:eastAsia="宋体"/>
          <w:b w:val="0"/>
          <w:i w:val="0"/>
          <w:color w:val="1A1A1A"/>
          <w:sz w:val="21"/>
        </w:rPr>
        <w:t>把游离d-龙脑的实测损失数据作为暴露上限锚点，可以为开封瓶内的损失速率划定边界。25 ℃条件下30天近乎全损</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，据此推算的一阶速率常数约为0.10 d⁻¹、半衰期约6.9天（本文推算，非实测值），这是完全暴露、无基质保护条件下的上限。密封小瓶60 ℃×12 h加速试验则显示，与龙脑强相互作用的辅料使保留率高于50%，弱相互作用辅料的保留率低于20%、接近纯龙脑行为，说明基质与辅料的相互作用是保留率的主要决定因素</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。速效救心丸为纯中药滴丸制剂</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滴丸剂型通常以聚乙二醇类为熔融基质，但本品的具体基质组成未见于本研究纳入的来源，因而其保留能力只能定位在"强相互作用包封"与"纯游离固体"两端之间，位置无法进一步确定。而艾粉固体分散体实验表明，即使分散于聚乙二醇基质，龙脑在受热或暴露时仍发生可观挥发，需以密封抑制</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由此可得本研究唯一能够给出的定量约束：开封瓶内滴丸的有效损失速率必然低于游离固体（受基质保留与瓶内有限顶空的双重限制），但不可能为零。该约束确定了区间的两端，却不能确定区间内的位置，因而不区分3个月与6个月。</w:t>
      </w:r>
    </w:p>
    <w:p>
      <w:pPr>
        <w:spacing w:after="120" w:line="360" w:lineRule="auto"/>
        <w:ind w:firstLine="420"/>
      </w:pPr>
      <w:r>
        <w:rPr>
          <w:rFonts w:ascii="Times New Roman" w:hAnsi="Times New Roman" w:eastAsia="宋体"/>
          <w:b w:val="0"/>
          <w:i w:val="0"/>
          <w:color w:val="1A1A1A"/>
          <w:sz w:val="21"/>
        </w:rPr>
        <w:t>本品的成分含量具备可测的量值尺度：既有研究测得每丸川芎嗪平均含量为0.04084 mg</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，冰片含量同为质量标准的定量项，且已有可同时测定龙脑与异龙脑的色谱—质谱联用方法</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。开封后的含量变化在技术上完全可测，缺的不是方法而是研究。</w:t>
      </w:r>
    </w:p>
    <w:p>
      <w:pPr>
        <w:spacing w:after="80" w:line="312" w:lineRule="auto" w:before="160"/>
      </w:pPr>
      <w:r>
        <w:rPr>
          <w:rFonts w:ascii="Times New Roman" w:hAnsi="Times New Roman" w:eastAsia="黑体"/>
          <w:b/>
          <w:i w:val="0"/>
          <w:color w:val="1A1A1A"/>
          <w:sz w:val="22"/>
        </w:rPr>
        <w:t>3.5 说明书与规范层面的核查</w:t>
      </w:r>
    </w:p>
    <w:p>
      <w:pPr>
        <w:spacing w:after="120" w:line="360" w:lineRule="auto"/>
        <w:ind w:firstLine="420"/>
      </w:pPr>
      <w:r>
        <w:rPr>
          <w:rFonts w:ascii="Times New Roman" w:hAnsi="Times New Roman" w:eastAsia="宋体"/>
          <w:b w:val="0"/>
          <w:i w:val="0"/>
          <w:color w:val="1A1A1A"/>
          <w:sz w:val="21"/>
        </w:rPr>
        <w:t>说明书层面的核查结果见表5。速效救心丸说明书记录的贮藏项为"密封，置阴凉干燥处（不超过20 ℃）"，未载明开封后使用期限</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。同为含挥发性组分中成药的麝香保心丸（"密封"）</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、同为含冰片滴丸的复方丹参滴丸（"密封（10～30 ℃）"）</w:t>
      </w:r>
      <w:r>
        <w:rPr>
          <w:rFonts w:ascii="Times New Roman" w:hAnsi="Times New Roman" w:eastAsia="宋体"/>
          <w:b w:val="0"/>
          <w:i w:val="0"/>
          <w:color w:val="1A1A1A"/>
          <w:sz w:val="21"/>
          <w:vertAlign w:val="superscript"/>
        </w:rPr>
        <w:t>[10]</w:t>
      </w:r>
      <w:r>
        <w:rPr>
          <w:rFonts w:ascii="Times New Roman" w:hAnsi="Times New Roman" w:eastAsia="宋体"/>
          <w:b w:val="0"/>
          <w:i w:val="0"/>
          <w:color w:val="1A1A1A"/>
          <w:sz w:val="21"/>
        </w:rPr>
        <w:t>，以及硝酸甘油片（"遮光，密封，在阴凉处保存"等）</w:t>
      </w:r>
      <w:r>
        <w:rPr>
          <w:rFonts w:ascii="Times New Roman" w:hAnsi="Times New Roman" w:eastAsia="宋体"/>
          <w:b w:val="0"/>
          <w:i w:val="0"/>
          <w:color w:val="1A1A1A"/>
          <w:sz w:val="21"/>
          <w:vertAlign w:val="superscript"/>
        </w:rPr>
        <w:t>[11]</w:t>
      </w:r>
      <w:r>
        <w:rPr>
          <w:rFonts w:ascii="Times New Roman" w:hAnsi="Times New Roman" w:eastAsia="宋体"/>
          <w:b w:val="0"/>
          <w:i w:val="0"/>
          <w:color w:val="1A1A1A"/>
          <w:sz w:val="21"/>
        </w:rPr>
        <w:t>，其贮藏项同样只规定保存条件，均未载明开封后使用期限。舌下硝酸甘油片的美国说明书记录在检索中被识别为境外规范锚点，但其条文未在本研究中逐字核验，故不承载任何内容性结论</w:t>
      </w:r>
      <w:r>
        <w:rPr>
          <w:rFonts w:ascii="Times New Roman" w:hAnsi="Times New Roman" w:eastAsia="宋体"/>
          <w:b w:val="0"/>
          <w:i w:val="0"/>
          <w:color w:val="1A1A1A"/>
          <w:sz w:val="21"/>
          <w:vertAlign w:val="superscript"/>
        </w:rPr>
        <w:t>[17]</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这一模式构成对该说法的反证检验。若本品开封后的冰片损失快至数周即可测出（如游离龙脑30天近全损所示</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），则说明书或包装理应载有开封后使用期限或开封提示，而可检索到的说明书记录并无此项；反之，若损失慢至数月无碍，则"3～6个月"又显得过于保守。两种情形下该说法都更接近经验惯例而非实测规格。</w:t>
      </w:r>
    </w:p>
    <w:p>
      <w:pPr>
        <w:spacing w:after="60" w:line="360" w:lineRule="auto"/>
        <w:jc w:val="center"/>
      </w:pPr>
      <w:r>
        <w:rPr>
          <w:rFonts w:ascii="Times New Roman" w:hAnsi="Times New Roman" w:eastAsia="宋体"/>
          <w:b/>
          <w:i w:val="0"/>
          <w:color w:val="1A1A1A"/>
          <w:sz w:val="19"/>
        </w:rPr>
        <w:t>表5</w:t>
      </w:r>
      <w:r>
        <w:rPr>
          <w:rFonts w:ascii="Times New Roman" w:hAnsi="Times New Roman" w:eastAsia="宋体"/>
          <w:b w:val="0"/>
          <w:i w:val="0"/>
          <w:color w:val="1A1A1A"/>
          <w:sz w:val="19"/>
        </w:rPr>
        <w:t xml:space="preserve"> 速效救心丸与同类制剂说明书贮藏项的对比</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266"/>
        <w:gridCol w:w="2266"/>
        <w:gridCol w:w="2266"/>
        <w:gridCol w:w="2266"/>
      </w:tblGrid>
      <w:tr>
        <w:tc>
          <w:tcPr>
            <w:tcW w:type="dxa" w:w="2266"/>
            <w:tcBorders>
              <w:bottom w:val="single" w:sz="6" w:color="1A1A1A"/>
            </w:tcBorders>
          </w:tcPr>
          <w:p>
            <w:pPr>
              <w:jc w:val="center"/>
            </w:pPr>
            <w:r>
              <w:rPr>
                <w:rFonts w:ascii="Times New Roman" w:hAnsi="Times New Roman" w:eastAsia="宋体"/>
                <w:b/>
                <w:i w:val="0"/>
                <w:color w:val="1A1A1A"/>
                <w:sz w:val="18"/>
              </w:rPr>
              <w:t>制剂</w:t>
            </w:r>
          </w:p>
        </w:tc>
        <w:tc>
          <w:tcPr>
            <w:tcW w:type="dxa" w:w="2266"/>
            <w:tcBorders>
              <w:bottom w:val="single" w:sz="6" w:color="1A1A1A"/>
            </w:tcBorders>
          </w:tcPr>
          <w:p>
            <w:pPr>
              <w:jc w:val="center"/>
            </w:pPr>
            <w:r>
              <w:rPr>
                <w:rFonts w:ascii="Times New Roman" w:hAnsi="Times New Roman" w:eastAsia="宋体"/>
                <w:b/>
                <w:i w:val="0"/>
                <w:color w:val="1A1A1A"/>
                <w:sz w:val="18"/>
              </w:rPr>
              <w:t>贮藏项表述</w:t>
            </w:r>
          </w:p>
        </w:tc>
        <w:tc>
          <w:tcPr>
            <w:tcW w:type="dxa" w:w="2266"/>
            <w:tcBorders>
              <w:bottom w:val="single" w:sz="6" w:color="1A1A1A"/>
            </w:tcBorders>
          </w:tcPr>
          <w:p>
            <w:pPr>
              <w:jc w:val="center"/>
            </w:pPr>
            <w:r>
              <w:rPr>
                <w:rFonts w:ascii="Times New Roman" w:hAnsi="Times New Roman" w:eastAsia="宋体"/>
                <w:b/>
                <w:i w:val="0"/>
                <w:color w:val="1A1A1A"/>
                <w:sz w:val="18"/>
              </w:rPr>
              <w:t>是否载明开封后使用期限</w:t>
            </w:r>
          </w:p>
        </w:tc>
        <w:tc>
          <w:tcPr>
            <w:tcW w:type="dxa" w:w="2266"/>
            <w:tcBorders>
              <w:bottom w:val="single" w:sz="6" w:color="1A1A1A"/>
            </w:tcBorders>
          </w:tcPr>
          <w:p>
            <w:pPr>
              <w:jc w:val="center"/>
            </w:pPr>
            <w:r>
              <w:rPr>
                <w:rFonts w:ascii="Times New Roman" w:hAnsi="Times New Roman" w:eastAsia="宋体"/>
                <w:b/>
                <w:i w:val="0"/>
                <w:color w:val="1A1A1A"/>
                <w:sz w:val="18"/>
              </w:rPr>
              <w:t>来源</w:t>
            </w:r>
          </w:p>
        </w:tc>
      </w:tr>
      <w:tr>
        <w:tc>
          <w:tcPr>
            <w:tcW w:type="dxa" w:w="2266"/>
          </w:tcPr>
          <w:p>
            <w:r>
              <w:rPr>
                <w:rFonts w:ascii="Times New Roman" w:hAnsi="Times New Roman" w:eastAsia="宋体"/>
                <w:b w:val="0"/>
                <w:i w:val="0"/>
                <w:color w:val="1A1A1A"/>
                <w:sz w:val="18"/>
              </w:rPr>
              <w:t>速效救心丸</w:t>
            </w:r>
          </w:p>
        </w:tc>
        <w:tc>
          <w:tcPr>
            <w:tcW w:type="dxa" w:w="2266"/>
          </w:tcPr>
          <w:p>
            <w:r>
              <w:rPr>
                <w:rFonts w:ascii="Times New Roman" w:hAnsi="Times New Roman" w:eastAsia="宋体"/>
                <w:b w:val="0"/>
                <w:i w:val="0"/>
                <w:color w:val="1A1A1A"/>
                <w:sz w:val="18"/>
              </w:rPr>
              <w:t>密封，置阴凉干燥处（不超过20 ℃）</w:t>
            </w:r>
          </w:p>
        </w:tc>
        <w:tc>
          <w:tcPr>
            <w:tcW w:type="dxa" w:w="2266"/>
          </w:tcPr>
          <w:p>
            <w:r>
              <w:rPr>
                <w:rFonts w:ascii="Times New Roman" w:hAnsi="Times New Roman" w:eastAsia="宋体"/>
                <w:b w:val="0"/>
                <w:i w:val="0"/>
                <w:color w:val="1A1A1A"/>
                <w:sz w:val="18"/>
              </w:rPr>
              <w:t>未载明</w:t>
            </w:r>
          </w:p>
        </w:tc>
        <w:tc>
          <w:tcPr>
            <w:tcW w:type="dxa" w:w="2266"/>
          </w:tcPr>
          <w:p>
            <w:r>
              <w:rPr>
                <w:rFonts w:ascii="Times New Roman" w:hAnsi="Times New Roman" w:eastAsia="宋体"/>
                <w:b w:val="0"/>
                <w:i w:val="0"/>
                <w:color w:val="1A1A1A"/>
                <w:sz w:val="18"/>
                <w:vertAlign w:val="superscript"/>
              </w:rPr>
              <w:t>[8]</w:t>
            </w:r>
          </w:p>
        </w:tc>
      </w:tr>
      <w:tr>
        <w:tc>
          <w:tcPr>
            <w:tcW w:type="dxa" w:w="2266"/>
          </w:tcPr>
          <w:p>
            <w:r>
              <w:rPr>
                <w:rFonts w:ascii="Times New Roman" w:hAnsi="Times New Roman" w:eastAsia="宋体"/>
                <w:b w:val="0"/>
                <w:i w:val="0"/>
                <w:color w:val="1A1A1A"/>
                <w:sz w:val="18"/>
              </w:rPr>
              <w:t>麝香保心丸</w:t>
            </w:r>
          </w:p>
        </w:tc>
        <w:tc>
          <w:tcPr>
            <w:tcW w:type="dxa" w:w="2266"/>
          </w:tcPr>
          <w:p>
            <w:r>
              <w:rPr>
                <w:rFonts w:ascii="Times New Roman" w:hAnsi="Times New Roman" w:eastAsia="宋体"/>
                <w:b w:val="0"/>
                <w:i w:val="0"/>
                <w:color w:val="1A1A1A"/>
                <w:sz w:val="18"/>
              </w:rPr>
              <w:t>密封</w:t>
            </w:r>
          </w:p>
        </w:tc>
        <w:tc>
          <w:tcPr>
            <w:tcW w:type="dxa" w:w="2266"/>
          </w:tcPr>
          <w:p>
            <w:r>
              <w:rPr>
                <w:rFonts w:ascii="Times New Roman" w:hAnsi="Times New Roman" w:eastAsia="宋体"/>
                <w:b w:val="0"/>
                <w:i w:val="0"/>
                <w:color w:val="1A1A1A"/>
                <w:sz w:val="18"/>
              </w:rPr>
              <w:t>未载明</w:t>
            </w:r>
          </w:p>
        </w:tc>
        <w:tc>
          <w:tcPr>
            <w:tcW w:type="dxa" w:w="2266"/>
          </w:tcPr>
          <w:p>
            <w:r>
              <w:rPr>
                <w:rFonts w:ascii="Times New Roman" w:hAnsi="Times New Roman" w:eastAsia="宋体"/>
                <w:b w:val="0"/>
                <w:i w:val="0"/>
                <w:color w:val="1A1A1A"/>
                <w:sz w:val="18"/>
                <w:vertAlign w:val="superscript"/>
              </w:rPr>
              <w:t>[9]</w:t>
            </w:r>
          </w:p>
        </w:tc>
      </w:tr>
      <w:tr>
        <w:tc>
          <w:tcPr>
            <w:tcW w:type="dxa" w:w="2266"/>
          </w:tcPr>
          <w:p>
            <w:r>
              <w:rPr>
                <w:rFonts w:ascii="Times New Roman" w:hAnsi="Times New Roman" w:eastAsia="宋体"/>
                <w:b w:val="0"/>
                <w:i w:val="0"/>
                <w:color w:val="1A1A1A"/>
                <w:sz w:val="18"/>
              </w:rPr>
              <w:t>复方丹参滴丸</w:t>
            </w:r>
          </w:p>
        </w:tc>
        <w:tc>
          <w:tcPr>
            <w:tcW w:type="dxa" w:w="2266"/>
          </w:tcPr>
          <w:p>
            <w:r>
              <w:rPr>
                <w:rFonts w:ascii="Times New Roman" w:hAnsi="Times New Roman" w:eastAsia="宋体"/>
                <w:b w:val="0"/>
                <w:i w:val="0"/>
                <w:color w:val="1A1A1A"/>
                <w:sz w:val="18"/>
              </w:rPr>
              <w:t>密封（10～30 ℃）</w:t>
            </w:r>
          </w:p>
        </w:tc>
        <w:tc>
          <w:tcPr>
            <w:tcW w:type="dxa" w:w="2266"/>
          </w:tcPr>
          <w:p>
            <w:r>
              <w:rPr>
                <w:rFonts w:ascii="Times New Roman" w:hAnsi="Times New Roman" w:eastAsia="宋体"/>
                <w:b w:val="0"/>
                <w:i w:val="0"/>
                <w:color w:val="1A1A1A"/>
                <w:sz w:val="18"/>
              </w:rPr>
              <w:t>未载明</w:t>
            </w:r>
          </w:p>
        </w:tc>
        <w:tc>
          <w:tcPr>
            <w:tcW w:type="dxa" w:w="2266"/>
          </w:tcPr>
          <w:p>
            <w:r>
              <w:rPr>
                <w:rFonts w:ascii="Times New Roman" w:hAnsi="Times New Roman" w:eastAsia="宋体"/>
                <w:b w:val="0"/>
                <w:i w:val="0"/>
                <w:color w:val="1A1A1A"/>
                <w:sz w:val="18"/>
                <w:vertAlign w:val="superscript"/>
              </w:rPr>
              <w:t>[10]</w:t>
            </w:r>
          </w:p>
        </w:tc>
      </w:tr>
      <w:tr>
        <w:tc>
          <w:tcPr>
            <w:tcW w:type="dxa" w:w="2266"/>
          </w:tcPr>
          <w:p>
            <w:r>
              <w:rPr>
                <w:rFonts w:ascii="Times New Roman" w:hAnsi="Times New Roman" w:eastAsia="宋体"/>
                <w:b w:val="0"/>
                <w:i w:val="0"/>
                <w:color w:val="1A1A1A"/>
                <w:sz w:val="18"/>
              </w:rPr>
              <w:t>硝酸甘油片（中国，多厂商）</w:t>
            </w:r>
          </w:p>
        </w:tc>
        <w:tc>
          <w:tcPr>
            <w:tcW w:type="dxa" w:w="2266"/>
          </w:tcPr>
          <w:p>
            <w:r>
              <w:rPr>
                <w:rFonts w:ascii="Times New Roman" w:hAnsi="Times New Roman" w:eastAsia="宋体"/>
                <w:b w:val="0"/>
                <w:i w:val="0"/>
                <w:color w:val="1A1A1A"/>
                <w:sz w:val="18"/>
              </w:rPr>
              <w:t>遮光，密封，在阴凉处保存等</w:t>
            </w:r>
          </w:p>
        </w:tc>
        <w:tc>
          <w:tcPr>
            <w:tcW w:type="dxa" w:w="2266"/>
          </w:tcPr>
          <w:p>
            <w:r>
              <w:rPr>
                <w:rFonts w:ascii="Times New Roman" w:hAnsi="Times New Roman" w:eastAsia="宋体"/>
                <w:b w:val="0"/>
                <w:i w:val="0"/>
                <w:color w:val="1A1A1A"/>
                <w:sz w:val="18"/>
              </w:rPr>
              <w:t>未载明</w:t>
            </w:r>
          </w:p>
        </w:tc>
        <w:tc>
          <w:tcPr>
            <w:tcW w:type="dxa" w:w="2266"/>
          </w:tcPr>
          <w:p>
            <w:r>
              <w:rPr>
                <w:rFonts w:ascii="Times New Roman" w:hAnsi="Times New Roman" w:eastAsia="宋体"/>
                <w:b w:val="0"/>
                <w:i w:val="0"/>
                <w:color w:val="1A1A1A"/>
                <w:sz w:val="18"/>
                <w:vertAlign w:val="superscript"/>
              </w:rPr>
              <w:t>[11]</w:t>
            </w:r>
          </w:p>
        </w:tc>
      </w:tr>
      <w:tr>
        <w:tc>
          <w:tcPr>
            <w:tcW w:type="dxa" w:w="2266"/>
          </w:tcPr>
          <w:p>
            <w:r>
              <w:rPr>
                <w:rFonts w:ascii="Times New Roman" w:hAnsi="Times New Roman" w:eastAsia="宋体"/>
                <w:b w:val="0"/>
                <w:i w:val="0"/>
                <w:color w:val="1A1A1A"/>
                <w:sz w:val="18"/>
              </w:rPr>
              <w:t>舌下硝酸甘油片（美国说明书记录）</w:t>
            </w:r>
          </w:p>
        </w:tc>
        <w:tc>
          <w:tcPr>
            <w:tcW w:type="dxa" w:w="2266"/>
          </w:tcPr>
          <w:p>
            <w:r>
              <w:rPr>
                <w:rFonts w:ascii="Times New Roman" w:hAnsi="Times New Roman" w:eastAsia="宋体"/>
                <w:b w:val="0"/>
                <w:i w:val="0"/>
                <w:color w:val="1A1A1A"/>
                <w:sz w:val="18"/>
              </w:rPr>
              <w:t>条文未在本研究中逐字核验</w:t>
            </w:r>
          </w:p>
        </w:tc>
        <w:tc>
          <w:tcPr>
            <w:tcW w:type="dxa" w:w="2266"/>
          </w:tcPr>
          <w:p>
            <w:r>
              <w:rPr>
                <w:rFonts w:ascii="Times New Roman" w:hAnsi="Times New Roman" w:eastAsia="宋体"/>
                <w:b w:val="0"/>
                <w:i w:val="0"/>
                <w:color w:val="1A1A1A"/>
                <w:sz w:val="18"/>
              </w:rPr>
              <w:t>未核验</w:t>
            </w:r>
          </w:p>
        </w:tc>
        <w:tc>
          <w:tcPr>
            <w:tcW w:type="dxa" w:w="2266"/>
          </w:tcPr>
          <w:p>
            <w:r>
              <w:rPr>
                <w:rFonts w:ascii="Times New Roman" w:hAnsi="Times New Roman" w:eastAsia="宋体"/>
                <w:b w:val="0"/>
                <w:i w:val="0"/>
                <w:color w:val="1A1A1A"/>
                <w:sz w:val="18"/>
                <w:vertAlign w:val="superscript"/>
              </w:rPr>
              <w:t>[17]</w:t>
            </w:r>
          </w:p>
        </w:tc>
      </w:tr>
    </w:tbl>
    <w:p>
      <w:pPr>
        <w:spacing w:after="80"/>
      </w:pPr>
    </w:p>
    <w:p>
      <w:pPr>
        <w:spacing w:after="80" w:line="312" w:lineRule="auto" w:before="160"/>
      </w:pPr>
      <w:r>
        <w:rPr>
          <w:rFonts w:ascii="Times New Roman" w:hAnsi="Times New Roman" w:eastAsia="黑体"/>
          <w:b/>
          <w:i w:val="0"/>
          <w:color w:val="1A1A1A"/>
          <w:sz w:val="22"/>
        </w:rPr>
        <w:t>3.6 类比证据与邻近证据</w:t>
      </w:r>
    </w:p>
    <w:p>
      <w:pPr>
        <w:spacing w:after="120" w:line="360" w:lineRule="auto"/>
        <w:ind w:firstLine="420"/>
      </w:pPr>
      <w:r>
        <w:rPr>
          <w:rFonts w:ascii="Times New Roman" w:hAnsi="Times New Roman" w:eastAsia="宋体"/>
          <w:b w:val="0"/>
          <w:i w:val="0"/>
          <w:color w:val="1A1A1A"/>
          <w:sz w:val="21"/>
        </w:rPr>
        <w:t>"开封后3～6个月"与舌下硝酸甘油片的经典用药建议在数值与语境上高度吻合。模拟真实使用条件的开放研究记载，当代实践倾向于每3～6个月定期更换舌下硝酸甘油片，同时指出该建议建立在未考虑改良片剂与改进工艺的旧数据之上；其实测显示，片剂效价损失受温度、瓶内顶空与携带习惯驱动，密闭原瓶与温和环境可显著减缓损失</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。更早的比较研究显示，硝酸甘油片在室温密闭容器中保存时效价损失极小，即使定期开瓶也不会造成显著损失</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两项证据共同表明：其一，"3～6个月"在硝酸甘油舌下片领域是有据可查的临床用药惯例，且该惯例的依据本身已受质疑；其二，对同类挥发性急救制剂而言，"定期开瓶"与"长期敞放"在损失动力学上属于不同情形，密闭或盖紧状态下的损失很小。据此，把该数值套用于速效救心丸，其合理的机制内核是"开封并频繁取用导致反复暴露"，而非"开封本身即刻致效价丧失"。</w:t>
      </w:r>
    </w:p>
    <w:p>
      <w:pPr>
        <w:spacing w:after="120" w:line="360" w:lineRule="auto"/>
        <w:ind w:firstLine="420"/>
      </w:pPr>
      <w:r>
        <w:rPr>
          <w:rFonts w:ascii="Times New Roman" w:hAnsi="Times New Roman" w:eastAsia="宋体"/>
          <w:b w:val="0"/>
          <w:i w:val="0"/>
          <w:color w:val="1A1A1A"/>
          <w:sz w:val="21"/>
        </w:rPr>
        <w:t>邻近证据来自含挥发油中药的贮存研究。一项对12种中药饮片的稳定性研究以高效液相色谱法测定含量，结论为饮片可贮存至6个月，但建议含挥发油类与动物类饮片贮存不超过1个月</w:t>
      </w:r>
      <w:r>
        <w:rPr>
          <w:rFonts w:ascii="Times New Roman" w:hAnsi="Times New Roman" w:eastAsia="宋体"/>
          <w:b w:val="0"/>
          <w:i w:val="0"/>
          <w:color w:val="1A1A1A"/>
          <w:sz w:val="21"/>
          <w:vertAlign w:val="superscript"/>
        </w:rPr>
        <w:t>[15]</w:t>
      </w:r>
      <w:r>
        <w:rPr>
          <w:rFonts w:ascii="Times New Roman" w:hAnsi="Times New Roman" w:eastAsia="宋体"/>
          <w:b w:val="0"/>
          <w:i w:val="0"/>
          <w:color w:val="1A1A1A"/>
          <w:sz w:val="21"/>
        </w:rPr>
        <w:t>。该研究针对饮片而非滴丸制剂，其阈值比"3～6个月"更短，说明"挥发性组分的贮存期限从紧"是中药质量管理的通行取向；但不同剂型与基质之间的阈值不能直接平移，该证据只能支持方向，不能支持数值。</w:t>
      </w:r>
    </w:p>
    <w:p>
      <w:pPr>
        <w:spacing w:after="80" w:line="312" w:lineRule="auto" w:before="160"/>
      </w:pPr>
      <w:r>
        <w:rPr>
          <w:rFonts w:ascii="Times New Roman" w:hAnsi="Times New Roman" w:eastAsia="黑体"/>
          <w:b/>
          <w:i w:val="0"/>
          <w:color w:val="1A1A1A"/>
          <w:sz w:val="22"/>
        </w:rPr>
        <w:t>3.7 开封后残留比例的一阶动力学区间估计</w:t>
      </w:r>
    </w:p>
    <w:p>
      <w:pPr>
        <w:spacing w:after="120" w:line="360" w:lineRule="auto"/>
        <w:ind w:firstLine="420"/>
      </w:pPr>
      <w:r>
        <w:rPr>
          <w:rFonts w:ascii="Times New Roman" w:hAnsi="Times New Roman" w:eastAsia="宋体"/>
          <w:b w:val="0"/>
          <w:i w:val="0"/>
          <w:color w:val="1A1A1A"/>
          <w:sz w:val="21"/>
        </w:rPr>
        <w:t>按2.4节的方法，以k=0.10 d⁻¹为上限速率、以暴露分数f刻画滴丸在开封瓶内的实际暴露程度，计算结果见表6。在t=90 d（3个月）时，残留比例随f自0.005增至0.5而由约0.96降至约0.011；在t=180 d（6个月）时，f=0.005对应约0.91，f=0.02对应约0.70，f=0.2对应约0.027。综合各情景，开封后3～6个月的残留比例约在0%～96%之间，跨越数量级。</w:t>
      </w:r>
    </w:p>
    <w:p>
      <w:pPr>
        <w:spacing w:after="120" w:line="360" w:lineRule="auto"/>
        <w:ind w:firstLine="420"/>
      </w:pPr>
      <w:r>
        <w:rPr>
          <w:rFonts w:ascii="Times New Roman" w:hAnsi="Times New Roman" w:eastAsia="宋体"/>
          <w:b w:val="0"/>
          <w:i w:val="0"/>
          <w:color w:val="1A1A1A"/>
          <w:sz w:val="21"/>
        </w:rPr>
        <w:t>敏感性分析显示该估计对参数取值极为敏感。若瓶盖密封良好且贮存温度不超过20 ℃，f与k均取低端，6个月残留可接近96%，此时"3～6个月"显得过于保守；若贮存温度高于40 ℃或频繁开盖、瓶口朝下取药，速率常数按40 ℃全损数据大幅上升，数周内即可接近全损，此时该阈值又过于宽松。若基质保留使有效速率常数降至0.01 d⁻¹，则f=0.02时6个月残留约0.96，几乎不发生损失。模型对f的敏感度达数量级水平，故区间结论只能支持"含量下降的方向确定"，不能支持任何具体阈值。</w:t>
      </w:r>
    </w:p>
    <w:p>
      <w:pPr>
        <w:spacing w:after="60" w:line="360" w:lineRule="auto"/>
        <w:jc w:val="center"/>
      </w:pPr>
      <w:r>
        <w:rPr>
          <w:rFonts w:ascii="Times New Roman" w:hAnsi="Times New Roman" w:eastAsia="宋体"/>
          <w:b/>
          <w:i w:val="0"/>
          <w:color w:val="1A1A1A"/>
          <w:sz w:val="19"/>
        </w:rPr>
        <w:t>表6</w:t>
      </w:r>
      <w:r>
        <w:rPr>
          <w:rFonts w:ascii="Times New Roman" w:hAnsi="Times New Roman" w:eastAsia="宋体"/>
          <w:b w:val="0"/>
          <w:i w:val="0"/>
          <w:color w:val="1A1A1A"/>
          <w:sz w:val="19"/>
        </w:rPr>
        <w:t xml:space="preserve"> 开封瓶内冰片残留比例的一阶动力学区间估计与敏感性分析（作者推算，非实测）</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1511"/>
        <w:gridCol w:w="1511"/>
        <w:gridCol w:w="1511"/>
        <w:gridCol w:w="1511"/>
        <w:gridCol w:w="1511"/>
        <w:gridCol w:w="1511"/>
      </w:tblGrid>
      <w:tr>
        <w:tc>
          <w:tcPr>
            <w:tcW w:type="dxa" w:w="1511"/>
            <w:tcBorders>
              <w:bottom w:val="single" w:sz="6" w:color="1A1A1A"/>
            </w:tcBorders>
          </w:tcPr>
          <w:p>
            <w:pPr>
              <w:jc w:val="center"/>
            </w:pPr>
            <w:r>
              <w:rPr>
                <w:rFonts w:ascii="Times New Roman" w:hAnsi="Times New Roman" w:eastAsia="宋体"/>
                <w:b/>
                <w:i w:val="0"/>
                <w:color w:val="1A1A1A"/>
                <w:sz w:val="18"/>
              </w:rPr>
              <w:t>情景</w:t>
            </w:r>
          </w:p>
        </w:tc>
        <w:tc>
          <w:tcPr>
            <w:tcW w:type="dxa" w:w="1511"/>
            <w:tcBorders>
              <w:bottom w:val="single" w:sz="6" w:color="1A1A1A"/>
            </w:tcBorders>
          </w:tcPr>
          <w:p>
            <w:pPr>
              <w:jc w:val="center"/>
            </w:pPr>
            <w:r>
              <w:rPr>
                <w:rFonts w:ascii="Times New Roman" w:hAnsi="Times New Roman" w:eastAsia="宋体"/>
                <w:b/>
                <w:i w:val="0"/>
                <w:color w:val="1A1A1A"/>
                <w:sz w:val="18"/>
              </w:rPr>
              <w:t>速率常数k（d⁻¹）</w:t>
            </w:r>
          </w:p>
        </w:tc>
        <w:tc>
          <w:tcPr>
            <w:tcW w:type="dxa" w:w="1511"/>
            <w:tcBorders>
              <w:bottom w:val="single" w:sz="6" w:color="1A1A1A"/>
            </w:tcBorders>
          </w:tcPr>
          <w:p>
            <w:pPr>
              <w:jc w:val="center"/>
            </w:pPr>
            <w:r>
              <w:rPr>
                <w:rFonts w:ascii="Times New Roman" w:hAnsi="Times New Roman" w:eastAsia="宋体"/>
                <w:b/>
                <w:i w:val="0"/>
                <w:color w:val="1A1A1A"/>
                <w:sz w:val="18"/>
              </w:rPr>
              <w:t>暴露分数f</w:t>
            </w:r>
          </w:p>
        </w:tc>
        <w:tc>
          <w:tcPr>
            <w:tcW w:type="dxa" w:w="1511"/>
            <w:tcBorders>
              <w:bottom w:val="single" w:sz="6" w:color="1A1A1A"/>
            </w:tcBorders>
          </w:tcPr>
          <w:p>
            <w:pPr>
              <w:jc w:val="center"/>
            </w:pPr>
            <w:r>
              <w:rPr>
                <w:rFonts w:ascii="Times New Roman" w:hAnsi="Times New Roman" w:eastAsia="宋体"/>
                <w:b/>
                <w:i w:val="0"/>
                <w:color w:val="1A1A1A"/>
                <w:sz w:val="18"/>
              </w:rPr>
              <w:t>时间t（d）</w:t>
            </w:r>
          </w:p>
        </w:tc>
        <w:tc>
          <w:tcPr>
            <w:tcW w:type="dxa" w:w="1511"/>
            <w:tcBorders>
              <w:bottom w:val="single" w:sz="6" w:color="1A1A1A"/>
            </w:tcBorders>
          </w:tcPr>
          <w:p>
            <w:pPr>
              <w:jc w:val="center"/>
            </w:pPr>
            <w:r>
              <w:rPr>
                <w:rFonts w:ascii="Times New Roman" w:hAnsi="Times New Roman" w:eastAsia="宋体"/>
                <w:b/>
                <w:i w:val="0"/>
                <w:color w:val="1A1A1A"/>
                <w:sz w:val="18"/>
              </w:rPr>
              <w:t>指数项k·f·t</w:t>
            </w:r>
          </w:p>
        </w:tc>
        <w:tc>
          <w:tcPr>
            <w:tcW w:type="dxa" w:w="1511"/>
            <w:tcBorders>
              <w:bottom w:val="single" w:sz="6" w:color="1A1A1A"/>
            </w:tcBorders>
          </w:tcPr>
          <w:p>
            <w:pPr>
              <w:jc w:val="center"/>
            </w:pPr>
            <w:r>
              <w:rPr>
                <w:rFonts w:ascii="Times New Roman" w:hAnsi="Times New Roman" w:eastAsia="宋体"/>
                <w:b/>
                <w:i w:val="0"/>
                <w:color w:val="1A1A1A"/>
                <w:sz w:val="18"/>
              </w:rPr>
              <w:t>残留比例R</w:t>
            </w:r>
          </w:p>
        </w:tc>
      </w:tr>
      <w:tr>
        <w:tc>
          <w:tcPr>
            <w:tcW w:type="dxa" w:w="1511"/>
          </w:tcPr>
          <w:p>
            <w:r>
              <w:rPr>
                <w:rFonts w:ascii="Times New Roman" w:hAnsi="Times New Roman" w:eastAsia="宋体"/>
                <w:b w:val="0"/>
                <w:i w:val="0"/>
                <w:color w:val="1A1A1A"/>
                <w:sz w:val="18"/>
              </w:rPr>
              <w:t>基准，低暴露</w:t>
            </w:r>
          </w:p>
        </w:tc>
        <w:tc>
          <w:tcPr>
            <w:tcW w:type="dxa" w:w="1511"/>
          </w:tcPr>
          <w:p>
            <w:r>
              <w:rPr>
                <w:rFonts w:ascii="Times New Roman" w:hAnsi="Times New Roman" w:eastAsia="宋体"/>
                <w:b w:val="0"/>
                <w:i w:val="0"/>
                <w:color w:val="1A1A1A"/>
                <w:sz w:val="18"/>
              </w:rPr>
              <w:t>0.10</w:t>
            </w:r>
          </w:p>
        </w:tc>
        <w:tc>
          <w:tcPr>
            <w:tcW w:type="dxa" w:w="1511"/>
          </w:tcPr>
          <w:p>
            <w:r>
              <w:rPr>
                <w:rFonts w:ascii="Times New Roman" w:hAnsi="Times New Roman" w:eastAsia="宋体"/>
                <w:b w:val="0"/>
                <w:i w:val="0"/>
                <w:color w:val="1A1A1A"/>
                <w:sz w:val="18"/>
              </w:rPr>
              <w:t>0.005</w:t>
            </w:r>
          </w:p>
        </w:tc>
        <w:tc>
          <w:tcPr>
            <w:tcW w:type="dxa" w:w="1511"/>
          </w:tcPr>
          <w:p>
            <w:r>
              <w:rPr>
                <w:rFonts w:ascii="Times New Roman" w:hAnsi="Times New Roman" w:eastAsia="宋体"/>
                <w:b w:val="0"/>
                <w:i w:val="0"/>
                <w:color w:val="1A1A1A"/>
                <w:sz w:val="18"/>
              </w:rPr>
              <w:t>90</w:t>
            </w:r>
          </w:p>
        </w:tc>
        <w:tc>
          <w:tcPr>
            <w:tcW w:type="dxa" w:w="1511"/>
          </w:tcPr>
          <w:p>
            <w:r>
              <w:rPr>
                <w:rFonts w:ascii="Times New Roman" w:hAnsi="Times New Roman" w:eastAsia="宋体"/>
                <w:b w:val="0"/>
                <w:i w:val="0"/>
                <w:color w:val="1A1A1A"/>
                <w:sz w:val="18"/>
              </w:rPr>
              <w:t>0.045</w:t>
            </w:r>
          </w:p>
        </w:tc>
        <w:tc>
          <w:tcPr>
            <w:tcW w:type="dxa" w:w="1511"/>
          </w:tcPr>
          <w:p>
            <w:r>
              <w:rPr>
                <w:rFonts w:ascii="Times New Roman" w:hAnsi="Times New Roman" w:eastAsia="宋体"/>
                <w:b w:val="0"/>
                <w:i w:val="0"/>
                <w:color w:val="1A1A1A"/>
                <w:sz w:val="18"/>
              </w:rPr>
              <w:t>≈0.96</w:t>
            </w:r>
          </w:p>
        </w:tc>
      </w:tr>
      <w:tr>
        <w:tc>
          <w:tcPr>
            <w:tcW w:type="dxa" w:w="1511"/>
          </w:tcPr>
          <w:p>
            <w:r>
              <w:rPr>
                <w:rFonts w:ascii="Times New Roman" w:hAnsi="Times New Roman" w:eastAsia="宋体"/>
                <w:b w:val="0"/>
                <w:i w:val="0"/>
                <w:color w:val="1A1A1A"/>
                <w:sz w:val="18"/>
              </w:rPr>
              <w:t>基准</w:t>
            </w:r>
          </w:p>
        </w:tc>
        <w:tc>
          <w:tcPr>
            <w:tcW w:type="dxa" w:w="1511"/>
          </w:tcPr>
          <w:p>
            <w:r>
              <w:rPr>
                <w:rFonts w:ascii="Times New Roman" w:hAnsi="Times New Roman" w:eastAsia="宋体"/>
                <w:b w:val="0"/>
                <w:i w:val="0"/>
                <w:color w:val="1A1A1A"/>
                <w:sz w:val="18"/>
              </w:rPr>
              <w:t>0.10</w:t>
            </w:r>
          </w:p>
        </w:tc>
        <w:tc>
          <w:tcPr>
            <w:tcW w:type="dxa" w:w="1511"/>
          </w:tcPr>
          <w:p>
            <w:r>
              <w:rPr>
                <w:rFonts w:ascii="Times New Roman" w:hAnsi="Times New Roman" w:eastAsia="宋体"/>
                <w:b w:val="0"/>
                <w:i w:val="0"/>
                <w:color w:val="1A1A1A"/>
                <w:sz w:val="18"/>
              </w:rPr>
              <w:t>0.02</w:t>
            </w:r>
          </w:p>
        </w:tc>
        <w:tc>
          <w:tcPr>
            <w:tcW w:type="dxa" w:w="1511"/>
          </w:tcPr>
          <w:p>
            <w:r>
              <w:rPr>
                <w:rFonts w:ascii="Times New Roman" w:hAnsi="Times New Roman" w:eastAsia="宋体"/>
                <w:b w:val="0"/>
                <w:i w:val="0"/>
                <w:color w:val="1A1A1A"/>
                <w:sz w:val="18"/>
              </w:rPr>
              <w:t>90</w:t>
            </w:r>
          </w:p>
        </w:tc>
        <w:tc>
          <w:tcPr>
            <w:tcW w:type="dxa" w:w="1511"/>
          </w:tcPr>
          <w:p>
            <w:r>
              <w:rPr>
                <w:rFonts w:ascii="Times New Roman" w:hAnsi="Times New Roman" w:eastAsia="宋体"/>
                <w:b w:val="0"/>
                <w:i w:val="0"/>
                <w:color w:val="1A1A1A"/>
                <w:sz w:val="18"/>
              </w:rPr>
              <w:t>0.18</w:t>
            </w:r>
          </w:p>
        </w:tc>
        <w:tc>
          <w:tcPr>
            <w:tcW w:type="dxa" w:w="1511"/>
          </w:tcPr>
          <w:p>
            <w:r>
              <w:rPr>
                <w:rFonts w:ascii="Times New Roman" w:hAnsi="Times New Roman" w:eastAsia="宋体"/>
                <w:b w:val="0"/>
                <w:i w:val="0"/>
                <w:color w:val="1A1A1A"/>
                <w:sz w:val="18"/>
              </w:rPr>
              <w:t>≈0.84</w:t>
            </w:r>
          </w:p>
        </w:tc>
      </w:tr>
      <w:tr>
        <w:tc>
          <w:tcPr>
            <w:tcW w:type="dxa" w:w="1511"/>
          </w:tcPr>
          <w:p>
            <w:r>
              <w:rPr>
                <w:rFonts w:ascii="Times New Roman" w:hAnsi="Times New Roman" w:eastAsia="宋体"/>
                <w:b w:val="0"/>
                <w:i w:val="0"/>
                <w:color w:val="1A1A1A"/>
                <w:sz w:val="18"/>
              </w:rPr>
              <w:t>基准</w:t>
            </w:r>
          </w:p>
        </w:tc>
        <w:tc>
          <w:tcPr>
            <w:tcW w:type="dxa" w:w="1511"/>
          </w:tcPr>
          <w:p>
            <w:r>
              <w:rPr>
                <w:rFonts w:ascii="Times New Roman" w:hAnsi="Times New Roman" w:eastAsia="宋体"/>
                <w:b w:val="0"/>
                <w:i w:val="0"/>
                <w:color w:val="1A1A1A"/>
                <w:sz w:val="18"/>
              </w:rPr>
              <w:t>0.10</w:t>
            </w:r>
          </w:p>
        </w:tc>
        <w:tc>
          <w:tcPr>
            <w:tcW w:type="dxa" w:w="1511"/>
          </w:tcPr>
          <w:p>
            <w:r>
              <w:rPr>
                <w:rFonts w:ascii="Times New Roman" w:hAnsi="Times New Roman" w:eastAsia="宋体"/>
                <w:b w:val="0"/>
                <w:i w:val="0"/>
                <w:color w:val="1A1A1A"/>
                <w:sz w:val="18"/>
              </w:rPr>
              <w:t>0.05</w:t>
            </w:r>
          </w:p>
        </w:tc>
        <w:tc>
          <w:tcPr>
            <w:tcW w:type="dxa" w:w="1511"/>
          </w:tcPr>
          <w:p>
            <w:r>
              <w:rPr>
                <w:rFonts w:ascii="Times New Roman" w:hAnsi="Times New Roman" w:eastAsia="宋体"/>
                <w:b w:val="0"/>
                <w:i w:val="0"/>
                <w:color w:val="1A1A1A"/>
                <w:sz w:val="18"/>
              </w:rPr>
              <w:t>90</w:t>
            </w:r>
          </w:p>
        </w:tc>
        <w:tc>
          <w:tcPr>
            <w:tcW w:type="dxa" w:w="1511"/>
          </w:tcPr>
          <w:p>
            <w:r>
              <w:rPr>
                <w:rFonts w:ascii="Times New Roman" w:hAnsi="Times New Roman" w:eastAsia="宋体"/>
                <w:b w:val="0"/>
                <w:i w:val="0"/>
                <w:color w:val="1A1A1A"/>
                <w:sz w:val="18"/>
              </w:rPr>
              <w:t>0.45</w:t>
            </w:r>
          </w:p>
        </w:tc>
        <w:tc>
          <w:tcPr>
            <w:tcW w:type="dxa" w:w="1511"/>
          </w:tcPr>
          <w:p>
            <w:r>
              <w:rPr>
                <w:rFonts w:ascii="Times New Roman" w:hAnsi="Times New Roman" w:eastAsia="宋体"/>
                <w:b w:val="0"/>
                <w:i w:val="0"/>
                <w:color w:val="1A1A1A"/>
                <w:sz w:val="18"/>
              </w:rPr>
              <w:t>≈0.64</w:t>
            </w:r>
          </w:p>
        </w:tc>
      </w:tr>
      <w:tr>
        <w:tc>
          <w:tcPr>
            <w:tcW w:type="dxa" w:w="1511"/>
          </w:tcPr>
          <w:p>
            <w:r>
              <w:rPr>
                <w:rFonts w:ascii="Times New Roman" w:hAnsi="Times New Roman" w:eastAsia="宋体"/>
                <w:b w:val="0"/>
                <w:i w:val="0"/>
                <w:color w:val="1A1A1A"/>
                <w:sz w:val="18"/>
              </w:rPr>
              <w:t>基准</w:t>
            </w:r>
          </w:p>
        </w:tc>
        <w:tc>
          <w:tcPr>
            <w:tcW w:type="dxa" w:w="1511"/>
          </w:tcPr>
          <w:p>
            <w:r>
              <w:rPr>
                <w:rFonts w:ascii="Times New Roman" w:hAnsi="Times New Roman" w:eastAsia="宋体"/>
                <w:b w:val="0"/>
                <w:i w:val="0"/>
                <w:color w:val="1A1A1A"/>
                <w:sz w:val="18"/>
              </w:rPr>
              <w:t>0.10</w:t>
            </w:r>
          </w:p>
        </w:tc>
        <w:tc>
          <w:tcPr>
            <w:tcW w:type="dxa" w:w="1511"/>
          </w:tcPr>
          <w:p>
            <w:r>
              <w:rPr>
                <w:rFonts w:ascii="Times New Roman" w:hAnsi="Times New Roman" w:eastAsia="宋体"/>
                <w:b w:val="0"/>
                <w:i w:val="0"/>
                <w:color w:val="1A1A1A"/>
                <w:sz w:val="18"/>
              </w:rPr>
              <w:t>0.1</w:t>
            </w:r>
          </w:p>
        </w:tc>
        <w:tc>
          <w:tcPr>
            <w:tcW w:type="dxa" w:w="1511"/>
          </w:tcPr>
          <w:p>
            <w:r>
              <w:rPr>
                <w:rFonts w:ascii="Times New Roman" w:hAnsi="Times New Roman" w:eastAsia="宋体"/>
                <w:b w:val="0"/>
                <w:i w:val="0"/>
                <w:color w:val="1A1A1A"/>
                <w:sz w:val="18"/>
              </w:rPr>
              <w:t>90</w:t>
            </w:r>
          </w:p>
        </w:tc>
        <w:tc>
          <w:tcPr>
            <w:tcW w:type="dxa" w:w="1511"/>
          </w:tcPr>
          <w:p>
            <w:r>
              <w:rPr>
                <w:rFonts w:ascii="Times New Roman" w:hAnsi="Times New Roman" w:eastAsia="宋体"/>
                <w:b w:val="0"/>
                <w:i w:val="0"/>
                <w:color w:val="1A1A1A"/>
                <w:sz w:val="18"/>
              </w:rPr>
              <w:t>0.9</w:t>
            </w:r>
          </w:p>
        </w:tc>
        <w:tc>
          <w:tcPr>
            <w:tcW w:type="dxa" w:w="1511"/>
          </w:tcPr>
          <w:p>
            <w:r>
              <w:rPr>
                <w:rFonts w:ascii="Times New Roman" w:hAnsi="Times New Roman" w:eastAsia="宋体"/>
                <w:b w:val="0"/>
                <w:i w:val="0"/>
                <w:color w:val="1A1A1A"/>
                <w:sz w:val="18"/>
              </w:rPr>
              <w:t>≈0.41</w:t>
            </w:r>
          </w:p>
        </w:tc>
      </w:tr>
      <w:tr>
        <w:tc>
          <w:tcPr>
            <w:tcW w:type="dxa" w:w="1511"/>
          </w:tcPr>
          <w:p>
            <w:r>
              <w:rPr>
                <w:rFonts w:ascii="Times New Roman" w:hAnsi="Times New Roman" w:eastAsia="宋体"/>
                <w:b w:val="0"/>
                <w:i w:val="0"/>
                <w:color w:val="1A1A1A"/>
                <w:sz w:val="18"/>
              </w:rPr>
              <w:t>基准，高暴露</w:t>
            </w:r>
          </w:p>
        </w:tc>
        <w:tc>
          <w:tcPr>
            <w:tcW w:type="dxa" w:w="1511"/>
          </w:tcPr>
          <w:p>
            <w:r>
              <w:rPr>
                <w:rFonts w:ascii="Times New Roman" w:hAnsi="Times New Roman" w:eastAsia="宋体"/>
                <w:b w:val="0"/>
                <w:i w:val="0"/>
                <w:color w:val="1A1A1A"/>
                <w:sz w:val="18"/>
              </w:rPr>
              <w:t>0.10</w:t>
            </w:r>
          </w:p>
        </w:tc>
        <w:tc>
          <w:tcPr>
            <w:tcW w:type="dxa" w:w="1511"/>
          </w:tcPr>
          <w:p>
            <w:r>
              <w:rPr>
                <w:rFonts w:ascii="Times New Roman" w:hAnsi="Times New Roman" w:eastAsia="宋体"/>
                <w:b w:val="0"/>
                <w:i w:val="0"/>
                <w:color w:val="1A1A1A"/>
                <w:sz w:val="18"/>
              </w:rPr>
              <w:t>0.5</w:t>
            </w:r>
          </w:p>
        </w:tc>
        <w:tc>
          <w:tcPr>
            <w:tcW w:type="dxa" w:w="1511"/>
          </w:tcPr>
          <w:p>
            <w:r>
              <w:rPr>
                <w:rFonts w:ascii="Times New Roman" w:hAnsi="Times New Roman" w:eastAsia="宋体"/>
                <w:b w:val="0"/>
                <w:i w:val="0"/>
                <w:color w:val="1A1A1A"/>
                <w:sz w:val="18"/>
              </w:rPr>
              <w:t>90</w:t>
            </w:r>
          </w:p>
        </w:tc>
        <w:tc>
          <w:tcPr>
            <w:tcW w:type="dxa" w:w="1511"/>
          </w:tcPr>
          <w:p>
            <w:r>
              <w:rPr>
                <w:rFonts w:ascii="Times New Roman" w:hAnsi="Times New Roman" w:eastAsia="宋体"/>
                <w:b w:val="0"/>
                <w:i w:val="0"/>
                <w:color w:val="1A1A1A"/>
                <w:sz w:val="18"/>
              </w:rPr>
              <w:t>4.5</w:t>
            </w:r>
          </w:p>
        </w:tc>
        <w:tc>
          <w:tcPr>
            <w:tcW w:type="dxa" w:w="1511"/>
          </w:tcPr>
          <w:p>
            <w:r>
              <w:rPr>
                <w:rFonts w:ascii="Times New Roman" w:hAnsi="Times New Roman" w:eastAsia="宋体"/>
                <w:b w:val="0"/>
                <w:i w:val="0"/>
                <w:color w:val="1A1A1A"/>
                <w:sz w:val="18"/>
              </w:rPr>
              <w:t>≈0.011</w:t>
            </w:r>
          </w:p>
        </w:tc>
      </w:tr>
      <w:tr>
        <w:tc>
          <w:tcPr>
            <w:tcW w:type="dxa" w:w="1511"/>
          </w:tcPr>
          <w:p>
            <w:r>
              <w:rPr>
                <w:rFonts w:ascii="Times New Roman" w:hAnsi="Times New Roman" w:eastAsia="宋体"/>
                <w:b w:val="0"/>
                <w:i w:val="0"/>
                <w:color w:val="1A1A1A"/>
                <w:sz w:val="18"/>
              </w:rPr>
              <w:t>基准，低暴露</w:t>
            </w:r>
          </w:p>
        </w:tc>
        <w:tc>
          <w:tcPr>
            <w:tcW w:type="dxa" w:w="1511"/>
          </w:tcPr>
          <w:p>
            <w:r>
              <w:rPr>
                <w:rFonts w:ascii="Times New Roman" w:hAnsi="Times New Roman" w:eastAsia="宋体"/>
                <w:b w:val="0"/>
                <w:i w:val="0"/>
                <w:color w:val="1A1A1A"/>
                <w:sz w:val="18"/>
              </w:rPr>
              <w:t>0.10</w:t>
            </w:r>
          </w:p>
        </w:tc>
        <w:tc>
          <w:tcPr>
            <w:tcW w:type="dxa" w:w="1511"/>
          </w:tcPr>
          <w:p>
            <w:r>
              <w:rPr>
                <w:rFonts w:ascii="Times New Roman" w:hAnsi="Times New Roman" w:eastAsia="宋体"/>
                <w:b w:val="0"/>
                <w:i w:val="0"/>
                <w:color w:val="1A1A1A"/>
                <w:sz w:val="18"/>
              </w:rPr>
              <w:t>0.005</w:t>
            </w:r>
          </w:p>
        </w:tc>
        <w:tc>
          <w:tcPr>
            <w:tcW w:type="dxa" w:w="1511"/>
          </w:tcPr>
          <w:p>
            <w:r>
              <w:rPr>
                <w:rFonts w:ascii="Times New Roman" w:hAnsi="Times New Roman" w:eastAsia="宋体"/>
                <w:b w:val="0"/>
                <w:i w:val="0"/>
                <w:color w:val="1A1A1A"/>
                <w:sz w:val="18"/>
              </w:rPr>
              <w:t>180</w:t>
            </w:r>
          </w:p>
        </w:tc>
        <w:tc>
          <w:tcPr>
            <w:tcW w:type="dxa" w:w="1511"/>
          </w:tcPr>
          <w:p>
            <w:r>
              <w:rPr>
                <w:rFonts w:ascii="Times New Roman" w:hAnsi="Times New Roman" w:eastAsia="宋体"/>
                <w:b w:val="0"/>
                <w:i w:val="0"/>
                <w:color w:val="1A1A1A"/>
                <w:sz w:val="18"/>
              </w:rPr>
              <w:t>0.09</w:t>
            </w:r>
          </w:p>
        </w:tc>
        <w:tc>
          <w:tcPr>
            <w:tcW w:type="dxa" w:w="1511"/>
          </w:tcPr>
          <w:p>
            <w:r>
              <w:rPr>
                <w:rFonts w:ascii="Times New Roman" w:hAnsi="Times New Roman" w:eastAsia="宋体"/>
                <w:b w:val="0"/>
                <w:i w:val="0"/>
                <w:color w:val="1A1A1A"/>
                <w:sz w:val="18"/>
              </w:rPr>
              <w:t>≈0.91</w:t>
            </w:r>
          </w:p>
        </w:tc>
      </w:tr>
      <w:tr>
        <w:tc>
          <w:tcPr>
            <w:tcW w:type="dxa" w:w="1511"/>
          </w:tcPr>
          <w:p>
            <w:r>
              <w:rPr>
                <w:rFonts w:ascii="Times New Roman" w:hAnsi="Times New Roman" w:eastAsia="宋体"/>
                <w:b w:val="0"/>
                <w:i w:val="0"/>
                <w:color w:val="1A1A1A"/>
                <w:sz w:val="18"/>
              </w:rPr>
              <w:t>基准</w:t>
            </w:r>
          </w:p>
        </w:tc>
        <w:tc>
          <w:tcPr>
            <w:tcW w:type="dxa" w:w="1511"/>
          </w:tcPr>
          <w:p>
            <w:r>
              <w:rPr>
                <w:rFonts w:ascii="Times New Roman" w:hAnsi="Times New Roman" w:eastAsia="宋体"/>
                <w:b w:val="0"/>
                <w:i w:val="0"/>
                <w:color w:val="1A1A1A"/>
                <w:sz w:val="18"/>
              </w:rPr>
              <w:t>0.10</w:t>
            </w:r>
          </w:p>
        </w:tc>
        <w:tc>
          <w:tcPr>
            <w:tcW w:type="dxa" w:w="1511"/>
          </w:tcPr>
          <w:p>
            <w:r>
              <w:rPr>
                <w:rFonts w:ascii="Times New Roman" w:hAnsi="Times New Roman" w:eastAsia="宋体"/>
                <w:b w:val="0"/>
                <w:i w:val="0"/>
                <w:color w:val="1A1A1A"/>
                <w:sz w:val="18"/>
              </w:rPr>
              <w:t>0.02</w:t>
            </w:r>
          </w:p>
        </w:tc>
        <w:tc>
          <w:tcPr>
            <w:tcW w:type="dxa" w:w="1511"/>
          </w:tcPr>
          <w:p>
            <w:r>
              <w:rPr>
                <w:rFonts w:ascii="Times New Roman" w:hAnsi="Times New Roman" w:eastAsia="宋体"/>
                <w:b w:val="0"/>
                <w:i w:val="0"/>
                <w:color w:val="1A1A1A"/>
                <w:sz w:val="18"/>
              </w:rPr>
              <w:t>180</w:t>
            </w:r>
          </w:p>
        </w:tc>
        <w:tc>
          <w:tcPr>
            <w:tcW w:type="dxa" w:w="1511"/>
          </w:tcPr>
          <w:p>
            <w:r>
              <w:rPr>
                <w:rFonts w:ascii="Times New Roman" w:hAnsi="Times New Roman" w:eastAsia="宋体"/>
                <w:b w:val="0"/>
                <w:i w:val="0"/>
                <w:color w:val="1A1A1A"/>
                <w:sz w:val="18"/>
              </w:rPr>
              <w:t>0.36</w:t>
            </w:r>
          </w:p>
        </w:tc>
        <w:tc>
          <w:tcPr>
            <w:tcW w:type="dxa" w:w="1511"/>
          </w:tcPr>
          <w:p>
            <w:r>
              <w:rPr>
                <w:rFonts w:ascii="Times New Roman" w:hAnsi="Times New Roman" w:eastAsia="宋体"/>
                <w:b w:val="0"/>
                <w:i w:val="0"/>
                <w:color w:val="1A1A1A"/>
                <w:sz w:val="18"/>
              </w:rPr>
              <w:t>≈0.70</w:t>
            </w:r>
          </w:p>
        </w:tc>
      </w:tr>
      <w:tr>
        <w:tc>
          <w:tcPr>
            <w:tcW w:type="dxa" w:w="1511"/>
          </w:tcPr>
          <w:p>
            <w:r>
              <w:rPr>
                <w:rFonts w:ascii="Times New Roman" w:hAnsi="Times New Roman" w:eastAsia="宋体"/>
                <w:b w:val="0"/>
                <w:i w:val="0"/>
                <w:color w:val="1A1A1A"/>
                <w:sz w:val="18"/>
              </w:rPr>
              <w:t>基准，高暴露</w:t>
            </w:r>
          </w:p>
        </w:tc>
        <w:tc>
          <w:tcPr>
            <w:tcW w:type="dxa" w:w="1511"/>
          </w:tcPr>
          <w:p>
            <w:r>
              <w:rPr>
                <w:rFonts w:ascii="Times New Roman" w:hAnsi="Times New Roman" w:eastAsia="宋体"/>
                <w:b w:val="0"/>
                <w:i w:val="0"/>
                <w:color w:val="1A1A1A"/>
                <w:sz w:val="18"/>
              </w:rPr>
              <w:t>0.10</w:t>
            </w:r>
          </w:p>
        </w:tc>
        <w:tc>
          <w:tcPr>
            <w:tcW w:type="dxa" w:w="1511"/>
          </w:tcPr>
          <w:p>
            <w:r>
              <w:rPr>
                <w:rFonts w:ascii="Times New Roman" w:hAnsi="Times New Roman" w:eastAsia="宋体"/>
                <w:b w:val="0"/>
                <w:i w:val="0"/>
                <w:color w:val="1A1A1A"/>
                <w:sz w:val="18"/>
              </w:rPr>
              <w:t>0.2</w:t>
            </w:r>
          </w:p>
        </w:tc>
        <w:tc>
          <w:tcPr>
            <w:tcW w:type="dxa" w:w="1511"/>
          </w:tcPr>
          <w:p>
            <w:r>
              <w:rPr>
                <w:rFonts w:ascii="Times New Roman" w:hAnsi="Times New Roman" w:eastAsia="宋体"/>
                <w:b w:val="0"/>
                <w:i w:val="0"/>
                <w:color w:val="1A1A1A"/>
                <w:sz w:val="18"/>
              </w:rPr>
              <w:t>180</w:t>
            </w:r>
          </w:p>
        </w:tc>
        <w:tc>
          <w:tcPr>
            <w:tcW w:type="dxa" w:w="1511"/>
          </w:tcPr>
          <w:p>
            <w:r>
              <w:rPr>
                <w:rFonts w:ascii="Times New Roman" w:hAnsi="Times New Roman" w:eastAsia="宋体"/>
                <w:b w:val="0"/>
                <w:i w:val="0"/>
                <w:color w:val="1A1A1A"/>
                <w:sz w:val="18"/>
              </w:rPr>
              <w:t>3.6</w:t>
            </w:r>
          </w:p>
        </w:tc>
        <w:tc>
          <w:tcPr>
            <w:tcW w:type="dxa" w:w="1511"/>
          </w:tcPr>
          <w:p>
            <w:r>
              <w:rPr>
                <w:rFonts w:ascii="Times New Roman" w:hAnsi="Times New Roman" w:eastAsia="宋体"/>
                <w:b w:val="0"/>
                <w:i w:val="0"/>
                <w:color w:val="1A1A1A"/>
                <w:sz w:val="18"/>
              </w:rPr>
              <w:t>≈0.027</w:t>
            </w:r>
          </w:p>
        </w:tc>
      </w:tr>
      <w:tr>
        <w:tc>
          <w:tcPr>
            <w:tcW w:type="dxa" w:w="1511"/>
          </w:tcPr>
          <w:p>
            <w:r>
              <w:rPr>
                <w:rFonts w:ascii="Times New Roman" w:hAnsi="Times New Roman" w:eastAsia="宋体"/>
                <w:b w:val="0"/>
                <w:i w:val="0"/>
                <w:color w:val="1A1A1A"/>
                <w:sz w:val="18"/>
              </w:rPr>
              <w:t>敏感性：基质保留使k降低一个数量级</w:t>
            </w:r>
          </w:p>
        </w:tc>
        <w:tc>
          <w:tcPr>
            <w:tcW w:type="dxa" w:w="1511"/>
          </w:tcPr>
          <w:p>
            <w:r>
              <w:rPr>
                <w:rFonts w:ascii="Times New Roman" w:hAnsi="Times New Roman" w:eastAsia="宋体"/>
                <w:b w:val="0"/>
                <w:i w:val="0"/>
                <w:color w:val="1A1A1A"/>
                <w:sz w:val="18"/>
              </w:rPr>
              <w:t>0.01</w:t>
            </w:r>
          </w:p>
        </w:tc>
        <w:tc>
          <w:tcPr>
            <w:tcW w:type="dxa" w:w="1511"/>
          </w:tcPr>
          <w:p>
            <w:r>
              <w:rPr>
                <w:rFonts w:ascii="Times New Roman" w:hAnsi="Times New Roman" w:eastAsia="宋体"/>
                <w:b w:val="0"/>
                <w:i w:val="0"/>
                <w:color w:val="1A1A1A"/>
                <w:sz w:val="18"/>
              </w:rPr>
              <w:t>0.02</w:t>
            </w:r>
          </w:p>
        </w:tc>
        <w:tc>
          <w:tcPr>
            <w:tcW w:type="dxa" w:w="1511"/>
          </w:tcPr>
          <w:p>
            <w:r>
              <w:rPr>
                <w:rFonts w:ascii="Times New Roman" w:hAnsi="Times New Roman" w:eastAsia="宋体"/>
                <w:b w:val="0"/>
                <w:i w:val="0"/>
                <w:color w:val="1A1A1A"/>
                <w:sz w:val="18"/>
              </w:rPr>
              <w:t>180</w:t>
            </w:r>
          </w:p>
        </w:tc>
        <w:tc>
          <w:tcPr>
            <w:tcW w:type="dxa" w:w="1511"/>
          </w:tcPr>
          <w:p>
            <w:r>
              <w:rPr>
                <w:rFonts w:ascii="Times New Roman" w:hAnsi="Times New Roman" w:eastAsia="宋体"/>
                <w:b w:val="0"/>
                <w:i w:val="0"/>
                <w:color w:val="1A1A1A"/>
                <w:sz w:val="18"/>
              </w:rPr>
              <w:t>0.036</w:t>
            </w:r>
          </w:p>
        </w:tc>
        <w:tc>
          <w:tcPr>
            <w:tcW w:type="dxa" w:w="1511"/>
          </w:tcPr>
          <w:p>
            <w:r>
              <w:rPr>
                <w:rFonts w:ascii="Times New Roman" w:hAnsi="Times New Roman" w:eastAsia="宋体"/>
                <w:b w:val="0"/>
                <w:i w:val="0"/>
                <w:color w:val="1A1A1A"/>
                <w:sz w:val="18"/>
              </w:rPr>
              <w:t>≈0.96</w:t>
            </w:r>
          </w:p>
        </w:tc>
      </w:tr>
    </w:tbl>
    <w:p>
      <w:pPr>
        <w:spacing w:after="80"/>
      </w:pPr>
    </w:p>
    <w:p>
      <w:pPr>
        <w:spacing w:after="120" w:line="360" w:lineRule="auto"/>
        <w:ind w:firstLine="420"/>
      </w:pPr>
      <w:r>
        <w:rPr>
          <w:rFonts w:ascii="Times New Roman" w:hAnsi="Times New Roman" w:eastAsia="宋体"/>
          <w:b w:val="0"/>
          <w:i w:val="0"/>
          <w:color w:val="1A1A1A"/>
          <w:sz w:val="21"/>
        </w:rPr>
        <w:t>该推算的假设为：损失近似遵循一阶动力学；滴丸中冰片的暴露行为可按游离固体按比例缩放；f区间为假设值且未经本品实测标定；滴丸的熔融基质可降低有效速率——该前提取自非本品的基质—保留率证据</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，本品的基质组成与降幅均未见于纳入来源，属未经来源证实的假设；贮存温度恒定为25 ℃。全部数值均为假设参数下的估计，未经速效救心丸本品实测；区间跨数量级意味着该模型对阈值问题本身没有分辨力。</w:t>
      </w:r>
    </w:p>
    <w:p>
      <w:pPr>
        <w:spacing w:after="120" w:line="312" w:lineRule="auto" w:before="240"/>
      </w:pPr>
      <w:r>
        <w:rPr>
          <w:rFonts w:ascii="Times New Roman" w:hAnsi="Times New Roman" w:eastAsia="黑体"/>
          <w:b/>
          <w:i w:val="0"/>
          <w:color w:val="1A1A1A"/>
          <w:sz w:val="26"/>
        </w:rPr>
        <w:t>4 讨论</w:t>
      </w:r>
    </w:p>
    <w:p>
      <w:pPr>
        <w:spacing w:after="80" w:line="312" w:lineRule="auto" w:before="160"/>
      </w:pPr>
      <w:r>
        <w:rPr>
          <w:rFonts w:ascii="Times New Roman" w:hAnsi="Times New Roman" w:eastAsia="黑体"/>
          <w:b/>
          <w:i w:val="0"/>
          <w:color w:val="1A1A1A"/>
          <w:sz w:val="22"/>
        </w:rPr>
        <w:t>4.1 分层证据支持的三级判断</w:t>
      </w:r>
    </w:p>
    <w:p>
      <w:pPr>
        <w:spacing w:after="120" w:line="360" w:lineRule="auto"/>
        <w:ind w:firstLine="420"/>
      </w:pPr>
      <w:r>
        <w:rPr>
          <w:rFonts w:ascii="Times New Roman" w:hAnsi="Times New Roman" w:eastAsia="宋体"/>
          <w:b w:val="0"/>
          <w:i w:val="0"/>
          <w:color w:val="1A1A1A"/>
          <w:sz w:val="21"/>
        </w:rPr>
        <w:t>本研究得到的不是一个单一结论，而是一组按证据强度分级的判断。第一，速效救心丸开封后冰片含量下降，这一方向由实测理化数据支持，证据强度为中等：游离龙脑25 ℃下30天近乎全损、含龙脑固体材料中龙脑升华导致疗效不一致、龙脑与辅料的相互作用决定保留率，三者相互印证</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。第二，开封后应在数周至数月的尺度上关注效价变化，其方向由机制证据支持，强度同为中等，但具体时间尺度未经测量。第三，"3～6个月"作为速效救心丸的规格性结论，没有直接证据支持，强度为低。</w:t>
      </w:r>
    </w:p>
    <w:p>
      <w:pPr>
        <w:spacing w:after="120" w:line="360" w:lineRule="auto"/>
        <w:ind w:firstLine="420"/>
      </w:pPr>
      <w:r>
        <w:rPr>
          <w:rFonts w:ascii="Times New Roman" w:hAnsi="Times New Roman" w:eastAsia="宋体"/>
          <w:b w:val="0"/>
          <w:i w:val="0"/>
          <w:color w:val="1A1A1A"/>
          <w:sz w:val="21"/>
        </w:rPr>
        <w:t>三角互证是上述分级的方法学基础。处方组成经两项独立研究互证</w:t>
      </w:r>
      <w:r>
        <w:rPr>
          <w:rFonts w:ascii="Times New Roman" w:hAnsi="Times New Roman" w:eastAsia="宋体"/>
          <w:b w:val="0"/>
          <w:i w:val="0"/>
          <w:color w:val="1A1A1A"/>
          <w:sz w:val="21"/>
          <w:vertAlign w:val="superscript"/>
        </w:rPr>
        <w:t>[3-4]</w:t>
      </w:r>
      <w:r>
        <w:rPr>
          <w:rFonts w:ascii="Times New Roman" w:hAnsi="Times New Roman" w:eastAsia="宋体"/>
          <w:b w:val="0"/>
          <w:i w:val="0"/>
          <w:color w:val="1A1A1A"/>
          <w:sz w:val="21"/>
        </w:rPr>
        <w:t>，冰片的挥发性活性组分地位由此确立；机制—损失链由龙脑常温挥发实测与含龙脑固体材料的升华归因共同支持</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，并与含挥发油中药贮存期限从紧的通行取向方向一致</w:t>
      </w:r>
      <w:r>
        <w:rPr>
          <w:rFonts w:ascii="Times New Roman" w:hAnsi="Times New Roman" w:eastAsia="宋体"/>
          <w:b w:val="0"/>
          <w:i w:val="0"/>
          <w:color w:val="1A1A1A"/>
          <w:sz w:val="21"/>
          <w:vertAlign w:val="superscript"/>
        </w:rPr>
        <w:t>[15]</w:t>
      </w:r>
      <w:r>
        <w:rPr>
          <w:rFonts w:ascii="Times New Roman" w:hAnsi="Times New Roman" w:eastAsia="宋体"/>
          <w:b w:val="0"/>
          <w:i w:val="0"/>
          <w:color w:val="1A1A1A"/>
          <w:sz w:val="21"/>
        </w:rPr>
        <w:t>；类比证据则为"3～6个月"这一数字的来源提供了解释</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。诸线索指向同一结构：方向确定，幅度未测，数值无源。</w:t>
      </w:r>
    </w:p>
    <w:p>
      <w:pPr>
        <w:spacing w:after="120" w:line="360" w:lineRule="auto"/>
        <w:ind w:firstLine="420"/>
      </w:pPr>
      <w:r>
        <w:rPr>
          <w:rFonts w:ascii="Times New Roman" w:hAnsi="Times New Roman" w:eastAsia="宋体"/>
          <w:b w:val="0"/>
          <w:i w:val="0"/>
          <w:color w:val="1A1A1A"/>
          <w:sz w:val="21"/>
        </w:rPr>
        <w:t>三类证据的分层在全文中未作任何混用。本研究引用的"未开封稳定性"证据仅来自密封条件下的加速试验</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与密闭容器贮存研究</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，"开封后实测"层为空缺，其余一切关于开封后损失的量化表述均为推算。例如密封条件下60 ℃×12 h的保留率数据只用于说明基质相互作用决定保留率，不用于断言开封瓶内的损失速率——后者始终以推算形式出现，并在3.7节标明其假设与敏感性。这一区分是本文的方法学要点：把可核验的实测、未能核验的空缺与作者的推断混为一谈，正是既往论述在本问题上失真的根源。</w:t>
      </w:r>
    </w:p>
    <w:p>
      <w:pPr>
        <w:spacing w:after="80" w:line="312" w:lineRule="auto" w:before="160"/>
      </w:pPr>
      <w:r>
        <w:rPr>
          <w:rFonts w:ascii="Times New Roman" w:hAnsi="Times New Roman" w:eastAsia="黑体"/>
          <w:b/>
          <w:i w:val="0"/>
          <w:color w:val="1A1A1A"/>
          <w:sz w:val="22"/>
        </w:rPr>
        <w:t>4.2 "3～6个月"的性质判定与一处冲突的裁决</w:t>
      </w:r>
    </w:p>
    <w:p>
      <w:pPr>
        <w:spacing w:after="120" w:line="360" w:lineRule="auto"/>
        <w:ind w:firstLine="420"/>
      </w:pPr>
      <w:r>
        <w:rPr>
          <w:rFonts w:ascii="Times New Roman" w:hAnsi="Times New Roman" w:eastAsia="宋体"/>
          <w:b w:val="0"/>
          <w:i w:val="0"/>
          <w:color w:val="1A1A1A"/>
          <w:sz w:val="21"/>
        </w:rPr>
        <w:t>将"'3～6个月'对速效救心丸有直接实测或规范出处"作为可检验假说，其成立需要满足两个条件之一：存在本品开封后的含量或效价—时间实测曲线，并在3～6个月处达到某一可界定限度；或说明书、规范层面规定载明该期限。本研究的41条检索式未返回满足任一条件的记录，说明书记录仅载明"密封，置阴凉干燥处（不超过20 ℃）"</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，故在本研究可获取的来源范围内该假说不成立。替代解释是经验性迁移：该数值与舌下硝酸甘油片"每3～6个月更换"的临床惯例一致</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，且与含挥发油中药贮存期限从紧的一般取向方向一致</w:t>
      </w:r>
      <w:r>
        <w:rPr>
          <w:rFonts w:ascii="Times New Roman" w:hAnsi="Times New Roman" w:eastAsia="宋体"/>
          <w:b w:val="0"/>
          <w:i w:val="0"/>
          <w:color w:val="1A1A1A"/>
          <w:sz w:val="21"/>
          <w:vertAlign w:val="superscript"/>
        </w:rPr>
        <w:t>[15]</w:t>
      </w:r>
      <w:r>
        <w:rPr>
          <w:rFonts w:ascii="Times New Roman" w:hAnsi="Times New Roman" w:eastAsia="宋体"/>
          <w:b w:val="0"/>
          <w:i w:val="0"/>
          <w:color w:val="1A1A1A"/>
          <w:sz w:val="21"/>
        </w:rPr>
        <w:t>。此项判定的成立以"检索来源的覆盖面足以代表公开发表证据"为前提；若企业未公开的稳定性档案存在并支持其他阈值，或未来出现直接实测，则本判定作废。</w:t>
      </w:r>
    </w:p>
    <w:p>
      <w:pPr>
        <w:spacing w:after="120" w:line="360" w:lineRule="auto"/>
        <w:ind w:firstLine="420"/>
      </w:pPr>
      <w:r>
        <w:rPr>
          <w:rFonts w:ascii="Times New Roman" w:hAnsi="Times New Roman" w:eastAsia="宋体"/>
          <w:b w:val="0"/>
          <w:i w:val="0"/>
          <w:color w:val="1A1A1A"/>
          <w:sz w:val="21"/>
        </w:rPr>
        <w:t>论证中存在一处需要裁决的冲突：经典研究显示硝酸甘油片"定期开瓶不造成显著损失"</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，这与"开封后须限期内用完"的直觉相反。裁决依据在于损失速率的决定因素——物质蒸气压、暴露表面积与顶空体积的乘积效应——不同药物之间不可直接类比。对龙脑而言，游离固体25 ℃下30天近全损的实测证明其暴露损失不可忽略</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；而密封或盖紧可大幅抑制该过程，这一点在硝酸甘油研究与龙脑热重数据中都得到支持</w:t>
      </w:r>
      <w:r>
        <w:rPr>
          <w:rFonts w:ascii="Times New Roman" w:hAnsi="Times New Roman" w:eastAsia="宋体"/>
          <w:b w:val="0"/>
          <w:i w:val="0"/>
          <w:color w:val="1A1A1A"/>
          <w:sz w:val="21"/>
          <w:vertAlign w:val="superscript"/>
        </w:rPr>
        <w:t>[1,6]</w:t>
      </w:r>
      <w:r>
        <w:rPr>
          <w:rFonts w:ascii="Times New Roman" w:hAnsi="Times New Roman" w:eastAsia="宋体"/>
          <w:b w:val="0"/>
          <w:i w:val="0"/>
          <w:color w:val="1A1A1A"/>
          <w:sz w:val="21"/>
        </w:rPr>
        <w:t>。因此"开封后限期内用完"在方向上合理，"开封后立即失效"则不成立。</w:t>
      </w:r>
    </w:p>
    <w:p>
      <w:pPr>
        <w:spacing w:after="80" w:line="312" w:lineRule="auto" w:before="160"/>
      </w:pPr>
      <w:r>
        <w:rPr>
          <w:rFonts w:ascii="Times New Roman" w:hAnsi="Times New Roman" w:eastAsia="黑体"/>
          <w:b/>
          <w:i w:val="0"/>
          <w:color w:val="1A1A1A"/>
          <w:sz w:val="22"/>
        </w:rPr>
        <w:t>4.3 现行规定的对象与使用中稳定性的规范空白</w:t>
      </w:r>
    </w:p>
    <w:p>
      <w:pPr>
        <w:spacing w:after="120" w:line="360" w:lineRule="auto"/>
        <w:ind w:firstLine="420"/>
      </w:pPr>
      <w:r>
        <w:rPr>
          <w:rFonts w:ascii="Times New Roman" w:hAnsi="Times New Roman" w:eastAsia="宋体"/>
          <w:b w:val="0"/>
          <w:i w:val="0"/>
          <w:color w:val="1A1A1A"/>
          <w:sz w:val="21"/>
        </w:rPr>
        <w:t>说明书核查给出了一个明确而常被忽略的结论：现行贮藏规定针对的是未开封状态的保存条件。速效救心丸、麝香保心丸、复方丹参滴丸与硝酸甘油片的贮藏项只规定密封，以及部分品种的温度或避光条件（逐条表述见表5），均未覆盖开封后的使用期</w:t>
      </w:r>
      <w:r>
        <w:rPr>
          <w:rFonts w:ascii="Times New Roman" w:hAnsi="Times New Roman" w:eastAsia="宋体"/>
          <w:b w:val="0"/>
          <w:i w:val="0"/>
          <w:color w:val="1A1A1A"/>
          <w:sz w:val="21"/>
          <w:vertAlign w:val="superscript"/>
        </w:rPr>
        <w:t>[8-11]</w:t>
      </w:r>
      <w:r>
        <w:rPr>
          <w:rFonts w:ascii="Times New Roman" w:hAnsi="Times New Roman" w:eastAsia="宋体"/>
          <w:b w:val="0"/>
          <w:i w:val="0"/>
          <w:color w:val="1A1A1A"/>
          <w:sz w:val="21"/>
        </w:rPr>
        <w:t>。这与稳定性试验体系的制度设计一致——加速试验与长期试验均以密封包装为对象，开封后使用期属于使用中稳定性范畴，需单独研究并写入说明书。就本品而言，该项研究与该项规定同时缺位，构成证据与规范的双重空白。需说明的是，"针对未开封状态"这一定位是基于说明书模式与稳定性制度设计的一致性推断，而非药典原文的直接引证（见4.5）。</w:t>
      </w:r>
    </w:p>
    <w:p>
      <w:pPr>
        <w:spacing w:after="120" w:line="360" w:lineRule="auto"/>
        <w:ind w:firstLine="420"/>
      </w:pPr>
      <w:r>
        <w:rPr>
          <w:rFonts w:ascii="Times New Roman" w:hAnsi="Times New Roman" w:eastAsia="宋体"/>
          <w:b w:val="0"/>
          <w:i w:val="0"/>
          <w:color w:val="1A1A1A"/>
          <w:sz w:val="21"/>
        </w:rPr>
        <w:t>这一结论改变了问题的提法：与其争论"3个月还是6个月"，不如承认现行文件并未就开封后使用期作出规定，因而任何机构内部的期限设定都是在规范空白处所作的风险管理选择，应按其真实性质标注，而非以"说明书规定"的名义执行。</w:t>
      </w:r>
    </w:p>
    <w:p>
      <w:pPr>
        <w:spacing w:after="80" w:line="312" w:lineRule="auto" w:before="160"/>
      </w:pPr>
      <w:r>
        <w:rPr>
          <w:rFonts w:ascii="Times New Roman" w:hAnsi="Times New Roman" w:eastAsia="黑体"/>
          <w:b/>
          <w:i w:val="0"/>
          <w:color w:val="1A1A1A"/>
          <w:sz w:val="22"/>
        </w:rPr>
        <w:t>4.4 对实践的含义与可以终结本问题的研究</w:t>
      </w:r>
    </w:p>
    <w:p>
      <w:pPr>
        <w:spacing w:after="120" w:line="360" w:lineRule="auto"/>
        <w:ind w:firstLine="420"/>
      </w:pPr>
      <w:r>
        <w:rPr>
          <w:rFonts w:ascii="Times New Roman" w:hAnsi="Times New Roman" w:eastAsia="宋体"/>
          <w:b w:val="0"/>
          <w:i w:val="0"/>
          <w:color w:val="1A1A1A"/>
          <w:sz w:val="21"/>
        </w:rPr>
        <w:t>在可核验证据的边界内，可支持的实践含义有限而明确。速效救心丸开封后取用完毕应立即盖紧瓶盖，避免长时间敞开存放：实测显示游离冰片在25 ℃贮存30天内几乎完全损失、40 ℃下损失更快，而按说明书条件（密封，置阴凉干燥处，不超过20 ℃）保存可大幅减缓该过程</w:t>
      </w:r>
      <w:r>
        <w:rPr>
          <w:rFonts w:ascii="Times New Roman" w:hAnsi="Times New Roman" w:eastAsia="宋体"/>
          <w:b w:val="0"/>
          <w:i w:val="0"/>
          <w:color w:val="1A1A1A"/>
          <w:sz w:val="21"/>
          <w:vertAlign w:val="superscript"/>
        </w:rPr>
        <w:t>[1,8]</w:t>
      </w:r>
      <w:r>
        <w:rPr>
          <w:rFonts w:ascii="Times New Roman" w:hAnsi="Times New Roman" w:eastAsia="宋体"/>
          <w:b w:val="0"/>
          <w:i w:val="0"/>
          <w:color w:val="1A1A1A"/>
          <w:sz w:val="21"/>
        </w:rPr>
        <w:t>。在获得本品开封后稳定性直接实测数据之前，机构内部若沿用"开封后3～6个月用完"的规定，应将其标注为经验性保守建议，并在制度文件中注明该阈值缺少本品的直接实测依据。</w:t>
      </w:r>
    </w:p>
    <w:p>
      <w:pPr>
        <w:spacing w:after="120" w:line="360" w:lineRule="auto"/>
        <w:ind w:firstLine="420"/>
      </w:pPr>
      <w:r>
        <w:rPr>
          <w:rFonts w:ascii="Times New Roman" w:hAnsi="Times New Roman" w:eastAsia="宋体"/>
          <w:b w:val="0"/>
          <w:i w:val="0"/>
          <w:color w:val="1A1A1A"/>
          <w:sz w:val="21"/>
        </w:rPr>
        <w:t>安全边界须予单独强调。速效救心丸现有的药理与临床证据针对已明确诊断的心绞痛或心肌缺血人群</w:t>
      </w:r>
      <w:r>
        <w:rPr>
          <w:rFonts w:ascii="Times New Roman" w:hAnsi="Times New Roman" w:eastAsia="宋体"/>
          <w:b w:val="0"/>
          <w:i w:val="0"/>
          <w:color w:val="1A1A1A"/>
          <w:sz w:val="21"/>
          <w:vertAlign w:val="superscript"/>
        </w:rPr>
        <w:t>[3,14]</w:t>
      </w:r>
      <w:r>
        <w:rPr>
          <w:rFonts w:ascii="Times New Roman" w:hAnsi="Times New Roman" w:eastAsia="宋体"/>
          <w:b w:val="0"/>
          <w:i w:val="0"/>
          <w:color w:val="1A1A1A"/>
          <w:sz w:val="21"/>
        </w:rPr>
        <w:t>；突发、持续不退的胸痛可能提示心肌梗死，应立即呼叫急救（中国为120）接受急诊评估</w:t>
      </w:r>
      <w:r>
        <w:rPr>
          <w:rFonts w:ascii="Times New Roman" w:hAnsi="Times New Roman" w:eastAsia="宋体"/>
          <w:b w:val="0"/>
          <w:i w:val="0"/>
          <w:color w:val="1A1A1A"/>
          <w:sz w:val="21"/>
          <w:vertAlign w:val="superscript"/>
        </w:rPr>
        <w:t>[18]</w:t>
      </w:r>
      <w:r>
        <w:rPr>
          <w:rFonts w:ascii="Times New Roman" w:hAnsi="Times New Roman" w:eastAsia="宋体"/>
          <w:b w:val="0"/>
          <w:i w:val="0"/>
          <w:color w:val="1A1A1A"/>
          <w:sz w:val="21"/>
        </w:rPr>
        <w:t>——</w:t>
      </w:r>
      <w:r>
        <w:rPr>
          <w:rFonts w:ascii="Times New Roman" w:hAnsi="Times New Roman" w:eastAsia="宋体"/>
          <w:b w:val="0"/>
          <w:i w:val="0"/>
          <w:color w:val="1A1A1A"/>
          <w:sz w:val="21"/>
          <w:vertAlign w:val="superscript"/>
        </w:rPr>
        <w:t>[18]</w:t>
      </w:r>
      <w:r>
        <w:rPr>
          <w:rFonts w:ascii="Times New Roman" w:hAnsi="Times New Roman" w:eastAsia="宋体"/>
          <w:b w:val="0"/>
          <w:i w:val="0"/>
          <w:color w:val="1A1A1A"/>
          <w:sz w:val="21"/>
        </w:rPr>
        <w:t>为英国国民保健服务页面，其原文的动作为拨打英国急救电话999，本文按中国辖区将号码标为120，限定症状条件与"立即呼叫急救"这一动作取自该页面。服用速效救心丸不得延误急救——服药不是等待的理由，应在服药的同时呼叫急救电话（中国为120），而不是服药后等待</w:t>
      </w:r>
      <w:r>
        <w:rPr>
          <w:rFonts w:ascii="Times New Roman" w:hAnsi="Times New Roman" w:eastAsia="宋体"/>
          <w:b w:val="0"/>
          <w:i w:val="0"/>
          <w:color w:val="1A1A1A"/>
          <w:sz w:val="21"/>
          <w:vertAlign w:val="superscript"/>
        </w:rPr>
        <w:t>[18]</w:t>
      </w:r>
      <w:r>
        <w:rPr>
          <w:rFonts w:ascii="Times New Roman" w:hAnsi="Times New Roman" w:eastAsia="宋体"/>
          <w:b w:val="0"/>
          <w:i w:val="0"/>
          <w:color w:val="1A1A1A"/>
          <w:sz w:val="21"/>
        </w:rPr>
        <w:t>。本文关于开封后效价的全部讨论，均不改变这一处置次序。</w:t>
      </w:r>
    </w:p>
    <w:p>
      <w:pPr>
        <w:spacing w:after="120" w:line="360" w:lineRule="auto"/>
        <w:ind w:firstLine="420"/>
      </w:pPr>
      <w:r>
        <w:rPr>
          <w:rFonts w:ascii="Times New Roman" w:hAnsi="Times New Roman" w:eastAsia="宋体"/>
          <w:b w:val="0"/>
          <w:i w:val="0"/>
          <w:color w:val="1A1A1A"/>
          <w:sz w:val="21"/>
        </w:rPr>
        <w:t>一项可重复的测量即可把本文的估计变为定论。其设计可为：取市售速效救心丸若干瓶按说明书条件贮存，设模拟真实取用组（每日开盖数次、取后盖紧）与整瓶密封不开盖的对照组，在开封后多个预设时间点以已发表的色谱法测定每丸冰片（龙脑与异龙脑）含量</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，并以性状与溶散时限为辅助指标；如条件允许，再以稳定型心绞痛疗效终点或体外冠状动脉舒张活性关联含量与效价</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。该类研究将直接回答"3个月还是6个月"的经验阈值是否可被实测分辨，并决定说明书是否应增补开封后使用期。</w:t>
      </w:r>
    </w:p>
    <w:p>
      <w:pPr>
        <w:spacing w:after="80" w:line="312" w:lineRule="auto" w:before="160"/>
      </w:pPr>
      <w:r>
        <w:rPr>
          <w:rFonts w:ascii="Times New Roman" w:hAnsi="Times New Roman" w:eastAsia="黑体"/>
          <w:b/>
          <w:i w:val="0"/>
          <w:color w:val="1A1A1A"/>
          <w:sz w:val="22"/>
        </w:rPr>
        <w:t>4.5 局限性</w:t>
      </w:r>
    </w:p>
    <w:p>
      <w:pPr>
        <w:spacing w:after="120" w:line="360" w:lineRule="auto"/>
        <w:ind w:firstLine="420"/>
      </w:pPr>
      <w:r>
        <w:rPr>
          <w:rFonts w:ascii="Times New Roman" w:hAnsi="Times New Roman" w:eastAsia="宋体"/>
          <w:b w:val="0"/>
          <w:i w:val="0"/>
          <w:color w:val="1A1A1A"/>
          <w:sz w:val="21"/>
        </w:rPr>
        <w:t>直接证据的缺失是本研究的首要局限。未检索到本品开封后稳定性的实测研究，因而一切关于开封后损失幅度的量化均依赖外推；本文已明确标注该缺口，但外推不因被标注而变成测量。检索未覆盖中文期刊全文库（如中国知网、万方）与灰色文献，企业未公开的稳定性档案亦可能改变结论；相当一部分中文稳定性研究可能未进入英文索引，由此产生的发表偏倚不能排除。</w:t>
      </w:r>
    </w:p>
    <w:p>
      <w:pPr>
        <w:spacing w:after="120" w:line="360" w:lineRule="auto"/>
        <w:ind w:firstLine="420"/>
      </w:pPr>
      <w:r>
        <w:rPr>
          <w:rFonts w:ascii="Times New Roman" w:hAnsi="Times New Roman" w:eastAsia="宋体"/>
          <w:b w:val="0"/>
          <w:i w:val="0"/>
          <w:color w:val="1A1A1A"/>
          <w:sz w:val="21"/>
        </w:rPr>
        <w:t>间接性与异质性是第二项局限。龙脑挥发数据来自非本品样品——游离固体、脂质体与艾粉固体分散体，其剂型基质与滴丸不同；硝酸甘油类比则存在药物间蒸气压与基质的差异，经典研究甚至提示"定期开瓶损失很小"</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。该差异已在4.2节裁决，但裁决依赖机制推理而非本品实测。精度亦不足：保留率数据多为单一时间点或单一条件（如60 ℃×12 h</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），缺乏25 ℃长期、不同湿度与不同开瓶频率的系统数据。</w:t>
      </w:r>
    </w:p>
    <w:p>
      <w:pPr>
        <w:spacing w:after="120" w:line="360" w:lineRule="auto"/>
        <w:ind w:firstLine="420"/>
      </w:pPr>
      <w:r>
        <w:rPr>
          <w:rFonts w:ascii="Times New Roman" w:hAnsi="Times New Roman" w:eastAsia="宋体"/>
          <w:b w:val="0"/>
          <w:i w:val="0"/>
          <w:color w:val="1A1A1A"/>
          <w:sz w:val="21"/>
        </w:rPr>
        <w:t>来源层级构成第三项局限。说明书内容取自数据库记录条目，官方现行版本的逐字核验未能完成</w:t>
      </w:r>
      <w:r>
        <w:rPr>
          <w:rFonts w:ascii="Times New Roman" w:hAnsi="Times New Roman" w:eastAsia="宋体"/>
          <w:b w:val="0"/>
          <w:i w:val="0"/>
          <w:color w:val="1A1A1A"/>
          <w:sz w:val="21"/>
          <w:vertAlign w:val="superscript"/>
        </w:rPr>
        <w:t>[8-11]</w:t>
      </w:r>
      <w:r>
        <w:rPr>
          <w:rFonts w:ascii="Times New Roman" w:hAnsi="Times New Roman" w:eastAsia="宋体"/>
          <w:b w:val="0"/>
          <w:i w:val="0"/>
          <w:color w:val="1A1A1A"/>
          <w:sz w:val="21"/>
        </w:rPr>
        <w:t>；专家共识仅取回题名、机构与年份，未解析出稳定的原文地址</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；两条硝酸甘油文献只能获取摘要，其中一条的作者信息与另一条的刊名未能取回</w:t>
      </w:r>
      <w:r>
        <w:rPr>
          <w:rFonts w:ascii="Times New Roman" w:hAnsi="Times New Roman" w:eastAsia="宋体"/>
          <w:b w:val="0"/>
          <w:i w:val="0"/>
          <w:color w:val="1A1A1A"/>
          <w:sz w:val="21"/>
          <w:vertAlign w:val="superscript"/>
        </w:rPr>
        <w:t>[5-6]</w:t>
      </w:r>
      <w:r>
        <w:rPr>
          <w:rFonts w:ascii="Times New Roman" w:hAnsi="Times New Roman" w:eastAsia="宋体"/>
          <w:b w:val="0"/>
          <w:i w:val="0"/>
          <w:color w:val="1A1A1A"/>
          <w:sz w:val="21"/>
        </w:rPr>
        <w:t>；美国说明书记录仅取回题名与标识，其条文不承载任何结论</w:t>
      </w:r>
      <w:r>
        <w:rPr>
          <w:rFonts w:ascii="Times New Roman" w:hAnsi="Times New Roman" w:eastAsia="宋体"/>
          <w:b w:val="0"/>
          <w:i w:val="0"/>
          <w:color w:val="1A1A1A"/>
          <w:sz w:val="21"/>
          <w:vertAlign w:val="superscript"/>
        </w:rPr>
        <w:t>[17]</w:t>
      </w:r>
      <w:r>
        <w:rPr>
          <w:rFonts w:ascii="Times New Roman" w:hAnsi="Times New Roman" w:eastAsia="宋体"/>
          <w:b w:val="0"/>
          <w:i w:val="0"/>
          <w:color w:val="1A1A1A"/>
          <w:sz w:val="21"/>
        </w:rPr>
        <w:t>。药典原文在本研究可获取的来源范围内未能取得，因此4.3节关于规范层面对象的判断是一致性推断而非原文引证。</w:t>
      </w:r>
    </w:p>
    <w:p>
      <w:pPr>
        <w:spacing w:after="120" w:line="360" w:lineRule="auto"/>
        <w:ind w:firstLine="420"/>
      </w:pPr>
      <w:r>
        <w:rPr>
          <w:rFonts w:ascii="Times New Roman" w:hAnsi="Times New Roman" w:eastAsia="宋体"/>
          <w:b w:val="0"/>
          <w:i w:val="0"/>
          <w:color w:val="1A1A1A"/>
          <w:sz w:val="21"/>
        </w:rPr>
        <w:t>方法学与体裁的限度已在2.2节声明：本研究不是PRISMA意义上的系统评价，未实施双人独立筛选与资料提取，未作前瞻性注册，未进行定量合并。3.7节的区间估计为作者推算，其一阶动力学假设、暴露分数取值与恒温假设均未经本品标定，跨数量级的区间宽度本身即是该模型缺乏分辨力的证明。最后，检索完成日期为2026年8月4日，此后发表的研究不在本文覆盖范围之内。</w:t>
      </w:r>
    </w:p>
    <w:p>
      <w:pPr>
        <w:spacing w:after="120" w:line="312" w:lineRule="auto" w:before="240"/>
      </w:pPr>
      <w:r>
        <w:rPr>
          <w:rFonts w:ascii="Times New Roman" w:hAnsi="Times New Roman" w:eastAsia="黑体"/>
          <w:b/>
          <w:i w:val="0"/>
          <w:color w:val="1A1A1A"/>
          <w:sz w:val="26"/>
        </w:rPr>
        <w:t>5 结论</w:t>
      </w:r>
    </w:p>
    <w:p>
      <w:pPr>
        <w:spacing w:after="120" w:line="360" w:lineRule="auto"/>
        <w:ind w:firstLine="420"/>
      </w:pPr>
      <w:r>
        <w:rPr>
          <w:rFonts w:ascii="Times New Roman" w:hAnsi="Times New Roman" w:eastAsia="宋体"/>
          <w:b w:val="0"/>
          <w:i w:val="0"/>
          <w:color w:val="1A1A1A"/>
          <w:sz w:val="21"/>
        </w:rPr>
        <w:t>速效救心丸开封后冰片含量下降，是机制上必然、方向上确定、幅度上未经测量的事件。游离龙脑25 ℃下30天近乎全损、40 ℃下30天全损，含龙脑固体剂型存在升华损失，这些结论均有实测依据</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，据此支持的方向性判断证据强度为中等。</w:t>
      </w:r>
    </w:p>
    <w:p>
      <w:pPr>
        <w:spacing w:after="120" w:line="360" w:lineRule="auto"/>
        <w:ind w:firstLine="420"/>
      </w:pPr>
      <w:r>
        <w:rPr>
          <w:rFonts w:ascii="Times New Roman" w:hAnsi="Times New Roman" w:eastAsia="宋体"/>
          <w:b w:val="0"/>
          <w:i w:val="0"/>
          <w:color w:val="1A1A1A"/>
          <w:sz w:val="21"/>
        </w:rPr>
        <w:t>开封瓶内滴丸的冰片损失速率取决于基质、温度、开瓶频率与瓶内顶空，本研究未发现任何直接测定。作者的一阶动力学区间估计给出3～6个月残留比例约0%～96%，跨越数量级，无法区分3个月与6个月；该估计是敏感性推算而非测量，不构成任何使用期限的依据。</w:t>
      </w:r>
    </w:p>
    <w:p>
      <w:pPr>
        <w:spacing w:after="120" w:line="360" w:lineRule="auto"/>
        <w:ind w:firstLine="420"/>
      </w:pPr>
      <w:r>
        <w:rPr>
          <w:rFonts w:ascii="Times New Roman" w:hAnsi="Times New Roman" w:eastAsia="宋体"/>
          <w:b w:val="0"/>
          <w:i w:val="0"/>
          <w:color w:val="1A1A1A"/>
          <w:sz w:val="21"/>
        </w:rPr>
        <w:t>"开封后3～6个月内用完"这一说法，在本品说明书</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、可检索的规范层面规定与已发表稳定性研究中均未能追溯到可核验出处。其数值与舌下硝酸甘油片"每3～6个月更换"的临床惯例一致</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，最可能属于经验性迁移。该说法方向保守、可作为管理建议，但不应表述为具有实测或规范依据的规格。</w:t>
      </w:r>
    </w:p>
    <w:p>
      <w:pPr>
        <w:spacing w:after="120" w:line="360" w:lineRule="auto"/>
        <w:ind w:firstLine="420"/>
      </w:pPr>
      <w:r>
        <w:rPr>
          <w:rFonts w:ascii="Times New Roman" w:hAnsi="Times New Roman" w:eastAsia="宋体"/>
          <w:b w:val="0"/>
          <w:i w:val="0"/>
          <w:color w:val="1A1A1A"/>
          <w:sz w:val="21"/>
        </w:rPr>
        <w:t>现行说明书贮藏项"密封，置阴凉干燥处（不超过20 ℃）"规定的是未开封状态的保存条件，开封后使用期在现行说明书中未予规定，属于证据与规范的双重空白</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填补这一空白所需的不是更强的推断，而是一项以本品为对象、以开封后不同时间点的冰片含量为终点的实测研究。在此之前，患者层面应把握的要点是取用后立即盖紧瓶盖、按说明书条件贮存，并在突发且持续不退的胸痛时立即呼叫急救，不得因服药而延迟</w:t>
      </w:r>
      <w:r>
        <w:rPr>
          <w:rFonts w:ascii="Times New Roman" w:hAnsi="Times New Roman" w:eastAsia="宋体"/>
          <w:b w:val="0"/>
          <w:i w:val="0"/>
          <w:color w:val="1A1A1A"/>
          <w:sz w:val="21"/>
          <w:vertAlign w:val="superscript"/>
        </w:rPr>
        <w:t>[18]</w:t>
      </w:r>
      <w:r>
        <w:rPr>
          <w:rFonts w:ascii="Times New Roman" w:hAnsi="Times New Roman" w:eastAsia="宋体"/>
          <w:b w:val="0"/>
          <w:i w:val="0"/>
          <w:color w:val="1A1A1A"/>
          <w:sz w:val="21"/>
        </w:rPr>
        <w:t>。</w:t>
      </w:r>
    </w:p>
    <w:p>
      <w:pPr>
        <w:spacing w:after="120" w:line="312" w:lineRule="auto" w:before="240"/>
      </w:pPr>
      <w:r>
        <w:rPr>
          <w:rFonts w:ascii="Times New Roman" w:hAnsi="Times New Roman" w:eastAsia="黑体"/>
          <w:b/>
          <w:i w:val="0"/>
          <w:color w:val="1A1A1A"/>
          <w:sz w:val="24"/>
        </w:rPr>
        <w:t>参考文献</w:t>
      </w:r>
    </w:p>
    <w:p>
      <w:pPr>
        <w:spacing w:after="60" w:line="312" w:lineRule="auto"/>
        <w:ind w:left="510" w:hanging="510"/>
      </w:pPr>
      <w:r>
        <w:rPr>
          <w:rFonts w:ascii="Times New Roman" w:hAnsi="Times New Roman" w:eastAsia="宋体"/>
          <w:b w:val="0"/>
          <w:i w:val="0"/>
          <w:color w:val="1A1A1A"/>
          <w:sz w:val="18"/>
        </w:rPr>
        <w:t>[1]</w:t>
      </w:r>
      <w:r>
        <w:rPr>
          <w:rFonts w:ascii="Times New Roman" w:hAnsi="Times New Roman" w:eastAsia="宋体"/>
          <w:b w:val="0"/>
          <w:i w:val="0"/>
          <w:color w:val="1A1A1A"/>
          <w:sz w:val="18"/>
        </w:rPr>
        <w:t xml:space="preserve"> ZHAO Y C, BAI D M, YANG B Y, et al. Structure-based prediction of molecular interactions for stabilizing volatile drugs[J]. Pharmaceutics, 2026, 18(1): 111. DOI: 10.3390/pharmaceutics18010111.</w:t>
      </w:r>
    </w:p>
    <w:p>
      <w:pPr>
        <w:spacing w:after="60" w:line="312" w:lineRule="auto"/>
        <w:ind w:left="510" w:hanging="510"/>
      </w:pPr>
      <w:r>
        <w:rPr>
          <w:rFonts w:ascii="Times New Roman" w:hAnsi="Times New Roman" w:eastAsia="宋体"/>
          <w:b w:val="0"/>
          <w:i w:val="0"/>
          <w:color w:val="1A1A1A"/>
          <w:sz w:val="18"/>
        </w:rPr>
        <w:t>[2]</w:t>
      </w:r>
      <w:r>
        <w:rPr>
          <w:rFonts w:ascii="Times New Roman" w:hAnsi="Times New Roman" w:eastAsia="宋体"/>
          <w:b w:val="0"/>
          <w:i w:val="0"/>
          <w:color w:val="1A1A1A"/>
          <w:sz w:val="18"/>
        </w:rPr>
        <w:t xml:space="preserve"> LIU B N, MU K L, SHAO C L, et al. Ai-Fen solid dispersions: preparation, characterization, and enhanced therapeutic efficacy in a rat model of oral ulceration[J]. Pharmaceuticals, 2025, 19(1): 7. DOI: 10.3390/ph19010007.</w:t>
      </w:r>
    </w:p>
    <w:p>
      <w:pPr>
        <w:spacing w:after="60" w:line="312" w:lineRule="auto"/>
        <w:ind w:left="510" w:hanging="510"/>
      </w:pPr>
      <w:r>
        <w:rPr>
          <w:rFonts w:ascii="Times New Roman" w:hAnsi="Times New Roman" w:eastAsia="宋体"/>
          <w:b w:val="0"/>
          <w:i w:val="0"/>
          <w:color w:val="1A1A1A"/>
          <w:sz w:val="18"/>
        </w:rPr>
        <w:t>[3]</w:t>
      </w:r>
      <w:r>
        <w:rPr>
          <w:rFonts w:ascii="Times New Roman" w:hAnsi="Times New Roman" w:eastAsia="宋体"/>
          <w:b w:val="0"/>
          <w:i w:val="0"/>
          <w:color w:val="1A1A1A"/>
          <w:sz w:val="18"/>
        </w:rPr>
        <w:t xml:space="preserve"> LI S, ZHAN J G, WANG Y C, et al. Suxiao Jiuxin Pill attenuates acute myocardial ischemia via regulation of coronary artery tone[J]. Frontiers in Pharmacology, 2023, 14: 1104243. DOI: 10.3389/fphar.2023.1104243.</w:t>
      </w:r>
    </w:p>
    <w:p>
      <w:pPr>
        <w:spacing w:after="60" w:line="312" w:lineRule="auto"/>
        <w:ind w:left="510" w:hanging="510"/>
      </w:pPr>
      <w:r>
        <w:rPr>
          <w:rFonts w:ascii="Times New Roman" w:hAnsi="Times New Roman" w:eastAsia="宋体"/>
          <w:b w:val="0"/>
          <w:i w:val="0"/>
          <w:color w:val="1A1A1A"/>
          <w:sz w:val="18"/>
        </w:rPr>
        <w:t>[4]</w:t>
      </w:r>
      <w:r>
        <w:rPr>
          <w:rFonts w:ascii="Times New Roman" w:hAnsi="Times New Roman" w:eastAsia="宋体"/>
          <w:b w:val="0"/>
          <w:i w:val="0"/>
          <w:color w:val="1A1A1A"/>
          <w:sz w:val="18"/>
        </w:rPr>
        <w:t xml:space="preserve"> LU Z Q, ZHANG Y J, ZHUANG P W, et al. Protective effect of Suxiao Jiuxin Pill, a traditional Chinese medicine, against acute myocardial ischemia in dogs[J]. BMC Complementary and Alternative Medicine, 2015, 15: 397. DOI: 10.1186/s12906-015-0908-9.</w:t>
      </w:r>
    </w:p>
    <w:p>
      <w:pPr>
        <w:spacing w:after="60" w:line="312" w:lineRule="auto"/>
        <w:ind w:left="510" w:hanging="510"/>
      </w:pPr>
      <w:r>
        <w:rPr>
          <w:rFonts w:ascii="Times New Roman" w:hAnsi="Times New Roman" w:eastAsia="宋体"/>
          <w:b w:val="0"/>
          <w:i w:val="0"/>
          <w:color w:val="1A1A1A"/>
          <w:sz w:val="18"/>
        </w:rPr>
        <w:t>[5]</w:t>
      </w:r>
      <w:r>
        <w:rPr>
          <w:rFonts w:ascii="Times New Roman" w:hAnsi="Times New Roman" w:eastAsia="宋体"/>
          <w:b w:val="0"/>
          <w:i w:val="0"/>
          <w:color w:val="1A1A1A"/>
          <w:sz w:val="18"/>
        </w:rPr>
        <w:t xml:space="preserve"> Open-label study of the stability of sublingual nitroglycerin tablets in simulated real-life conditions[J]. American Journal of Cardiology, 2018. DOI: 10.1016/j.amjcard.2018.08.048. （原文作者信息未能取回）</w:t>
      </w:r>
    </w:p>
    <w:p>
      <w:pPr>
        <w:spacing w:after="60" w:line="312" w:lineRule="auto"/>
        <w:ind w:left="510" w:hanging="510"/>
      </w:pPr>
      <w:r>
        <w:rPr>
          <w:rFonts w:ascii="Times New Roman" w:hAnsi="Times New Roman" w:eastAsia="宋体"/>
          <w:b w:val="0"/>
          <w:i w:val="0"/>
          <w:color w:val="1A1A1A"/>
          <w:sz w:val="18"/>
        </w:rPr>
        <w:t>[6]</w:t>
      </w:r>
      <w:r>
        <w:rPr>
          <w:rFonts w:ascii="Times New Roman" w:hAnsi="Times New Roman" w:eastAsia="宋体"/>
          <w:b w:val="0"/>
          <w:i w:val="0"/>
          <w:color w:val="1A1A1A"/>
          <w:sz w:val="18"/>
        </w:rPr>
        <w:t xml:space="preserve"> Sublingual nitroglycerin. I. Comparative evaluation of the physical stability of commercially available tablets[J]. 1988. DOI: 10.1007/bf02219663. （原文刊名未能取回）</w:t>
      </w:r>
    </w:p>
    <w:p>
      <w:pPr>
        <w:spacing w:after="60" w:line="312" w:lineRule="auto"/>
        <w:ind w:left="510" w:hanging="510"/>
      </w:pPr>
      <w:r>
        <w:rPr>
          <w:rFonts w:ascii="Times New Roman" w:hAnsi="Times New Roman" w:eastAsia="宋体"/>
          <w:b w:val="0"/>
          <w:i w:val="0"/>
          <w:color w:val="1A1A1A"/>
          <w:sz w:val="18"/>
        </w:rPr>
        <w:t>[7]</w:t>
      </w:r>
      <w:r>
        <w:rPr>
          <w:rFonts w:ascii="Times New Roman" w:hAnsi="Times New Roman" w:eastAsia="宋体"/>
          <w:b w:val="0"/>
          <w:i w:val="0"/>
          <w:color w:val="1A1A1A"/>
          <w:sz w:val="18"/>
        </w:rPr>
        <w:t xml:space="preserve"> CHENG C, LIU X W, DU F F, et al. Sensitive assay for measurement of volatile borneol, isoborneol, and the metabolite camphor in rat pharmacokinetic study of Borneolum (Bingpian) and Borneolum syntheticum (synthetic Bingpian)[J]. Acta Pharmacologica Sinica, 2013. PMID: 23974515.</w:t>
      </w:r>
    </w:p>
    <w:p>
      <w:pPr>
        <w:spacing w:after="60" w:line="312" w:lineRule="auto"/>
        <w:ind w:left="510" w:hanging="510"/>
      </w:pPr>
      <w:r>
        <w:rPr>
          <w:rFonts w:ascii="Times New Roman" w:hAnsi="Times New Roman" w:eastAsia="宋体"/>
          <w:b w:val="0"/>
          <w:i w:val="0"/>
          <w:color w:val="1A1A1A"/>
          <w:sz w:val="18"/>
        </w:rPr>
        <w:t>[8]</w:t>
      </w:r>
      <w:r>
        <w:rPr>
          <w:rFonts w:ascii="Times New Roman" w:hAnsi="Times New Roman" w:eastAsia="宋体"/>
          <w:b w:val="0"/>
          <w:i w:val="0"/>
          <w:color w:val="1A1A1A"/>
          <w:sz w:val="18"/>
        </w:rPr>
        <w:t xml:space="preserve"> 津药达仁堂集团股份有限公司第六中药厂. 速效救心丸说明书[DB/OL]. 国家药品监督管理局药品说明书数据库</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https://www.nmpa.gov.cn/datasearch/home-index.html.</w:t>
      </w:r>
    </w:p>
    <w:p>
      <w:pPr>
        <w:spacing w:after="60" w:line="312" w:lineRule="auto"/>
        <w:ind w:left="510" w:hanging="510"/>
      </w:pPr>
      <w:r>
        <w:rPr>
          <w:rFonts w:ascii="Times New Roman" w:hAnsi="Times New Roman" w:eastAsia="宋体"/>
          <w:b w:val="0"/>
          <w:i w:val="0"/>
          <w:color w:val="1A1A1A"/>
          <w:sz w:val="18"/>
        </w:rPr>
        <w:t>[9]</w:t>
      </w:r>
      <w:r>
        <w:rPr>
          <w:rFonts w:ascii="Times New Roman" w:hAnsi="Times New Roman" w:eastAsia="宋体"/>
          <w:b w:val="0"/>
          <w:i w:val="0"/>
          <w:color w:val="1A1A1A"/>
          <w:sz w:val="18"/>
        </w:rPr>
        <w:t xml:space="preserve"> 上海和黄药业有限公司. 麝香保心丸说明书[DB/OL]. 国家药品监督管理局药品说明书数据库</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https://www.nmpa.gov.cn/datasearch/home-index.html.</w:t>
      </w:r>
    </w:p>
    <w:p>
      <w:pPr>
        <w:spacing w:after="60" w:line="312" w:lineRule="auto"/>
        <w:ind w:left="510" w:hanging="510"/>
      </w:pPr>
      <w:r>
        <w:rPr>
          <w:rFonts w:ascii="Times New Roman" w:hAnsi="Times New Roman" w:eastAsia="宋体"/>
          <w:b w:val="0"/>
          <w:i w:val="0"/>
          <w:color w:val="1A1A1A"/>
          <w:sz w:val="18"/>
        </w:rPr>
        <w:t>[10]</w:t>
      </w:r>
      <w:r>
        <w:rPr>
          <w:rFonts w:ascii="Times New Roman" w:hAnsi="Times New Roman" w:eastAsia="宋体"/>
          <w:b w:val="0"/>
          <w:i w:val="0"/>
          <w:color w:val="1A1A1A"/>
          <w:sz w:val="18"/>
        </w:rPr>
        <w:t xml:space="preserve"> 天士力医药集团股份有限公司. 复方丹参滴丸说明书[DB/OL]. 国家药品监督管理局药品说明书数据库</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https://www.nmpa.gov.cn/datasearch/home-index.html.</w:t>
      </w:r>
    </w:p>
    <w:p>
      <w:pPr>
        <w:spacing w:after="60" w:line="312" w:lineRule="auto"/>
        <w:ind w:left="510" w:hanging="510"/>
      </w:pPr>
      <w:r>
        <w:rPr>
          <w:rFonts w:ascii="Times New Roman" w:hAnsi="Times New Roman" w:eastAsia="宋体"/>
          <w:b w:val="0"/>
          <w:i w:val="0"/>
          <w:color w:val="1A1A1A"/>
          <w:sz w:val="18"/>
        </w:rPr>
        <w:t>[11]</w:t>
      </w:r>
      <w:r>
        <w:rPr>
          <w:rFonts w:ascii="Times New Roman" w:hAnsi="Times New Roman" w:eastAsia="宋体"/>
          <w:b w:val="0"/>
          <w:i w:val="0"/>
          <w:color w:val="1A1A1A"/>
          <w:sz w:val="18"/>
        </w:rPr>
        <w:t xml:space="preserve"> 硝酸甘油片说明书（多厂商）[DB/OL]. 国家药品监督管理局药品说明书数据库</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https://www.nmpa.gov.cn/datasearch/home-index.html.</w:t>
      </w:r>
    </w:p>
    <w:p>
      <w:pPr>
        <w:spacing w:after="60" w:line="312" w:lineRule="auto"/>
        <w:ind w:left="510" w:hanging="510"/>
      </w:pPr>
      <w:r>
        <w:rPr>
          <w:rFonts w:ascii="Times New Roman" w:hAnsi="Times New Roman" w:eastAsia="宋体"/>
          <w:b w:val="0"/>
          <w:i w:val="0"/>
          <w:color w:val="1A1A1A"/>
          <w:sz w:val="18"/>
        </w:rPr>
        <w:t>[12]</w:t>
      </w:r>
      <w:r>
        <w:rPr>
          <w:rFonts w:ascii="Times New Roman" w:hAnsi="Times New Roman" w:eastAsia="宋体"/>
          <w:b w:val="0"/>
          <w:i w:val="0"/>
          <w:color w:val="1A1A1A"/>
          <w:sz w:val="18"/>
        </w:rPr>
        <w:t xml:space="preserve"> 中国中西医结合学会心血管病专业委员会, 等. 速效救心丸治疗冠心病中国专家共识[Z]. 2019.</w:t>
      </w:r>
    </w:p>
    <w:p>
      <w:pPr>
        <w:spacing w:after="60" w:line="312" w:lineRule="auto"/>
        <w:ind w:left="510" w:hanging="510"/>
      </w:pPr>
      <w:r>
        <w:rPr>
          <w:rFonts w:ascii="Times New Roman" w:hAnsi="Times New Roman" w:eastAsia="宋体"/>
          <w:b w:val="0"/>
          <w:i w:val="0"/>
          <w:color w:val="1A1A1A"/>
          <w:sz w:val="18"/>
        </w:rPr>
        <w:t>[13]</w:t>
      </w:r>
      <w:r>
        <w:rPr>
          <w:rFonts w:ascii="Times New Roman" w:hAnsi="Times New Roman" w:eastAsia="宋体"/>
          <w:b w:val="0"/>
          <w:i w:val="0"/>
          <w:color w:val="1A1A1A"/>
          <w:sz w:val="18"/>
        </w:rPr>
        <w:t xml:space="preserve"> SHANG Y, ZHU Y, ZHOU S, et al. A UPLC-MS/MS coupled with GC-MS method for quantification of twenty-one chemical ingredients from Suxiao Jiuxin pill in multiple tissue of rat and its application to tissue distribution study[J]. Journal of Pharmaceutical and Biomedical Analysis, 2024. PMID: 39255555.</w:t>
      </w:r>
    </w:p>
    <w:p>
      <w:pPr>
        <w:spacing w:after="60" w:line="312" w:lineRule="auto"/>
        <w:ind w:left="510" w:hanging="510"/>
      </w:pPr>
      <w:r>
        <w:rPr>
          <w:rFonts w:ascii="Times New Roman" w:hAnsi="Times New Roman" w:eastAsia="宋体"/>
          <w:b w:val="0"/>
          <w:i w:val="0"/>
          <w:color w:val="1A1A1A"/>
          <w:sz w:val="18"/>
        </w:rPr>
        <w:t>[14]</w:t>
      </w:r>
      <w:r>
        <w:rPr>
          <w:rFonts w:ascii="Times New Roman" w:hAnsi="Times New Roman" w:eastAsia="宋体"/>
          <w:b w:val="0"/>
          <w:i w:val="0"/>
          <w:color w:val="1A1A1A"/>
          <w:sz w:val="18"/>
        </w:rPr>
        <w:t xml:space="preserve"> SUN Y L, YAO Y L, JIA M J, et al. Evaluation of the efficacy and safety of Suxiao Jiuxin Pill in the treatment of stable angina: a randomized, double-blind, placebo-controlled, multi-center clinical trial[J]. Journal of Ethnopharmacology, 2023. PMID: 37487965.</w:t>
      </w:r>
    </w:p>
    <w:p>
      <w:pPr>
        <w:spacing w:after="60" w:line="312" w:lineRule="auto"/>
        <w:ind w:left="510" w:hanging="510"/>
      </w:pPr>
      <w:r>
        <w:rPr>
          <w:rFonts w:ascii="Times New Roman" w:hAnsi="Times New Roman" w:eastAsia="宋体"/>
          <w:b w:val="0"/>
          <w:i w:val="0"/>
          <w:color w:val="1A1A1A"/>
          <w:sz w:val="18"/>
        </w:rPr>
        <w:t>[15]</w:t>
      </w:r>
      <w:r>
        <w:rPr>
          <w:rFonts w:ascii="Times New Roman" w:hAnsi="Times New Roman" w:eastAsia="宋体"/>
          <w:b w:val="0"/>
          <w:i w:val="0"/>
          <w:color w:val="1A1A1A"/>
          <w:sz w:val="18"/>
        </w:rPr>
        <w:t xml:space="preserve"> XIE R F, FENG Y M, LI S N, et al. Effects of different storage times on the stability of 12 traditional Chinese medicine decoction pieces[J]. Journal of Chromatographic Science, 2024. PMID: 38751210.</w:t>
      </w:r>
    </w:p>
    <w:p>
      <w:pPr>
        <w:spacing w:after="60" w:line="312" w:lineRule="auto"/>
        <w:ind w:left="510" w:hanging="510"/>
      </w:pPr>
      <w:r>
        <w:rPr>
          <w:rFonts w:ascii="Times New Roman" w:hAnsi="Times New Roman" w:eastAsia="宋体"/>
          <w:b w:val="0"/>
          <w:i w:val="0"/>
          <w:color w:val="1A1A1A"/>
          <w:sz w:val="18"/>
        </w:rPr>
        <w:t>[16]</w:t>
      </w:r>
      <w:r>
        <w:rPr>
          <w:rFonts w:ascii="Times New Roman" w:hAnsi="Times New Roman" w:eastAsia="宋体"/>
          <w:b w:val="0"/>
          <w:i w:val="0"/>
          <w:color w:val="1A1A1A"/>
          <w:sz w:val="18"/>
        </w:rPr>
        <w:t xml:space="preserve"> National Center for Biotechnology Information. Borneol (compound summary, CID 64685)[DB/OL]. PubChem</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https://pubchem.ncbi.nlm.nih.gov/compound/64685.</w:t>
      </w:r>
    </w:p>
    <w:p>
      <w:pPr>
        <w:spacing w:after="60" w:line="312" w:lineRule="auto"/>
        <w:ind w:left="510" w:hanging="510"/>
      </w:pPr>
      <w:r>
        <w:rPr>
          <w:rFonts w:ascii="Times New Roman" w:hAnsi="Times New Roman" w:eastAsia="宋体"/>
          <w:b w:val="0"/>
          <w:i w:val="0"/>
          <w:color w:val="1A1A1A"/>
          <w:sz w:val="18"/>
        </w:rPr>
        <w:t>[17]</w:t>
      </w:r>
      <w:r>
        <w:rPr>
          <w:rFonts w:ascii="Times New Roman" w:hAnsi="Times New Roman" w:eastAsia="宋体"/>
          <w:b w:val="0"/>
          <w:i w:val="0"/>
          <w:color w:val="1A1A1A"/>
          <w:sz w:val="18"/>
        </w:rPr>
        <w:t xml:space="preserve"> U.S. National Library of Medicine. NITROSTAT (nitroglycerin) sublingual tablets: DailyMed SPL labels[DB/OL]. DailyMed</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https://dailymed.nlm.nih.gov/dailymed/.</w:t>
      </w:r>
    </w:p>
    <w:p>
      <w:pPr>
        <w:spacing w:after="60" w:line="312" w:lineRule="auto"/>
        <w:ind w:left="510" w:hanging="510"/>
      </w:pPr>
      <w:r>
        <w:rPr>
          <w:rFonts w:ascii="Times New Roman" w:hAnsi="Times New Roman" w:eastAsia="宋体"/>
          <w:b w:val="0"/>
          <w:i w:val="0"/>
          <w:color w:val="1A1A1A"/>
          <w:sz w:val="18"/>
        </w:rPr>
        <w:t>[18]</w:t>
      </w:r>
      <w:r>
        <w:rPr>
          <w:rFonts w:ascii="Times New Roman" w:hAnsi="Times New Roman" w:eastAsia="宋体"/>
          <w:b w:val="0"/>
          <w:i w:val="0"/>
          <w:color w:val="1A1A1A"/>
          <w:sz w:val="18"/>
        </w:rPr>
        <w:t xml:space="preserve"> National Health Service. Chest pain[EB/OL]. (2023-08-08)</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https://www.nhs.uk/symptoms/chest-pain/.</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