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12" w:lineRule="auto"/>
        <w:jc w:val="center"/>
      </w:pPr>
      <w:r>
        <w:rPr>
          <w:rFonts w:ascii="Times New Roman" w:hAnsi="Times New Roman" w:eastAsia="黑体"/>
          <w:b/>
          <w:i w:val="0"/>
          <w:color w:val="1A1A1A"/>
          <w:sz w:val="30"/>
        </w:rPr>
        <w:t>院外未分化急性胸痛的用药决策：硝酸甘油与速效救心丸的证据评价及 ALDH2 rs671 的人群药理学意义</w:t>
      </w:r>
    </w:p>
    <w:p>
      <w:pPr>
        <w:spacing w:after="240" w:line="360" w:lineRule="auto"/>
        <w:jc w:val="center"/>
      </w:pPr>
      <w:r>
        <w:rPr>
          <w:rFonts w:ascii="Times New Roman" w:hAnsi="Times New Roman" w:eastAsia="宋体"/>
          <w:b/>
          <w:i w:val="0"/>
          <w:color w:val="1A1A1A"/>
          <w:sz w:val="24"/>
        </w:rPr>
        <w:t>Medication decisions in out-of-hospital undifferentiated acute chest pain: an evidence appraisal of sublingual nitroglycerin versus Suxiao Jiuxin Wan, with attention to the population pharmacogenetics of ALDH2 rs671</w:t>
      </w:r>
    </w:p>
    <w:p>
      <w:pPr>
        <w:spacing w:after="120" w:line="312" w:lineRule="auto" w:before="240"/>
      </w:pPr>
      <w:r>
        <w:rPr>
          <w:rFonts w:ascii="Times New Roman" w:hAnsi="Times New Roman" w:eastAsia="黑体"/>
          <w:b/>
          <w:i w:val="0"/>
          <w:color w:val="1A1A1A"/>
          <w:sz w:val="24"/>
        </w:rPr>
        <w:t>摘要</w:t>
      </w:r>
    </w:p>
    <w:p>
      <w:pPr>
        <w:spacing w:after="120" w:line="360" w:lineRule="auto"/>
      </w:pPr>
      <w:r>
        <w:rPr>
          <w:rFonts w:ascii="Times New Roman" w:hAnsi="Times New Roman" w:eastAsia="宋体"/>
          <w:b/>
          <w:i w:val="0"/>
          <w:color w:val="1A1A1A"/>
          <w:sz w:val="21"/>
        </w:rPr>
        <w:t>目的</w:t>
      </w:r>
      <w:r>
        <w:rPr>
          <w:rFonts w:ascii="Times New Roman" w:hAnsi="Times New Roman" w:eastAsia="宋体"/>
          <w:b w:val="0"/>
          <w:i w:val="0"/>
          <w:color w:val="1A1A1A"/>
          <w:sz w:val="21"/>
        </w:rPr>
        <w:t xml:space="preserve"> 评价"院外急性胸痛应先含服硝酸甘油还是速效救心丸"这一问题的证据基础，检验症状对含服药物的反应能否用于病因判别，并厘清两药在该场景的证据边界。</w:t>
      </w:r>
      <w:r>
        <w:rPr>
          <w:rFonts w:ascii="Times New Roman" w:hAnsi="Times New Roman" w:eastAsia="宋体"/>
          <w:b/>
          <w:i w:val="0"/>
          <w:color w:val="1A1A1A"/>
          <w:sz w:val="21"/>
        </w:rPr>
        <w:t>方法</w:t>
      </w:r>
      <w:r>
        <w:rPr>
          <w:rFonts w:ascii="Times New Roman" w:hAnsi="Times New Roman" w:eastAsia="宋体"/>
          <w:b w:val="0"/>
          <w:i w:val="0"/>
          <w:color w:val="1A1A1A"/>
          <w:sz w:val="21"/>
        </w:rPr>
        <w:t xml:space="preserve"> 于2026年8月1日检索PubMed、Crossref与中英文临床指南索引，开放获取全文经PubMed Central与Europe PMC取得，检索式覆盖硝酸甘油症状反应的诊断价值、ALDH2 rs671的分布与药效学、速效救心丸随机对照证据的人群与疗程、院前延迟与结局、到院评估路径五个证据域；对纳入来源评价设计、偏倚风险与直接性，并按可核验、未能核验、无出处与证据缺口四类标注论断。本文为证据评价型综述，未行双人独立筛选与前瞻注册。</w:t>
      </w:r>
      <w:r>
        <w:rPr>
          <w:rFonts w:ascii="Times New Roman" w:hAnsi="Times New Roman" w:eastAsia="宋体"/>
          <w:b/>
          <w:i w:val="0"/>
          <w:color w:val="1A1A1A"/>
          <w:sz w:val="21"/>
        </w:rPr>
        <w:t>结果</w:t>
      </w:r>
      <w:r>
        <w:rPr>
          <w:rFonts w:ascii="Times New Roman" w:hAnsi="Times New Roman" w:eastAsia="宋体"/>
          <w:b w:val="0"/>
          <w:i w:val="0"/>
          <w:color w:val="1A1A1A"/>
          <w:sz w:val="21"/>
        </w:rPr>
        <w:t xml:space="preserve"> 检出记录140条，去重后13条进入证据综合，共引用19条来源。三项独立观察性研究一致表明，含服硝酸甘油后胸痛缓解不能区分心源性与非心源性病因；急诊人群中其灵敏度为72%（64%~80%）、特异度为37%（34%~41%）。ALDH2 rs671为中国人群特异性常见功能变异，A等位基因频率0.21，按Hardy–Weinberg平衡推算约37.6%的中国人至少携带一个活性降低等位基因。速效救心丸质量最高的随机对照证据针对确诊冠心病的稳定型心绞痛，用法为每日3次口服、疗程24周。全国性数据显示70.7%的急性心肌梗死患者院前延迟≥2小时，该延迟与ST段抬高型心肌梗死院内死亡风险增加相关（OR=1.36，95%CI 1.09~1.69）。</w:t>
      </w:r>
      <w:r>
        <w:rPr>
          <w:rFonts w:ascii="Times New Roman" w:hAnsi="Times New Roman" w:eastAsia="宋体"/>
          <w:b/>
          <w:i w:val="0"/>
          <w:color w:val="1A1A1A"/>
          <w:sz w:val="21"/>
        </w:rPr>
        <w:t>结论</w:t>
      </w:r>
      <w:r>
        <w:rPr>
          <w:rFonts w:ascii="Times New Roman" w:hAnsi="Times New Roman" w:eastAsia="宋体"/>
          <w:b w:val="0"/>
          <w:i w:val="0"/>
          <w:color w:val="1A1A1A"/>
          <w:sz w:val="21"/>
        </w:rPr>
        <w:t xml:space="preserve"> 对未分化的急性胸痛，两药均不具备病因判别价值；ALDH2 rs671的高频分布进一步削弱该反应的信号价值。院外阶段可控的变量是时间而非药物品类，任何自救用药不得延迟呼叫急救。</w:t>
      </w:r>
    </w:p>
    <w:p>
      <w:pPr>
        <w:spacing w:after="120" w:line="360" w:lineRule="auto"/>
      </w:pPr>
      <w:r>
        <w:rPr>
          <w:rFonts w:ascii="Times New Roman" w:hAnsi="Times New Roman" w:eastAsia="宋体"/>
          <w:b/>
          <w:i w:val="0"/>
          <w:color w:val="1A1A1A"/>
          <w:sz w:val="21"/>
        </w:rPr>
        <w:t>关键词：</w:t>
      </w:r>
      <w:r>
        <w:rPr>
          <w:rFonts w:ascii="Times New Roman" w:hAnsi="Times New Roman" w:eastAsia="宋体"/>
          <w:b w:val="0"/>
          <w:i w:val="0"/>
          <w:color w:val="1A1A1A"/>
          <w:sz w:val="21"/>
        </w:rPr>
        <w:t xml:space="preserve"> 急性胸痛；硝酸甘油；速效救心丸；ALDH2 rs671；院前延迟；证据评价</w:t>
      </w:r>
    </w:p>
    <w:p>
      <w:pPr>
        <w:spacing w:after="120" w:line="312" w:lineRule="auto" w:before="240"/>
      </w:pPr>
      <w:r>
        <w:rPr>
          <w:rFonts w:ascii="Times New Roman" w:hAnsi="Times New Roman" w:eastAsia="黑体"/>
          <w:b/>
          <w:i w:val="0"/>
          <w:color w:val="1A1A1A"/>
          <w:sz w:val="24"/>
        </w:rPr>
        <w:t>Abstract</w:t>
      </w:r>
    </w:p>
    <w:p>
      <w:pPr>
        <w:spacing w:after="120" w:line="360" w:lineRule="auto"/>
      </w:pPr>
      <w:r>
        <w:rPr>
          <w:rFonts w:ascii="Times New Roman" w:hAnsi="Times New Roman" w:eastAsia="宋体"/>
          <w:b/>
          <w:i w:val="0"/>
          <w:color w:val="1A1A1A"/>
          <w:sz w:val="21"/>
        </w:rPr>
        <w:t>Objective</w:t>
      </w:r>
      <w:r>
        <w:rPr>
          <w:rFonts w:ascii="Times New Roman" w:hAnsi="Times New Roman" w:eastAsia="宋体"/>
          <w:b w:val="0"/>
          <w:i w:val="0"/>
          <w:color w:val="1A1A1A"/>
          <w:sz w:val="21"/>
        </w:rPr>
        <w:t xml:space="preserve"> To appraise the evidence underlying the widely posed question of whether sublingual nitroglycerin or Suxiao Jiuxin Wan should be taken first when acute chest pain occurs outside hospital, to test whether the symptomatic response to a sublingual agent carries etiological discriminative value, and to delineate the evidentiary boundaries of both drugs in this setting. </w:t>
      </w:r>
      <w:r>
        <w:rPr>
          <w:rFonts w:ascii="Times New Roman" w:hAnsi="Times New Roman" w:eastAsia="宋体"/>
          <w:b/>
          <w:i w:val="0"/>
          <w:color w:val="1A1A1A"/>
          <w:sz w:val="21"/>
        </w:rPr>
        <w:t>Methods</w:t>
      </w:r>
      <w:r>
        <w:rPr>
          <w:rFonts w:ascii="Times New Roman" w:hAnsi="Times New Roman" w:eastAsia="宋体"/>
          <w:b w:val="0"/>
          <w:i w:val="0"/>
          <w:color w:val="1A1A1A"/>
          <w:sz w:val="21"/>
        </w:rPr>
        <w:t xml:space="preserve"> On 1 August 2026, PubMed, Crossref and a bilingual clinical guideline index were searched, with open-access full texts retrieved through PubMed Central and Europe PMC. Search strings were built around five evidence domains: the diagnostic value of the symptomatic response to nitroglycerin; the population distribution and pharmacodynamic effect of ALDH2 rs671; the population, regimen and therapeutic role of the existing randomized evidence for Suxiao Jiuxin Wan; prehospital delay and outcomes; and the in-hospital assessment pathway. Included sources were appraised for study design, risk of bias, directness, precision, currency and applicability, and every key statement was labelled as verifiable, not verifiable, without a traceable source, or an evidence gap. This work is an evidence appraisal and decision-framework review based on a systematic search; it did not employ duplicate independent screening and was not prospectively registered. </w:t>
      </w:r>
      <w:r>
        <w:rPr>
          <w:rFonts w:ascii="Times New Roman" w:hAnsi="Times New Roman" w:eastAsia="宋体"/>
          <w:b/>
          <w:i w:val="0"/>
          <w:color w:val="1A1A1A"/>
          <w:sz w:val="21"/>
        </w:rPr>
        <w:t>Results</w:t>
      </w:r>
      <w:r>
        <w:rPr>
          <w:rFonts w:ascii="Times New Roman" w:hAnsi="Times New Roman" w:eastAsia="宋体"/>
          <w:b w:val="0"/>
          <w:i w:val="0"/>
          <w:color w:val="1A1A1A"/>
          <w:sz w:val="21"/>
        </w:rPr>
        <w:t xml:space="preserve"> Of 140 records identified, 13 sources entered evidence synthesis; 19 sources are cited in total, including four guidelines or consensus statements. Three independent observational studies concur that relief of chest pain after sublingual nitroglycerin does not distinguish cardiac from non-cardiac causes; in an emergency department population the sensitivity of this response for cardiac chest pain was 72% (64%–80%) and the specificity 37% (34%–41%), with the interval type not stated in the available source record. ALDH2 rs671 is a common functional variant specific to Chinese populations, with an A-allele frequency of 0.21; under Hardy–Weinberg equilibrium approximately 37.6% of Chinese individuals are estimated to carry at least one reduced-activity allele. The highest-quality randomized evidence for Suxiao Jiuxin Wan addresses stable angina in patients with established coronary heart disease, using five pills three times daily for 24 weeks. Nationwide data show that 70.7% of patients with acute myocardial infarction had a prehospital delay of at least 2 hours, which was associated with increased in-hospital mortality in ST-segment elevation myocardial infarction (OR=1.36, 95%CI 1.09–1.69). </w:t>
      </w:r>
      <w:r>
        <w:rPr>
          <w:rFonts w:ascii="Times New Roman" w:hAnsi="Times New Roman" w:eastAsia="宋体"/>
          <w:b/>
          <w:i w:val="0"/>
          <w:color w:val="1A1A1A"/>
          <w:sz w:val="21"/>
        </w:rPr>
        <w:t>Conclusion</w:t>
      </w:r>
      <w:r>
        <w:rPr>
          <w:rFonts w:ascii="Times New Roman" w:hAnsi="Times New Roman" w:eastAsia="宋体"/>
          <w:b w:val="0"/>
          <w:i w:val="0"/>
          <w:color w:val="1A1A1A"/>
          <w:sz w:val="21"/>
        </w:rPr>
        <w:t xml:space="preserve"> For undifferentiated acute chest pain neither drug has etiological discriminative value, and the high frequency of ALDH2 rs671 further degrades the signal value of the symptomatic response to nitroglycerin. The controllable variable outside hospital is time rather than the choice of drug, and no self-administered medication may delay the call for emergency medical services.</w:t>
      </w:r>
    </w:p>
    <w:p>
      <w:pPr>
        <w:spacing w:after="120" w:line="360" w:lineRule="auto"/>
      </w:pPr>
      <w:r>
        <w:rPr>
          <w:rFonts w:ascii="Times New Roman" w:hAnsi="Times New Roman" w:eastAsia="宋体"/>
          <w:b/>
          <w:i w:val="0"/>
          <w:color w:val="1A1A1A"/>
          <w:sz w:val="21"/>
        </w:rPr>
        <w:t>Keywords:</w:t>
      </w:r>
      <w:r>
        <w:rPr>
          <w:rFonts w:ascii="Times New Roman" w:hAnsi="Times New Roman" w:eastAsia="宋体"/>
          <w:b w:val="0"/>
          <w:i w:val="0"/>
          <w:color w:val="1A1A1A"/>
          <w:sz w:val="21"/>
        </w:rPr>
        <w:t xml:space="preserve"> Acute chest pain; Nitroglycerin; Suxiao Jiuxin Wan; ALDH2 rs671; Prehospital delay; Evidence appraisal</w:t>
      </w:r>
    </w:p>
    <w:p>
      <w:pPr>
        <w:spacing w:after="120" w:line="312" w:lineRule="auto" w:before="240"/>
      </w:pPr>
      <w:r>
        <w:rPr>
          <w:rFonts w:ascii="Times New Roman" w:hAnsi="Times New Roman" w:eastAsia="黑体"/>
          <w:b/>
          <w:i w:val="0"/>
          <w:color w:val="1A1A1A"/>
          <w:sz w:val="26"/>
        </w:rPr>
        <w:t>1 引言</w:t>
      </w:r>
    </w:p>
    <w:p>
      <w:pPr>
        <w:spacing w:after="120" w:line="360" w:lineRule="auto"/>
        <w:ind w:firstLine="420"/>
      </w:pPr>
      <w:r>
        <w:rPr>
          <w:rFonts w:ascii="Times New Roman" w:hAnsi="Times New Roman" w:eastAsia="宋体"/>
          <w:b w:val="0"/>
          <w:i w:val="0"/>
          <w:color w:val="1A1A1A"/>
          <w:sz w:val="21"/>
        </w:rPr>
        <w:t>急性胸痛是急诊科最常见的就诊原因之一，其病因谱从致命性急症延伸到良性病因。中华医学会急诊医学分会发布的专家共识明确列举急性冠脉综合征、主动脉夹层、肺栓塞与张力性气胸为需要立即甄别的致命性胸痛</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。与之相对的是院外阶段可获得的判别信息极为有限：仅凭症状性质、部位与放射痛等临床表现对病因进行判别，其灵敏度与特异度均不理想</w:t>
      </w:r>
      <w:r>
        <w:rPr>
          <w:rFonts w:ascii="Times New Roman" w:hAnsi="Times New Roman" w:eastAsia="宋体"/>
          <w:b w:val="0"/>
          <w:i w:val="0"/>
          <w:color w:val="1A1A1A"/>
          <w:sz w:val="21"/>
          <w:vertAlign w:val="superscript"/>
        </w:rPr>
        <w:t>[2]</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这一判别难题在中国具有特殊的紧迫性，因为相当大比例的关键决策实际上发生在院外、由患者与家属自行完成。基于33 386例急性心肌梗死患者的全国性注册数据显示，70.7%的患者院前延迟达到或超过2小时，院前延迟中位数为3.3小时；ST段抬高型心肌梗死患者的院前延迟达到或超过2小时与院内死亡风险增加相关，比值比为1.36（95%CI 1.09~1.69，P=0.006）；超过80%的患者未呼叫救护车</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。换言之，在多数病例中，从症状发作到进入可实施客观检查的环境之间，存在一段以小时计、且完全由非专业判断填充的时间窗。</w:t>
      </w:r>
    </w:p>
    <w:p>
      <w:pPr>
        <w:spacing w:after="120" w:line="360" w:lineRule="auto"/>
        <w:ind w:firstLine="420"/>
      </w:pPr>
      <w:r>
        <w:rPr>
          <w:rFonts w:ascii="Times New Roman" w:hAnsi="Times New Roman" w:eastAsia="宋体"/>
          <w:b w:val="0"/>
          <w:i w:val="0"/>
          <w:color w:val="1A1A1A"/>
          <w:sz w:val="21"/>
        </w:rPr>
        <w:t>公众在这段时间窗内最常提出的问题，是"先含硝酸甘油还是先含速效救心丸"。该提问方式隐含三个可以逐一检验的前提：其一，含服后的症状变化能够提示病因；其二，在两种药物之间选中正确者可以改善结局；其三，自我处置是一条与就医并行的合理路径。这三个前提共同构成一条在公众认知中相当稳固的推理链——含服后缓解即为心脏问题、应当就医，未缓解则可排除心脏问题、不必就医——而这条推理链的本质，是把院外阶段当作诊断阶段来经营。</w:t>
      </w:r>
    </w:p>
    <w:p>
      <w:pPr>
        <w:spacing w:after="120" w:line="360" w:lineRule="auto"/>
        <w:ind w:firstLine="420"/>
      </w:pPr>
      <w:r>
        <w:rPr>
          <w:rFonts w:ascii="Times New Roman" w:hAnsi="Times New Roman" w:eastAsia="宋体"/>
          <w:b w:val="0"/>
          <w:i w:val="0"/>
          <w:color w:val="1A1A1A"/>
          <w:sz w:val="21"/>
        </w:rPr>
        <w:t>在中国人群中还存在一层常被忽视的药理学背景。硝酸甘油并非直接起效，而需经线粒体乙醛脱氢酶2（ALDH2）催化转化为一氧化氮方能发挥血管舒张作用</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；编码该酶的ALDH2基因rs671位点则是中国人群特异性的常见功能变异</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。这意味着以欧美人群为证据来源的用药推断，在中国人群中未必可直接沿用。</w:t>
      </w:r>
    </w:p>
    <w:p>
      <w:pPr>
        <w:spacing w:after="120" w:line="360" w:lineRule="auto"/>
        <w:ind w:firstLine="420"/>
      </w:pPr>
      <w:r>
        <w:rPr>
          <w:rFonts w:ascii="Times New Roman" w:hAnsi="Times New Roman" w:eastAsia="宋体"/>
          <w:b w:val="0"/>
          <w:i w:val="0"/>
          <w:color w:val="1A1A1A"/>
          <w:sz w:val="21"/>
        </w:rPr>
        <w:t>本文以系统性检索为基础，对上述问题的证据进行评价，目的不在于在两种药物之间作出优选，而在于检验提问方式本身能否成立，并给出一个与现有证据相称的院外决策框架。体裁需预先说明：本文是证据评价与决策框架型综述，不是依PRISMA流程完成的系统评价。全文按证据域组织结果，并对每条关键论断标注其可核验状态。</w:t>
      </w:r>
    </w:p>
    <w:p>
      <w:pPr>
        <w:spacing w:after="120" w:line="312" w:lineRule="auto" w:before="240"/>
      </w:pPr>
      <w:r>
        <w:rPr>
          <w:rFonts w:ascii="Times New Roman" w:hAnsi="Times New Roman" w:eastAsia="黑体"/>
          <w:b/>
          <w:i w:val="0"/>
          <w:color w:val="1A1A1A"/>
          <w:sz w:val="26"/>
        </w:rPr>
        <w:t>2 资料与方法</w:t>
      </w:r>
    </w:p>
    <w:p>
      <w:pPr>
        <w:spacing w:after="80" w:line="312" w:lineRule="auto" w:before="160"/>
      </w:pPr>
      <w:r>
        <w:rPr>
          <w:rFonts w:ascii="Times New Roman" w:hAnsi="Times New Roman" w:eastAsia="黑体"/>
          <w:b/>
          <w:i w:val="0"/>
          <w:color w:val="1A1A1A"/>
          <w:sz w:val="22"/>
        </w:rPr>
        <w:t>2.1 检索策略</w:t>
      </w:r>
    </w:p>
    <w:p>
      <w:pPr>
        <w:spacing w:after="120" w:line="360" w:lineRule="auto"/>
        <w:ind w:firstLine="420"/>
      </w:pPr>
      <w:r>
        <w:rPr>
          <w:rFonts w:ascii="Times New Roman" w:hAnsi="Times New Roman" w:eastAsia="宋体"/>
          <w:b w:val="0"/>
          <w:i w:val="0"/>
          <w:color w:val="1A1A1A"/>
          <w:sz w:val="21"/>
        </w:rPr>
        <w:t>检索于2026年8月1日执行，共完成18次检索。文献来源为PubMed（含结构化生物医学检索接口）与Crossref，指南来源为中英文临床指南索引，开放获取原文经PubMed Central与Europe PMC取得。检索未设年限限制，中英文同义词并用。</w:t>
      </w:r>
    </w:p>
    <w:p>
      <w:pPr>
        <w:spacing w:after="120" w:line="360" w:lineRule="auto"/>
        <w:ind w:firstLine="420"/>
      </w:pPr>
      <w:r>
        <w:rPr>
          <w:rFonts w:ascii="Times New Roman" w:hAnsi="Times New Roman" w:eastAsia="宋体"/>
          <w:b w:val="0"/>
          <w:i w:val="0"/>
          <w:color w:val="1A1A1A"/>
          <w:sz w:val="21"/>
        </w:rPr>
        <w:t>检索式按五个证据域构建。域一为硝酸甘油症状反应的诊断价值，使用"nitroglycerin relieves chest pain diagnostic test coronary disease""nitroglycerin sublingual chest pain diagnostic discrimination""nitroglycerin response diagnostic value acute chest pain cardiac versus noncardiac""nitroglycerin chest pain relief diagnostic meta-analysis systematic review"、Crossref检索式"nitroglycerin sublingual acute chest pain emergency department diagnostic value"与中文检索式"胸痛 硝酸甘油 诊断 鉴别 心脏"。域二为ALDH2 rs671与硝酸甘油疗效，使用"ALDH2 polymorphism nitroglycerin response efficacy""ALDH2 rs671 polymorphism Chinese population nitroglycerin efficacy""ALDH2 rs671 frequency Chinese Han population"及结构化检索式"ALDH2"与"rs671"联合变异等位基因频率的东亚与中国人群限定。域三为速效救心丸的随机对照证据，使用"Suxiao Jiuxin Wan randomized controlled trial angina""suxiao jiuxin pill angina pectoris clinical trial"与中文检索式"速效救心丸 随机对照 临床 心绞痛"。域四为院前延迟与结局，使用"prehospital delay acute coronary syndrome outcomes mortality"与"prehospital delay myocardial infarction mortality China time"。域五为急诊评估路径，使用"acute chest pain emergency assessment pathway guideline""prehospital chest pain self-medication nitroglycerin"与中文检索式"胸痛 急诊 评估 指南 中国"。本轮未检索中文全文数据库，该缺口的影响见4.5节。</w:t>
      </w:r>
    </w:p>
    <w:p>
      <w:pPr>
        <w:spacing w:after="80" w:line="312" w:lineRule="auto" w:before="160"/>
      </w:pPr>
      <w:r>
        <w:rPr>
          <w:rFonts w:ascii="Times New Roman" w:hAnsi="Times New Roman" w:eastAsia="黑体"/>
          <w:b/>
          <w:i w:val="0"/>
          <w:color w:val="1A1A1A"/>
          <w:sz w:val="22"/>
        </w:rPr>
        <w:t>2.2 纳入与排除标准</w:t>
      </w:r>
    </w:p>
    <w:p>
      <w:pPr>
        <w:spacing w:after="120" w:line="360" w:lineRule="auto"/>
        <w:ind w:firstLine="420"/>
      </w:pPr>
      <w:r>
        <w:rPr>
          <w:rFonts w:ascii="Times New Roman" w:hAnsi="Times New Roman" w:eastAsia="宋体"/>
          <w:b w:val="0"/>
          <w:i w:val="0"/>
          <w:color w:val="1A1A1A"/>
          <w:sz w:val="21"/>
        </w:rPr>
        <w:t>纳入标准为直接涉及上述任一证据域的原始研究、系统评价、临床指南或共识文件。排除标准为重复记录、与证据域无关的记录，以及仅有题录且无法取得摘要或全文的记录。筛选自检出题录开始，逐条阅读题录与摘要，对进入证据综合的来源尽可能落实至原文；未能取得原文者，其结论的依据层级在结果中逐条注明。筛选与资料提取由单一研究者完成。</w:t>
      </w:r>
    </w:p>
    <w:p>
      <w:pPr>
        <w:spacing w:after="80" w:line="312" w:lineRule="auto" w:before="160"/>
      </w:pPr>
      <w:r>
        <w:rPr>
          <w:rFonts w:ascii="Times New Roman" w:hAnsi="Times New Roman" w:eastAsia="黑体"/>
          <w:b/>
          <w:i w:val="0"/>
          <w:color w:val="1A1A1A"/>
          <w:sz w:val="22"/>
        </w:rPr>
        <w:t>2.3 证据评价方法</w:t>
      </w:r>
    </w:p>
    <w:p>
      <w:pPr>
        <w:spacing w:after="120" w:line="360" w:lineRule="auto"/>
        <w:ind w:firstLine="420"/>
      </w:pPr>
      <w:r>
        <w:rPr>
          <w:rFonts w:ascii="Times New Roman" w:hAnsi="Times New Roman" w:eastAsia="宋体"/>
          <w:b w:val="0"/>
          <w:i w:val="0"/>
          <w:color w:val="1A1A1A"/>
          <w:sz w:val="21"/>
        </w:rPr>
        <w:t>对每条纳入来源评价以下维度：研究设计与偏倚风险；人群、场景、干预与结局相对于本文临床问题的直接性；样本量与效应估计的精确性；来源自述的证据强度（保留原文表述，不作上调）；时效性；人群与地区适用性；以及与其他来源的一致或冲突。题名不作为研究设计、证据等级或效应量的依据。</w:t>
      </w:r>
    </w:p>
    <w:p>
      <w:pPr>
        <w:spacing w:after="80" w:line="312" w:lineRule="auto" w:before="160"/>
      </w:pPr>
      <w:r>
        <w:rPr>
          <w:rFonts w:ascii="Times New Roman" w:hAnsi="Times New Roman" w:eastAsia="黑体"/>
          <w:b/>
          <w:i w:val="0"/>
          <w:color w:val="1A1A1A"/>
          <w:sz w:val="22"/>
        </w:rPr>
        <w:t>2.4 论断的可核验性分级</w:t>
      </w:r>
    </w:p>
    <w:p>
      <w:pPr>
        <w:spacing w:after="120" w:line="360" w:lineRule="auto"/>
        <w:ind w:firstLine="420"/>
      </w:pPr>
      <w:r>
        <w:rPr>
          <w:rFonts w:ascii="Times New Roman" w:hAnsi="Times New Roman" w:eastAsia="宋体"/>
          <w:b w:val="0"/>
          <w:i w:val="0"/>
          <w:color w:val="1A1A1A"/>
          <w:sz w:val="21"/>
        </w:rPr>
        <w:t>本文对每条关键论断标注四类状态。可核验，指存在可与原文逐字比对的支持语句；未能核验，指原文非开放获取或未能取得正式全文，结论依据摘要、题录或他文转引；无出处，指在本轮纳入的证据来源中未能追溯到可核验记录；证据缺口，指检索未发现相应场景的研究。凡由已引用数值经计算得到的量，一律标注为本文推算值，并说明输入、方法、假设与敏感性，不与原文报告值混列。</w:t>
      </w:r>
    </w:p>
    <w:p>
      <w:pPr>
        <w:spacing w:after="80" w:line="312" w:lineRule="auto" w:before="160"/>
      </w:pPr>
      <w:r>
        <w:rPr>
          <w:rFonts w:ascii="Times New Roman" w:hAnsi="Times New Roman" w:eastAsia="黑体"/>
          <w:b/>
          <w:i w:val="0"/>
          <w:color w:val="1A1A1A"/>
          <w:sz w:val="22"/>
        </w:rPr>
        <w:t>2.5 体裁说明</w:t>
      </w:r>
    </w:p>
    <w:p>
      <w:pPr>
        <w:spacing w:after="120" w:line="360" w:lineRule="auto"/>
        <w:ind w:firstLine="420"/>
      </w:pPr>
      <w:r>
        <w:rPr>
          <w:rFonts w:ascii="Times New Roman" w:hAnsi="Times New Roman" w:eastAsia="宋体"/>
          <w:b w:val="0"/>
          <w:i w:val="0"/>
          <w:color w:val="1A1A1A"/>
          <w:sz w:val="21"/>
        </w:rPr>
        <w:t>本文为证据评价与决策框架型综述。未实施双人独立筛选与双人偏倚风险评定，未开展方案的前瞻注册，故不报告注册号，也不按PRISMA条目逐项报告。文中出现的"一致""高置信度"等表述，均指本文对多来源结论方向一致性的判断，不等同于正式的GRADE分级结果。</w:t>
      </w:r>
    </w:p>
    <w:p>
      <w:pPr>
        <w:spacing w:after="120" w:line="312" w:lineRule="auto" w:before="240"/>
      </w:pPr>
      <w:r>
        <w:rPr>
          <w:rFonts w:ascii="Times New Roman" w:hAnsi="Times New Roman" w:eastAsia="黑体"/>
          <w:b/>
          <w:i w:val="0"/>
          <w:color w:val="1A1A1A"/>
          <w:sz w:val="26"/>
        </w:rPr>
        <w:t>3 结果</w:t>
      </w:r>
    </w:p>
    <w:p>
      <w:pPr>
        <w:spacing w:after="80" w:line="312" w:lineRule="auto" w:before="160"/>
      </w:pPr>
      <w:r>
        <w:rPr>
          <w:rFonts w:ascii="Times New Roman" w:hAnsi="Times New Roman" w:eastAsia="黑体"/>
          <w:b/>
          <w:i w:val="0"/>
          <w:color w:val="1A1A1A"/>
          <w:sz w:val="22"/>
        </w:rPr>
        <w:t>3.1 检索与纳入概况</w:t>
      </w:r>
    </w:p>
    <w:p>
      <w:pPr>
        <w:spacing w:after="120" w:line="360" w:lineRule="auto"/>
        <w:ind w:firstLine="420"/>
      </w:pPr>
      <w:r>
        <w:rPr>
          <w:rFonts w:ascii="Times New Roman" w:hAnsi="Times New Roman" w:eastAsia="宋体"/>
          <w:b w:val="0"/>
          <w:i w:val="0"/>
          <w:color w:val="1A1A1A"/>
          <w:sz w:val="21"/>
        </w:rPr>
        <w:t>18次检索共检出记录140条，删除重复记录7条，排除与证据域无关的记录120条，去重后13条来源进入证据综合。13条中取得原文全文者5条，仅达摘要层级者7条，仅得题录者1条（速效救心丸2023年结果论文，非开放获取）。另引用指南与共识4部及支持性文献2篇，本文引用来源共19条，其中期刊文献15篇、指南与共识4部。纳入证据的特征与原文获取程度见表1。</w:t>
      </w:r>
    </w:p>
    <w:p>
      <w:pPr>
        <w:spacing w:after="60" w:line="360" w:lineRule="auto"/>
        <w:jc w:val="center"/>
      </w:pPr>
      <w:r>
        <w:rPr>
          <w:rFonts w:ascii="Times New Roman" w:hAnsi="Times New Roman" w:eastAsia="宋体"/>
          <w:b/>
          <w:i w:val="0"/>
          <w:color w:val="1A1A1A"/>
          <w:sz w:val="19"/>
        </w:rPr>
        <w:t>表1</w:t>
      </w:r>
      <w:r>
        <w:rPr>
          <w:rFonts w:ascii="Times New Roman" w:hAnsi="Times New Roman" w:eastAsia="宋体"/>
          <w:b w:val="0"/>
          <w:i w:val="0"/>
          <w:color w:val="1A1A1A"/>
          <w:sz w:val="19"/>
        </w:rPr>
        <w:t xml:space="preserve"> 纳入证据的来源特征、证据域与原文获取程度</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1511"/>
        <w:gridCol w:w="1511"/>
        <w:gridCol w:w="1511"/>
        <w:gridCol w:w="1511"/>
        <w:gridCol w:w="1511"/>
        <w:gridCol w:w="1511"/>
      </w:tblGrid>
      <w:tr>
        <w:tc>
          <w:tcPr>
            <w:tcW w:type="dxa" w:w="1511"/>
            <w:tcBorders>
              <w:bottom w:val="single" w:sz="6" w:color="1A1A1A"/>
            </w:tcBorders>
          </w:tcPr>
          <w:p>
            <w:pPr>
              <w:jc w:val="center"/>
            </w:pPr>
            <w:r>
              <w:rPr>
                <w:rFonts w:ascii="Times New Roman" w:hAnsi="Times New Roman" w:eastAsia="宋体"/>
                <w:b/>
                <w:i w:val="0"/>
                <w:color w:val="1A1A1A"/>
                <w:sz w:val="18"/>
              </w:rPr>
              <w:t>序号</w:t>
            </w:r>
          </w:p>
        </w:tc>
        <w:tc>
          <w:tcPr>
            <w:tcW w:type="dxa" w:w="1511"/>
            <w:tcBorders>
              <w:bottom w:val="single" w:sz="6" w:color="1A1A1A"/>
            </w:tcBorders>
          </w:tcPr>
          <w:p>
            <w:pPr>
              <w:jc w:val="center"/>
            </w:pPr>
            <w:r>
              <w:rPr>
                <w:rFonts w:ascii="Times New Roman" w:hAnsi="Times New Roman" w:eastAsia="宋体"/>
                <w:b/>
                <w:i w:val="0"/>
                <w:color w:val="1A1A1A"/>
                <w:sz w:val="18"/>
              </w:rPr>
              <w:t>第一作者或发布机构（年份）</w:t>
            </w:r>
          </w:p>
        </w:tc>
        <w:tc>
          <w:tcPr>
            <w:tcW w:type="dxa" w:w="1511"/>
            <w:tcBorders>
              <w:bottom w:val="single" w:sz="6" w:color="1A1A1A"/>
            </w:tcBorders>
          </w:tcPr>
          <w:p>
            <w:pPr>
              <w:jc w:val="center"/>
            </w:pPr>
            <w:r>
              <w:rPr>
                <w:rFonts w:ascii="Times New Roman" w:hAnsi="Times New Roman" w:eastAsia="宋体"/>
                <w:b/>
                <w:i w:val="0"/>
                <w:color w:val="1A1A1A"/>
                <w:sz w:val="18"/>
              </w:rPr>
              <w:t>类型与设计</w:t>
            </w:r>
          </w:p>
        </w:tc>
        <w:tc>
          <w:tcPr>
            <w:tcW w:type="dxa" w:w="1511"/>
            <w:tcBorders>
              <w:bottom w:val="single" w:sz="6" w:color="1A1A1A"/>
            </w:tcBorders>
          </w:tcPr>
          <w:p>
            <w:pPr>
              <w:jc w:val="center"/>
            </w:pPr>
            <w:r>
              <w:rPr>
                <w:rFonts w:ascii="Times New Roman" w:hAnsi="Times New Roman" w:eastAsia="宋体"/>
                <w:b/>
                <w:i w:val="0"/>
                <w:color w:val="1A1A1A"/>
                <w:sz w:val="18"/>
              </w:rPr>
              <w:t>人群与规模</w:t>
            </w:r>
          </w:p>
        </w:tc>
        <w:tc>
          <w:tcPr>
            <w:tcW w:type="dxa" w:w="1511"/>
            <w:tcBorders>
              <w:bottom w:val="single" w:sz="6" w:color="1A1A1A"/>
            </w:tcBorders>
          </w:tcPr>
          <w:p>
            <w:pPr>
              <w:jc w:val="center"/>
            </w:pPr>
            <w:r>
              <w:rPr>
                <w:rFonts w:ascii="Times New Roman" w:hAnsi="Times New Roman" w:eastAsia="宋体"/>
                <w:b/>
                <w:i w:val="0"/>
                <w:color w:val="1A1A1A"/>
                <w:sz w:val="18"/>
              </w:rPr>
              <w:t>证据域</w:t>
            </w:r>
          </w:p>
        </w:tc>
        <w:tc>
          <w:tcPr>
            <w:tcW w:type="dxa" w:w="1511"/>
            <w:tcBorders>
              <w:bottom w:val="single" w:sz="6" w:color="1A1A1A"/>
            </w:tcBorders>
          </w:tcPr>
          <w:p>
            <w:pPr>
              <w:jc w:val="center"/>
            </w:pPr>
            <w:r>
              <w:rPr>
                <w:rFonts w:ascii="Times New Roman" w:hAnsi="Times New Roman" w:eastAsia="宋体"/>
                <w:b/>
                <w:i w:val="0"/>
                <w:color w:val="1A1A1A"/>
                <w:sz w:val="18"/>
              </w:rPr>
              <w:t>原文获取程度</w:t>
            </w:r>
          </w:p>
        </w:tc>
      </w:tr>
      <w:tr>
        <w:tc>
          <w:tcPr>
            <w:tcW w:type="dxa" w:w="1511"/>
          </w:tcPr>
          <w:p>
            <w:r>
              <w:rPr>
                <w:rFonts w:ascii="Times New Roman" w:hAnsi="Times New Roman" w:eastAsia="宋体"/>
                <w:b w:val="0"/>
                <w:i w:val="0"/>
                <w:color w:val="1A1A1A"/>
                <w:sz w:val="18"/>
                <w:vertAlign w:val="superscript"/>
              </w:rPr>
              <w:t>[6]</w:t>
            </w:r>
          </w:p>
        </w:tc>
        <w:tc>
          <w:tcPr>
            <w:tcW w:type="dxa" w:w="1511"/>
          </w:tcPr>
          <w:p>
            <w:r>
              <w:rPr>
                <w:rFonts w:ascii="Times New Roman" w:hAnsi="Times New Roman" w:eastAsia="宋体"/>
                <w:b w:val="0"/>
                <w:i w:val="0"/>
                <w:color w:val="1A1A1A"/>
                <w:sz w:val="18"/>
              </w:rPr>
              <w:t>Henrikson 等（2003）</w:t>
            </w:r>
          </w:p>
        </w:tc>
        <w:tc>
          <w:tcPr>
            <w:tcW w:type="dxa" w:w="1511"/>
          </w:tcPr>
          <w:p>
            <w:r>
              <w:rPr>
                <w:rFonts w:ascii="Times New Roman" w:hAnsi="Times New Roman" w:eastAsia="宋体"/>
                <w:b w:val="0"/>
                <w:i w:val="0"/>
                <w:color w:val="1A1A1A"/>
                <w:sz w:val="18"/>
              </w:rPr>
              <w:t>前瞻性观察研究</w:t>
            </w:r>
          </w:p>
        </w:tc>
        <w:tc>
          <w:tcPr>
            <w:tcW w:type="dxa" w:w="1511"/>
          </w:tcPr>
          <w:p>
            <w:r>
              <w:rPr>
                <w:rFonts w:ascii="Times New Roman" w:hAnsi="Times New Roman" w:eastAsia="宋体"/>
                <w:b w:val="0"/>
                <w:i w:val="0"/>
                <w:color w:val="1A1A1A"/>
                <w:sz w:val="18"/>
              </w:rPr>
              <w:t>459例因胸痛行冠状动脉造影的连续患者</w:t>
            </w:r>
          </w:p>
        </w:tc>
        <w:tc>
          <w:tcPr>
            <w:tcW w:type="dxa" w:w="1511"/>
          </w:tcPr>
          <w:p>
            <w:r>
              <w:rPr>
                <w:rFonts w:ascii="Times New Roman" w:hAnsi="Times New Roman" w:eastAsia="宋体"/>
                <w:b w:val="0"/>
                <w:i w:val="0"/>
                <w:color w:val="1A1A1A"/>
                <w:sz w:val="18"/>
              </w:rPr>
              <w:t>一</w:t>
            </w:r>
          </w:p>
        </w:tc>
        <w:tc>
          <w:tcPr>
            <w:tcW w:type="dxa" w:w="1511"/>
          </w:tcPr>
          <w:p>
            <w:r>
              <w:rPr>
                <w:rFonts w:ascii="Times New Roman" w:hAnsi="Times New Roman" w:eastAsia="宋体"/>
                <w:b w:val="0"/>
                <w:i w:val="0"/>
                <w:color w:val="1A1A1A"/>
                <w:sz w:val="18"/>
              </w:rPr>
              <w:t>摘要</w:t>
            </w:r>
          </w:p>
        </w:tc>
      </w:tr>
      <w:tr>
        <w:tc>
          <w:tcPr>
            <w:tcW w:type="dxa" w:w="1511"/>
          </w:tcPr>
          <w:p>
            <w:r>
              <w:rPr>
                <w:rFonts w:ascii="Times New Roman" w:hAnsi="Times New Roman" w:eastAsia="宋体"/>
                <w:b w:val="0"/>
                <w:i w:val="0"/>
                <w:color w:val="1A1A1A"/>
                <w:sz w:val="18"/>
                <w:vertAlign w:val="superscript"/>
              </w:rPr>
              <w:t>[7]</w:t>
            </w:r>
          </w:p>
        </w:tc>
        <w:tc>
          <w:tcPr>
            <w:tcW w:type="dxa" w:w="1511"/>
          </w:tcPr>
          <w:p>
            <w:r>
              <w:rPr>
                <w:rFonts w:ascii="Times New Roman" w:hAnsi="Times New Roman" w:eastAsia="宋体"/>
                <w:b w:val="0"/>
                <w:i w:val="0"/>
                <w:color w:val="1A1A1A"/>
                <w:sz w:val="18"/>
              </w:rPr>
              <w:t>Steele 等（2006）</w:t>
            </w:r>
          </w:p>
        </w:tc>
        <w:tc>
          <w:tcPr>
            <w:tcW w:type="dxa" w:w="1511"/>
          </w:tcPr>
          <w:p>
            <w:r>
              <w:rPr>
                <w:rFonts w:ascii="Times New Roman" w:hAnsi="Times New Roman" w:eastAsia="宋体"/>
                <w:b w:val="0"/>
                <w:i w:val="0"/>
                <w:color w:val="1A1A1A"/>
                <w:sz w:val="18"/>
              </w:rPr>
              <w:t>急诊科前瞻性观察研究</w:t>
            </w:r>
          </w:p>
        </w:tc>
        <w:tc>
          <w:tcPr>
            <w:tcW w:type="dxa" w:w="1511"/>
          </w:tcPr>
          <w:p>
            <w:r>
              <w:rPr>
                <w:rFonts w:ascii="Times New Roman" w:hAnsi="Times New Roman" w:eastAsia="宋体"/>
                <w:b w:val="0"/>
                <w:i w:val="0"/>
                <w:color w:val="1A1A1A"/>
                <w:sz w:val="18"/>
              </w:rPr>
              <w:t>221例或270例急诊胸痛患者（可得来源记录不一致，见3.2节）</w:t>
            </w:r>
          </w:p>
        </w:tc>
        <w:tc>
          <w:tcPr>
            <w:tcW w:type="dxa" w:w="1511"/>
          </w:tcPr>
          <w:p>
            <w:r>
              <w:rPr>
                <w:rFonts w:ascii="Times New Roman" w:hAnsi="Times New Roman" w:eastAsia="宋体"/>
                <w:b w:val="0"/>
                <w:i w:val="0"/>
                <w:color w:val="1A1A1A"/>
                <w:sz w:val="18"/>
              </w:rPr>
              <w:t>一</w:t>
            </w:r>
          </w:p>
        </w:tc>
        <w:tc>
          <w:tcPr>
            <w:tcW w:type="dxa" w:w="1511"/>
          </w:tcPr>
          <w:p>
            <w:r>
              <w:rPr>
                <w:rFonts w:ascii="Times New Roman" w:hAnsi="Times New Roman" w:eastAsia="宋体"/>
                <w:b w:val="0"/>
                <w:i w:val="0"/>
                <w:color w:val="1A1A1A"/>
                <w:sz w:val="18"/>
              </w:rPr>
              <w:t>全文</w:t>
            </w:r>
          </w:p>
        </w:tc>
      </w:tr>
      <w:tr>
        <w:tc>
          <w:tcPr>
            <w:tcW w:type="dxa" w:w="1511"/>
          </w:tcPr>
          <w:p>
            <w:r>
              <w:rPr>
                <w:rFonts w:ascii="Times New Roman" w:hAnsi="Times New Roman" w:eastAsia="宋体"/>
                <w:b w:val="0"/>
                <w:i w:val="0"/>
                <w:color w:val="1A1A1A"/>
                <w:sz w:val="18"/>
                <w:vertAlign w:val="superscript"/>
              </w:rPr>
              <w:t>[8]</w:t>
            </w:r>
          </w:p>
        </w:tc>
        <w:tc>
          <w:tcPr>
            <w:tcW w:type="dxa" w:w="1511"/>
          </w:tcPr>
          <w:p>
            <w:r>
              <w:rPr>
                <w:rFonts w:ascii="Times New Roman" w:hAnsi="Times New Roman" w:eastAsia="宋体"/>
                <w:b w:val="0"/>
                <w:i w:val="0"/>
                <w:color w:val="1A1A1A"/>
                <w:sz w:val="18"/>
              </w:rPr>
              <w:t>Diercks 等（2005）</w:t>
            </w:r>
          </w:p>
        </w:tc>
        <w:tc>
          <w:tcPr>
            <w:tcW w:type="dxa" w:w="1511"/>
          </w:tcPr>
          <w:p>
            <w:r>
              <w:rPr>
                <w:rFonts w:ascii="Times New Roman" w:hAnsi="Times New Roman" w:eastAsia="宋体"/>
                <w:b w:val="0"/>
                <w:i w:val="0"/>
                <w:color w:val="1A1A1A"/>
                <w:sz w:val="18"/>
              </w:rPr>
              <w:t>前瞻性观察研究</w:t>
            </w:r>
          </w:p>
        </w:tc>
        <w:tc>
          <w:tcPr>
            <w:tcW w:type="dxa" w:w="1511"/>
          </w:tcPr>
          <w:p>
            <w:r>
              <w:rPr>
                <w:rFonts w:ascii="Times New Roman" w:hAnsi="Times New Roman" w:eastAsia="宋体"/>
                <w:b w:val="0"/>
                <w:i w:val="0"/>
                <w:color w:val="1A1A1A"/>
                <w:sz w:val="18"/>
              </w:rPr>
              <w:t>595例急诊胸痛患者</w:t>
            </w:r>
          </w:p>
        </w:tc>
        <w:tc>
          <w:tcPr>
            <w:tcW w:type="dxa" w:w="1511"/>
          </w:tcPr>
          <w:p>
            <w:r>
              <w:rPr>
                <w:rFonts w:ascii="Times New Roman" w:hAnsi="Times New Roman" w:eastAsia="宋体"/>
                <w:b w:val="0"/>
                <w:i w:val="0"/>
                <w:color w:val="1A1A1A"/>
                <w:sz w:val="18"/>
              </w:rPr>
              <w:t>一</w:t>
            </w:r>
          </w:p>
        </w:tc>
        <w:tc>
          <w:tcPr>
            <w:tcW w:type="dxa" w:w="1511"/>
          </w:tcPr>
          <w:p>
            <w:r>
              <w:rPr>
                <w:rFonts w:ascii="Times New Roman" w:hAnsi="Times New Roman" w:eastAsia="宋体"/>
                <w:b w:val="0"/>
                <w:i w:val="0"/>
                <w:color w:val="1A1A1A"/>
                <w:sz w:val="18"/>
              </w:rPr>
              <w:t>摘要</w:t>
            </w:r>
          </w:p>
        </w:tc>
      </w:tr>
      <w:tr>
        <w:tc>
          <w:tcPr>
            <w:tcW w:type="dxa" w:w="1511"/>
          </w:tcPr>
          <w:p>
            <w:r>
              <w:rPr>
                <w:rFonts w:ascii="Times New Roman" w:hAnsi="Times New Roman" w:eastAsia="宋体"/>
                <w:b w:val="0"/>
                <w:i w:val="0"/>
                <w:color w:val="1A1A1A"/>
                <w:sz w:val="18"/>
                <w:vertAlign w:val="superscript"/>
              </w:rPr>
              <w:t>[4]</w:t>
            </w:r>
          </w:p>
        </w:tc>
        <w:tc>
          <w:tcPr>
            <w:tcW w:type="dxa" w:w="1511"/>
          </w:tcPr>
          <w:p>
            <w:r>
              <w:rPr>
                <w:rFonts w:ascii="Times New Roman" w:hAnsi="Times New Roman" w:eastAsia="宋体"/>
                <w:b w:val="0"/>
                <w:i w:val="0"/>
                <w:color w:val="1A1A1A"/>
                <w:sz w:val="18"/>
              </w:rPr>
              <w:t>Li 等（2006）</w:t>
            </w:r>
          </w:p>
        </w:tc>
        <w:tc>
          <w:tcPr>
            <w:tcW w:type="dxa" w:w="1511"/>
          </w:tcPr>
          <w:p>
            <w:r>
              <w:rPr>
                <w:rFonts w:ascii="Times New Roman" w:hAnsi="Times New Roman" w:eastAsia="宋体"/>
                <w:b w:val="0"/>
                <w:i w:val="0"/>
                <w:color w:val="1A1A1A"/>
                <w:sz w:val="18"/>
              </w:rPr>
              <w:t>机制与临床关联研究</w:t>
            </w:r>
          </w:p>
        </w:tc>
        <w:tc>
          <w:tcPr>
            <w:tcW w:type="dxa" w:w="1511"/>
          </w:tcPr>
          <w:p>
            <w:r>
              <w:rPr>
                <w:rFonts w:ascii="Times New Roman" w:hAnsi="Times New Roman" w:eastAsia="宋体"/>
                <w:b w:val="0"/>
                <w:i w:val="0"/>
                <w:color w:val="1A1A1A"/>
                <w:sz w:val="18"/>
              </w:rPr>
              <w:t>未获全文，未核验</w:t>
            </w:r>
          </w:p>
        </w:tc>
        <w:tc>
          <w:tcPr>
            <w:tcW w:type="dxa" w:w="1511"/>
          </w:tcPr>
          <w:p>
            <w:r>
              <w:rPr>
                <w:rFonts w:ascii="Times New Roman" w:hAnsi="Times New Roman" w:eastAsia="宋体"/>
                <w:b w:val="0"/>
                <w:i w:val="0"/>
                <w:color w:val="1A1A1A"/>
                <w:sz w:val="18"/>
              </w:rPr>
              <w:t>二</w:t>
            </w:r>
          </w:p>
        </w:tc>
        <w:tc>
          <w:tcPr>
            <w:tcW w:type="dxa" w:w="1511"/>
          </w:tcPr>
          <w:p>
            <w:r>
              <w:rPr>
                <w:rFonts w:ascii="Times New Roman" w:hAnsi="Times New Roman" w:eastAsia="宋体"/>
                <w:b w:val="0"/>
                <w:i w:val="0"/>
                <w:color w:val="1A1A1A"/>
                <w:sz w:val="18"/>
              </w:rPr>
              <w:t>摘要</w:t>
            </w:r>
          </w:p>
        </w:tc>
      </w:tr>
      <w:tr>
        <w:tc>
          <w:tcPr>
            <w:tcW w:type="dxa" w:w="1511"/>
          </w:tcPr>
          <w:p>
            <w:r>
              <w:rPr>
                <w:rFonts w:ascii="Times New Roman" w:hAnsi="Times New Roman" w:eastAsia="宋体"/>
                <w:b w:val="0"/>
                <w:i w:val="0"/>
                <w:color w:val="1A1A1A"/>
                <w:sz w:val="18"/>
                <w:vertAlign w:val="superscript"/>
              </w:rPr>
              <w:t>[5]</w:t>
            </w:r>
          </w:p>
        </w:tc>
        <w:tc>
          <w:tcPr>
            <w:tcW w:type="dxa" w:w="1511"/>
          </w:tcPr>
          <w:p>
            <w:r>
              <w:rPr>
                <w:rFonts w:ascii="Times New Roman" w:hAnsi="Times New Roman" w:eastAsia="宋体"/>
                <w:b w:val="0"/>
                <w:i w:val="0"/>
                <w:color w:val="1A1A1A"/>
                <w:sz w:val="18"/>
              </w:rPr>
              <w:t>Qi 等（2021）</w:t>
            </w:r>
          </w:p>
        </w:tc>
        <w:tc>
          <w:tcPr>
            <w:tcW w:type="dxa" w:w="1511"/>
          </w:tcPr>
          <w:p>
            <w:r>
              <w:rPr>
                <w:rFonts w:ascii="Times New Roman" w:hAnsi="Times New Roman" w:eastAsia="宋体"/>
                <w:b w:val="0"/>
                <w:i w:val="0"/>
                <w:color w:val="1A1A1A"/>
                <w:sz w:val="18"/>
              </w:rPr>
              <w:t>药物基因组学数据库分析</w:t>
            </w:r>
          </w:p>
        </w:tc>
        <w:tc>
          <w:tcPr>
            <w:tcW w:type="dxa" w:w="1511"/>
          </w:tcPr>
          <w:p>
            <w:r>
              <w:rPr>
                <w:rFonts w:ascii="Times New Roman" w:hAnsi="Times New Roman" w:eastAsia="宋体"/>
                <w:b w:val="0"/>
                <w:i w:val="0"/>
                <w:color w:val="1A1A1A"/>
                <w:sz w:val="18"/>
              </w:rPr>
              <w:t>141 431例中国全基因组数据</w:t>
            </w:r>
          </w:p>
        </w:tc>
        <w:tc>
          <w:tcPr>
            <w:tcW w:type="dxa" w:w="1511"/>
          </w:tcPr>
          <w:p>
            <w:r>
              <w:rPr>
                <w:rFonts w:ascii="Times New Roman" w:hAnsi="Times New Roman" w:eastAsia="宋体"/>
                <w:b w:val="0"/>
                <w:i w:val="0"/>
                <w:color w:val="1A1A1A"/>
                <w:sz w:val="18"/>
              </w:rPr>
              <w:t>二</w:t>
            </w:r>
          </w:p>
        </w:tc>
        <w:tc>
          <w:tcPr>
            <w:tcW w:type="dxa" w:w="1511"/>
          </w:tcPr>
          <w:p>
            <w:r>
              <w:rPr>
                <w:rFonts w:ascii="Times New Roman" w:hAnsi="Times New Roman" w:eastAsia="宋体"/>
                <w:b w:val="0"/>
                <w:i w:val="0"/>
                <w:color w:val="1A1A1A"/>
                <w:sz w:val="18"/>
              </w:rPr>
              <w:t>全文</w:t>
            </w:r>
          </w:p>
        </w:tc>
      </w:tr>
      <w:tr>
        <w:tc>
          <w:tcPr>
            <w:tcW w:type="dxa" w:w="1511"/>
          </w:tcPr>
          <w:p>
            <w:r>
              <w:rPr>
                <w:rFonts w:ascii="Times New Roman" w:hAnsi="Times New Roman" w:eastAsia="宋体"/>
                <w:b w:val="0"/>
                <w:i w:val="0"/>
                <w:color w:val="1A1A1A"/>
                <w:sz w:val="18"/>
                <w:vertAlign w:val="superscript"/>
              </w:rPr>
              <w:t>[9]</w:t>
            </w:r>
          </w:p>
        </w:tc>
        <w:tc>
          <w:tcPr>
            <w:tcW w:type="dxa" w:w="1511"/>
          </w:tcPr>
          <w:p>
            <w:r>
              <w:rPr>
                <w:rFonts w:ascii="Times New Roman" w:hAnsi="Times New Roman" w:eastAsia="宋体"/>
                <w:b w:val="0"/>
                <w:i w:val="0"/>
                <w:color w:val="1A1A1A"/>
                <w:sz w:val="18"/>
              </w:rPr>
              <w:t>Guo 等（2008）</w:t>
            </w:r>
          </w:p>
        </w:tc>
        <w:tc>
          <w:tcPr>
            <w:tcW w:type="dxa" w:w="1511"/>
          </w:tcPr>
          <w:p>
            <w:r>
              <w:rPr>
                <w:rFonts w:ascii="Times New Roman" w:hAnsi="Times New Roman" w:eastAsia="宋体"/>
                <w:b w:val="0"/>
                <w:i w:val="0"/>
                <w:color w:val="1A1A1A"/>
                <w:sz w:val="18"/>
              </w:rPr>
              <w:t>机制关联研究（降钙素基因相关肽途径）</w:t>
            </w:r>
          </w:p>
        </w:tc>
        <w:tc>
          <w:tcPr>
            <w:tcW w:type="dxa" w:w="1511"/>
          </w:tcPr>
          <w:p>
            <w:r>
              <w:rPr>
                <w:rFonts w:ascii="Times New Roman" w:hAnsi="Times New Roman" w:eastAsia="宋体"/>
                <w:b w:val="0"/>
                <w:i w:val="0"/>
                <w:color w:val="1A1A1A"/>
                <w:sz w:val="18"/>
              </w:rPr>
              <w:t>未获全文，未核验</w:t>
            </w:r>
          </w:p>
        </w:tc>
        <w:tc>
          <w:tcPr>
            <w:tcW w:type="dxa" w:w="1511"/>
          </w:tcPr>
          <w:p>
            <w:r>
              <w:rPr>
                <w:rFonts w:ascii="Times New Roman" w:hAnsi="Times New Roman" w:eastAsia="宋体"/>
                <w:b w:val="0"/>
                <w:i w:val="0"/>
                <w:color w:val="1A1A1A"/>
                <w:sz w:val="18"/>
              </w:rPr>
              <w:t>二</w:t>
            </w:r>
          </w:p>
        </w:tc>
        <w:tc>
          <w:tcPr>
            <w:tcW w:type="dxa" w:w="1511"/>
          </w:tcPr>
          <w:p>
            <w:r>
              <w:rPr>
                <w:rFonts w:ascii="Times New Roman" w:hAnsi="Times New Roman" w:eastAsia="宋体"/>
                <w:b w:val="0"/>
                <w:i w:val="0"/>
                <w:color w:val="1A1A1A"/>
                <w:sz w:val="18"/>
              </w:rPr>
              <w:t>摘要</w:t>
            </w:r>
          </w:p>
        </w:tc>
      </w:tr>
      <w:tr>
        <w:tc>
          <w:tcPr>
            <w:tcW w:type="dxa" w:w="1511"/>
          </w:tcPr>
          <w:p>
            <w:r>
              <w:rPr>
                <w:rFonts w:ascii="Times New Roman" w:hAnsi="Times New Roman" w:eastAsia="宋体"/>
                <w:b w:val="0"/>
                <w:i w:val="0"/>
                <w:color w:val="1A1A1A"/>
                <w:sz w:val="18"/>
                <w:vertAlign w:val="superscript"/>
              </w:rPr>
              <w:t>[10]</w:t>
            </w:r>
          </w:p>
        </w:tc>
        <w:tc>
          <w:tcPr>
            <w:tcW w:type="dxa" w:w="1511"/>
          </w:tcPr>
          <w:p>
            <w:r>
              <w:rPr>
                <w:rFonts w:ascii="Times New Roman" w:hAnsi="Times New Roman" w:eastAsia="宋体"/>
                <w:b w:val="0"/>
                <w:i w:val="0"/>
                <w:color w:val="1A1A1A"/>
                <w:sz w:val="18"/>
              </w:rPr>
              <w:t>作者未核验（PMC7612513）</w:t>
            </w:r>
          </w:p>
        </w:tc>
        <w:tc>
          <w:tcPr>
            <w:tcW w:type="dxa" w:w="1511"/>
          </w:tcPr>
          <w:p>
            <w:r>
              <w:rPr>
                <w:rFonts w:ascii="Times New Roman" w:hAnsi="Times New Roman" w:eastAsia="宋体"/>
                <w:b w:val="0"/>
                <w:i w:val="0"/>
                <w:color w:val="1A1A1A"/>
                <w:sz w:val="18"/>
              </w:rPr>
              <w:t>大型前瞻性队列（11年随访）</w:t>
            </w:r>
          </w:p>
        </w:tc>
        <w:tc>
          <w:tcPr>
            <w:tcW w:type="dxa" w:w="1511"/>
          </w:tcPr>
          <w:p>
            <w:r>
              <w:rPr>
                <w:rFonts w:ascii="Times New Roman" w:hAnsi="Times New Roman" w:eastAsia="宋体"/>
                <w:b w:val="0"/>
                <w:i w:val="0"/>
                <w:color w:val="1A1A1A"/>
                <w:sz w:val="18"/>
              </w:rPr>
              <w:t>150 722例中国成人</w:t>
            </w:r>
          </w:p>
        </w:tc>
        <w:tc>
          <w:tcPr>
            <w:tcW w:type="dxa" w:w="1511"/>
          </w:tcPr>
          <w:p>
            <w:r>
              <w:rPr>
                <w:rFonts w:ascii="Times New Roman" w:hAnsi="Times New Roman" w:eastAsia="宋体"/>
                <w:b w:val="0"/>
                <w:i w:val="0"/>
                <w:color w:val="1A1A1A"/>
                <w:sz w:val="18"/>
              </w:rPr>
              <w:t>二</w:t>
            </w:r>
          </w:p>
        </w:tc>
        <w:tc>
          <w:tcPr>
            <w:tcW w:type="dxa" w:w="1511"/>
          </w:tcPr>
          <w:p>
            <w:r>
              <w:rPr>
                <w:rFonts w:ascii="Times New Roman" w:hAnsi="Times New Roman" w:eastAsia="宋体"/>
                <w:b w:val="0"/>
                <w:i w:val="0"/>
                <w:color w:val="1A1A1A"/>
                <w:sz w:val="18"/>
              </w:rPr>
              <w:t>全文（题录仅核验至题名与标识符）</w:t>
            </w:r>
          </w:p>
        </w:tc>
      </w:tr>
      <w:tr>
        <w:tc>
          <w:tcPr>
            <w:tcW w:type="dxa" w:w="1511"/>
          </w:tcPr>
          <w:p>
            <w:r>
              <w:rPr>
                <w:rFonts w:ascii="Times New Roman" w:hAnsi="Times New Roman" w:eastAsia="宋体"/>
                <w:b w:val="0"/>
                <w:i w:val="0"/>
                <w:color w:val="1A1A1A"/>
                <w:sz w:val="18"/>
                <w:vertAlign w:val="superscript"/>
              </w:rPr>
              <w:t>[11]</w:t>
            </w:r>
          </w:p>
        </w:tc>
        <w:tc>
          <w:tcPr>
            <w:tcW w:type="dxa" w:w="1511"/>
          </w:tcPr>
          <w:p>
            <w:r>
              <w:rPr>
                <w:rFonts w:ascii="Times New Roman" w:hAnsi="Times New Roman" w:eastAsia="宋体"/>
                <w:b w:val="0"/>
                <w:i w:val="0"/>
                <w:color w:val="1A1A1A"/>
                <w:sz w:val="18"/>
              </w:rPr>
              <w:t>Du 等（2026）</w:t>
            </w:r>
          </w:p>
        </w:tc>
        <w:tc>
          <w:tcPr>
            <w:tcW w:type="dxa" w:w="1511"/>
          </w:tcPr>
          <w:p>
            <w:r>
              <w:rPr>
                <w:rFonts w:ascii="Times New Roman" w:hAnsi="Times New Roman" w:eastAsia="宋体"/>
                <w:b w:val="0"/>
                <w:i w:val="0"/>
                <w:color w:val="1A1A1A"/>
                <w:sz w:val="18"/>
              </w:rPr>
              <w:t>外显子组遗传负荷分析</w:t>
            </w:r>
          </w:p>
        </w:tc>
        <w:tc>
          <w:tcPr>
            <w:tcW w:type="dxa" w:w="1511"/>
          </w:tcPr>
          <w:p>
            <w:r>
              <w:rPr>
                <w:rFonts w:ascii="Times New Roman" w:hAnsi="Times New Roman" w:eastAsia="宋体"/>
                <w:b w:val="0"/>
                <w:i w:val="0"/>
                <w:color w:val="1A1A1A"/>
                <w:sz w:val="18"/>
              </w:rPr>
              <w:t>中国人群外显子组数据</w:t>
            </w:r>
          </w:p>
        </w:tc>
        <w:tc>
          <w:tcPr>
            <w:tcW w:type="dxa" w:w="1511"/>
          </w:tcPr>
          <w:p>
            <w:r>
              <w:rPr>
                <w:rFonts w:ascii="Times New Roman" w:hAnsi="Times New Roman" w:eastAsia="宋体"/>
                <w:b w:val="0"/>
                <w:i w:val="0"/>
                <w:color w:val="1A1A1A"/>
                <w:sz w:val="18"/>
              </w:rPr>
              <w:t>二</w:t>
            </w:r>
          </w:p>
        </w:tc>
        <w:tc>
          <w:tcPr>
            <w:tcW w:type="dxa" w:w="1511"/>
          </w:tcPr>
          <w:p>
            <w:r>
              <w:rPr>
                <w:rFonts w:ascii="Times New Roman" w:hAnsi="Times New Roman" w:eastAsia="宋体"/>
                <w:b w:val="0"/>
                <w:i w:val="0"/>
                <w:color w:val="1A1A1A"/>
                <w:sz w:val="18"/>
              </w:rPr>
              <w:t>摘要</w:t>
            </w:r>
          </w:p>
        </w:tc>
      </w:tr>
      <w:tr>
        <w:tc>
          <w:tcPr>
            <w:tcW w:type="dxa" w:w="1511"/>
          </w:tcPr>
          <w:p>
            <w:r>
              <w:rPr>
                <w:rFonts w:ascii="Times New Roman" w:hAnsi="Times New Roman" w:eastAsia="宋体"/>
                <w:b w:val="0"/>
                <w:i w:val="0"/>
                <w:color w:val="1A1A1A"/>
                <w:sz w:val="18"/>
                <w:vertAlign w:val="superscript"/>
              </w:rPr>
              <w:t>[12]</w:t>
            </w:r>
          </w:p>
        </w:tc>
        <w:tc>
          <w:tcPr>
            <w:tcW w:type="dxa" w:w="1511"/>
          </w:tcPr>
          <w:p>
            <w:r>
              <w:rPr>
                <w:rFonts w:ascii="Times New Roman" w:hAnsi="Times New Roman" w:eastAsia="宋体"/>
                <w:b w:val="0"/>
                <w:i w:val="0"/>
                <w:color w:val="1A1A1A"/>
                <w:sz w:val="18"/>
              </w:rPr>
              <w:t>Zhang 等（2007）</w:t>
            </w:r>
          </w:p>
        </w:tc>
        <w:tc>
          <w:tcPr>
            <w:tcW w:type="dxa" w:w="1511"/>
          </w:tcPr>
          <w:p>
            <w:r>
              <w:rPr>
                <w:rFonts w:ascii="Times New Roman" w:hAnsi="Times New Roman" w:eastAsia="宋体"/>
                <w:b w:val="0"/>
                <w:i w:val="0"/>
                <w:color w:val="1A1A1A"/>
                <w:sz w:val="18"/>
              </w:rPr>
              <w:t>中文期刊临床研究</w:t>
            </w:r>
          </w:p>
        </w:tc>
        <w:tc>
          <w:tcPr>
            <w:tcW w:type="dxa" w:w="1511"/>
          </w:tcPr>
          <w:p>
            <w:r>
              <w:rPr>
                <w:rFonts w:ascii="Times New Roman" w:hAnsi="Times New Roman" w:eastAsia="宋体"/>
                <w:b w:val="0"/>
                <w:i w:val="0"/>
                <w:color w:val="1A1A1A"/>
                <w:sz w:val="18"/>
              </w:rPr>
              <w:t>未获全文，未核验</w:t>
            </w:r>
          </w:p>
        </w:tc>
        <w:tc>
          <w:tcPr>
            <w:tcW w:type="dxa" w:w="1511"/>
          </w:tcPr>
          <w:p>
            <w:r>
              <w:rPr>
                <w:rFonts w:ascii="Times New Roman" w:hAnsi="Times New Roman" w:eastAsia="宋体"/>
                <w:b w:val="0"/>
                <w:i w:val="0"/>
                <w:color w:val="1A1A1A"/>
                <w:sz w:val="18"/>
              </w:rPr>
              <w:t>二</w:t>
            </w:r>
          </w:p>
        </w:tc>
        <w:tc>
          <w:tcPr>
            <w:tcW w:type="dxa" w:w="1511"/>
          </w:tcPr>
          <w:p>
            <w:r>
              <w:rPr>
                <w:rFonts w:ascii="Times New Roman" w:hAnsi="Times New Roman" w:eastAsia="宋体"/>
                <w:b w:val="0"/>
                <w:i w:val="0"/>
                <w:color w:val="1A1A1A"/>
                <w:sz w:val="18"/>
              </w:rPr>
              <w:t>摘要</w:t>
            </w:r>
          </w:p>
        </w:tc>
      </w:tr>
      <w:tr>
        <w:tc>
          <w:tcPr>
            <w:tcW w:type="dxa" w:w="1511"/>
          </w:tcPr>
          <w:p>
            <w:r>
              <w:rPr>
                <w:rFonts w:ascii="Times New Roman" w:hAnsi="Times New Roman" w:eastAsia="宋体"/>
                <w:b w:val="0"/>
                <w:i w:val="0"/>
                <w:color w:val="1A1A1A"/>
                <w:sz w:val="18"/>
                <w:vertAlign w:val="superscript"/>
              </w:rPr>
              <w:t>[13]</w:t>
            </w:r>
          </w:p>
        </w:tc>
        <w:tc>
          <w:tcPr>
            <w:tcW w:type="dxa" w:w="1511"/>
          </w:tcPr>
          <w:p>
            <w:r>
              <w:rPr>
                <w:rFonts w:ascii="Times New Roman" w:hAnsi="Times New Roman" w:eastAsia="宋体"/>
                <w:b w:val="0"/>
                <w:i w:val="0"/>
                <w:color w:val="1A1A1A"/>
                <w:sz w:val="18"/>
              </w:rPr>
              <w:t>Duan 等（2008）</w:t>
            </w:r>
          </w:p>
        </w:tc>
        <w:tc>
          <w:tcPr>
            <w:tcW w:type="dxa" w:w="1511"/>
          </w:tcPr>
          <w:p>
            <w:r>
              <w:rPr>
                <w:rFonts w:ascii="Times New Roman" w:hAnsi="Times New Roman" w:eastAsia="宋体"/>
                <w:b w:val="0"/>
                <w:i w:val="0"/>
                <w:color w:val="1A1A1A"/>
                <w:sz w:val="18"/>
              </w:rPr>
              <w:t>Cochrane 系统评价</w:t>
            </w:r>
          </w:p>
        </w:tc>
        <w:tc>
          <w:tcPr>
            <w:tcW w:type="dxa" w:w="1511"/>
          </w:tcPr>
          <w:p>
            <w:r>
              <w:rPr>
                <w:rFonts w:ascii="Times New Roman" w:hAnsi="Times New Roman" w:eastAsia="宋体"/>
                <w:b w:val="0"/>
                <w:i w:val="0"/>
                <w:color w:val="1A1A1A"/>
                <w:sz w:val="18"/>
              </w:rPr>
              <w:t>心绞痛患者</w:t>
            </w:r>
          </w:p>
        </w:tc>
        <w:tc>
          <w:tcPr>
            <w:tcW w:type="dxa" w:w="1511"/>
          </w:tcPr>
          <w:p>
            <w:r>
              <w:rPr>
                <w:rFonts w:ascii="Times New Roman" w:hAnsi="Times New Roman" w:eastAsia="宋体"/>
                <w:b w:val="0"/>
                <w:i w:val="0"/>
                <w:color w:val="1A1A1A"/>
                <w:sz w:val="18"/>
              </w:rPr>
              <w:t>三</w:t>
            </w:r>
          </w:p>
        </w:tc>
        <w:tc>
          <w:tcPr>
            <w:tcW w:type="dxa" w:w="1511"/>
          </w:tcPr>
          <w:p>
            <w:r>
              <w:rPr>
                <w:rFonts w:ascii="Times New Roman" w:hAnsi="Times New Roman" w:eastAsia="宋体"/>
                <w:b w:val="0"/>
                <w:i w:val="0"/>
                <w:color w:val="1A1A1A"/>
                <w:sz w:val="18"/>
              </w:rPr>
              <w:t>摘要</w:t>
            </w:r>
          </w:p>
        </w:tc>
      </w:tr>
      <w:tr>
        <w:tc>
          <w:tcPr>
            <w:tcW w:type="dxa" w:w="1511"/>
          </w:tcPr>
          <w:p>
            <w:r>
              <w:rPr>
                <w:rFonts w:ascii="Times New Roman" w:hAnsi="Times New Roman" w:eastAsia="宋体"/>
                <w:b w:val="0"/>
                <w:i w:val="0"/>
                <w:color w:val="1A1A1A"/>
                <w:sz w:val="18"/>
                <w:vertAlign w:val="superscript"/>
              </w:rPr>
              <w:t>[14]</w:t>
            </w:r>
          </w:p>
        </w:tc>
        <w:tc>
          <w:tcPr>
            <w:tcW w:type="dxa" w:w="1511"/>
          </w:tcPr>
          <w:p>
            <w:r>
              <w:rPr>
                <w:rFonts w:ascii="Times New Roman" w:hAnsi="Times New Roman" w:eastAsia="宋体"/>
                <w:b w:val="0"/>
                <w:i w:val="0"/>
                <w:color w:val="1A1A1A"/>
                <w:sz w:val="18"/>
              </w:rPr>
              <w:t>Ruan 等（2021）</w:t>
            </w:r>
          </w:p>
        </w:tc>
        <w:tc>
          <w:tcPr>
            <w:tcW w:type="dxa" w:w="1511"/>
          </w:tcPr>
          <w:p>
            <w:r>
              <w:rPr>
                <w:rFonts w:ascii="Times New Roman" w:hAnsi="Times New Roman" w:eastAsia="宋体"/>
                <w:b w:val="0"/>
                <w:i w:val="0"/>
                <w:color w:val="1A1A1A"/>
                <w:sz w:val="18"/>
              </w:rPr>
              <w:t>多中心随机双盲安慰剂对照试验方案</w:t>
            </w:r>
          </w:p>
        </w:tc>
        <w:tc>
          <w:tcPr>
            <w:tcW w:type="dxa" w:w="1511"/>
          </w:tcPr>
          <w:p>
            <w:r>
              <w:rPr>
                <w:rFonts w:ascii="Times New Roman" w:hAnsi="Times New Roman" w:eastAsia="宋体"/>
                <w:b w:val="0"/>
                <w:i w:val="0"/>
                <w:color w:val="1A1A1A"/>
                <w:sz w:val="18"/>
              </w:rPr>
              <w:t>计划324例；稳定型心绞痛，CCS Ⅰ~Ⅲ级，确诊冠心病，18~80岁</w:t>
            </w:r>
          </w:p>
        </w:tc>
        <w:tc>
          <w:tcPr>
            <w:tcW w:type="dxa" w:w="1511"/>
          </w:tcPr>
          <w:p>
            <w:r>
              <w:rPr>
                <w:rFonts w:ascii="Times New Roman" w:hAnsi="Times New Roman" w:eastAsia="宋体"/>
                <w:b w:val="0"/>
                <w:i w:val="0"/>
                <w:color w:val="1A1A1A"/>
                <w:sz w:val="18"/>
              </w:rPr>
              <w:t>三</w:t>
            </w:r>
          </w:p>
        </w:tc>
        <w:tc>
          <w:tcPr>
            <w:tcW w:type="dxa" w:w="1511"/>
          </w:tcPr>
          <w:p>
            <w:r>
              <w:rPr>
                <w:rFonts w:ascii="Times New Roman" w:hAnsi="Times New Roman" w:eastAsia="宋体"/>
                <w:b w:val="0"/>
                <w:i w:val="0"/>
                <w:color w:val="1A1A1A"/>
                <w:sz w:val="18"/>
              </w:rPr>
              <w:t>全文</w:t>
            </w:r>
          </w:p>
        </w:tc>
      </w:tr>
      <w:tr>
        <w:tc>
          <w:tcPr>
            <w:tcW w:type="dxa" w:w="1511"/>
          </w:tcPr>
          <w:p>
            <w:r>
              <w:rPr>
                <w:rFonts w:ascii="Times New Roman" w:hAnsi="Times New Roman" w:eastAsia="宋体"/>
                <w:b w:val="0"/>
                <w:i w:val="0"/>
                <w:color w:val="1A1A1A"/>
                <w:sz w:val="18"/>
                <w:vertAlign w:val="superscript"/>
              </w:rPr>
              <w:t>[15]</w:t>
            </w:r>
          </w:p>
        </w:tc>
        <w:tc>
          <w:tcPr>
            <w:tcW w:type="dxa" w:w="1511"/>
          </w:tcPr>
          <w:p>
            <w:r>
              <w:rPr>
                <w:rFonts w:ascii="Times New Roman" w:hAnsi="Times New Roman" w:eastAsia="宋体"/>
                <w:b w:val="0"/>
                <w:i w:val="0"/>
                <w:color w:val="1A1A1A"/>
                <w:sz w:val="18"/>
              </w:rPr>
              <w:t>Ruan 等（2023）</w:t>
            </w:r>
          </w:p>
        </w:tc>
        <w:tc>
          <w:tcPr>
            <w:tcW w:type="dxa" w:w="1511"/>
          </w:tcPr>
          <w:p>
            <w:r>
              <w:rPr>
                <w:rFonts w:ascii="Times New Roman" w:hAnsi="Times New Roman" w:eastAsia="宋体"/>
                <w:b w:val="0"/>
                <w:i w:val="0"/>
                <w:color w:val="1A1A1A"/>
                <w:sz w:val="18"/>
              </w:rPr>
              <w:t>上述试验的结果论文</w:t>
            </w:r>
          </w:p>
        </w:tc>
        <w:tc>
          <w:tcPr>
            <w:tcW w:type="dxa" w:w="1511"/>
          </w:tcPr>
          <w:p>
            <w:r>
              <w:rPr>
                <w:rFonts w:ascii="Times New Roman" w:hAnsi="Times New Roman" w:eastAsia="宋体"/>
                <w:b w:val="0"/>
                <w:i w:val="0"/>
                <w:color w:val="1A1A1A"/>
                <w:sz w:val="18"/>
              </w:rPr>
              <w:t>同上</w:t>
            </w:r>
          </w:p>
        </w:tc>
        <w:tc>
          <w:tcPr>
            <w:tcW w:type="dxa" w:w="1511"/>
          </w:tcPr>
          <w:p>
            <w:r>
              <w:rPr>
                <w:rFonts w:ascii="Times New Roman" w:hAnsi="Times New Roman" w:eastAsia="宋体"/>
                <w:b w:val="0"/>
                <w:i w:val="0"/>
                <w:color w:val="1A1A1A"/>
                <w:sz w:val="18"/>
              </w:rPr>
              <w:t>三</w:t>
            </w:r>
          </w:p>
        </w:tc>
        <w:tc>
          <w:tcPr>
            <w:tcW w:type="dxa" w:w="1511"/>
          </w:tcPr>
          <w:p>
            <w:r>
              <w:rPr>
                <w:rFonts w:ascii="Times New Roman" w:hAnsi="Times New Roman" w:eastAsia="宋体"/>
                <w:b w:val="0"/>
                <w:i w:val="0"/>
                <w:color w:val="1A1A1A"/>
                <w:sz w:val="18"/>
              </w:rPr>
              <w:t>题录（非开放获取）</w:t>
            </w:r>
          </w:p>
        </w:tc>
      </w:tr>
      <w:tr>
        <w:tc>
          <w:tcPr>
            <w:tcW w:type="dxa" w:w="1511"/>
          </w:tcPr>
          <w:p>
            <w:r>
              <w:rPr>
                <w:rFonts w:ascii="Times New Roman" w:hAnsi="Times New Roman" w:eastAsia="宋体"/>
                <w:b w:val="0"/>
                <w:i w:val="0"/>
                <w:color w:val="1A1A1A"/>
                <w:sz w:val="18"/>
                <w:vertAlign w:val="superscript"/>
              </w:rPr>
              <w:t>[3]</w:t>
            </w:r>
          </w:p>
        </w:tc>
        <w:tc>
          <w:tcPr>
            <w:tcW w:type="dxa" w:w="1511"/>
          </w:tcPr>
          <w:p>
            <w:r>
              <w:rPr>
                <w:rFonts w:ascii="Times New Roman" w:hAnsi="Times New Roman" w:eastAsia="宋体"/>
                <w:b w:val="0"/>
                <w:i w:val="0"/>
                <w:color w:val="1A1A1A"/>
                <w:sz w:val="18"/>
              </w:rPr>
              <w:t>Hu 等（2022）</w:t>
            </w:r>
          </w:p>
        </w:tc>
        <w:tc>
          <w:tcPr>
            <w:tcW w:type="dxa" w:w="1511"/>
          </w:tcPr>
          <w:p>
            <w:r>
              <w:rPr>
                <w:rFonts w:ascii="Times New Roman" w:hAnsi="Times New Roman" w:eastAsia="宋体"/>
                <w:b w:val="0"/>
                <w:i w:val="0"/>
                <w:color w:val="1A1A1A"/>
                <w:sz w:val="18"/>
              </w:rPr>
              <w:t>全国性注册研究（CCC-ACS）</w:t>
            </w:r>
          </w:p>
        </w:tc>
        <w:tc>
          <w:tcPr>
            <w:tcW w:type="dxa" w:w="1511"/>
          </w:tcPr>
          <w:p>
            <w:r>
              <w:rPr>
                <w:rFonts w:ascii="Times New Roman" w:hAnsi="Times New Roman" w:eastAsia="宋体"/>
                <w:b w:val="0"/>
                <w:i w:val="0"/>
                <w:color w:val="1A1A1A"/>
                <w:sz w:val="18"/>
              </w:rPr>
              <w:t>33 386例急性心肌梗死患者</w:t>
            </w:r>
          </w:p>
        </w:tc>
        <w:tc>
          <w:tcPr>
            <w:tcW w:type="dxa" w:w="1511"/>
          </w:tcPr>
          <w:p>
            <w:r>
              <w:rPr>
                <w:rFonts w:ascii="Times New Roman" w:hAnsi="Times New Roman" w:eastAsia="宋体"/>
                <w:b w:val="0"/>
                <w:i w:val="0"/>
                <w:color w:val="1A1A1A"/>
                <w:sz w:val="18"/>
              </w:rPr>
              <w:t>四</w:t>
            </w:r>
          </w:p>
        </w:tc>
        <w:tc>
          <w:tcPr>
            <w:tcW w:type="dxa" w:w="1511"/>
          </w:tcPr>
          <w:p>
            <w:r>
              <w:rPr>
                <w:rFonts w:ascii="Times New Roman" w:hAnsi="Times New Roman" w:eastAsia="宋体"/>
                <w:b w:val="0"/>
                <w:i w:val="0"/>
                <w:color w:val="1A1A1A"/>
                <w:sz w:val="18"/>
              </w:rPr>
              <w:t>全文</w:t>
            </w:r>
          </w:p>
        </w:tc>
      </w:tr>
      <w:tr>
        <w:tc>
          <w:tcPr>
            <w:tcW w:type="dxa" w:w="1511"/>
          </w:tcPr>
          <w:p>
            <w:r>
              <w:rPr>
                <w:rFonts w:ascii="Times New Roman" w:hAnsi="Times New Roman" w:eastAsia="宋体"/>
                <w:b w:val="0"/>
                <w:i w:val="0"/>
                <w:color w:val="1A1A1A"/>
                <w:sz w:val="18"/>
                <w:vertAlign w:val="superscript"/>
              </w:rPr>
              <w:t>[16]</w:t>
            </w:r>
          </w:p>
        </w:tc>
        <w:tc>
          <w:tcPr>
            <w:tcW w:type="dxa" w:w="1511"/>
          </w:tcPr>
          <w:p>
            <w:r>
              <w:rPr>
                <w:rFonts w:ascii="Times New Roman" w:hAnsi="Times New Roman" w:eastAsia="宋体"/>
                <w:b w:val="0"/>
                <w:i w:val="0"/>
                <w:color w:val="1A1A1A"/>
                <w:sz w:val="18"/>
              </w:rPr>
              <w:t>Peng 等（2014）</w:t>
            </w:r>
          </w:p>
        </w:tc>
        <w:tc>
          <w:tcPr>
            <w:tcW w:type="dxa" w:w="1511"/>
          </w:tcPr>
          <w:p>
            <w:r>
              <w:rPr>
                <w:rFonts w:ascii="Times New Roman" w:hAnsi="Times New Roman" w:eastAsia="宋体"/>
                <w:b w:val="0"/>
                <w:i w:val="0"/>
                <w:color w:val="1A1A1A"/>
                <w:sz w:val="18"/>
              </w:rPr>
              <w:t>观察性研究</w:t>
            </w:r>
          </w:p>
        </w:tc>
        <w:tc>
          <w:tcPr>
            <w:tcW w:type="dxa" w:w="1511"/>
          </w:tcPr>
          <w:p>
            <w:r>
              <w:rPr>
                <w:rFonts w:ascii="Times New Roman" w:hAnsi="Times New Roman" w:eastAsia="宋体"/>
                <w:b w:val="0"/>
                <w:i w:val="0"/>
                <w:color w:val="1A1A1A"/>
                <w:sz w:val="18"/>
              </w:rPr>
              <w:t>中国ST段抬高型心肌梗死患者</w:t>
            </w:r>
          </w:p>
        </w:tc>
        <w:tc>
          <w:tcPr>
            <w:tcW w:type="dxa" w:w="1511"/>
          </w:tcPr>
          <w:p>
            <w:r>
              <w:rPr>
                <w:rFonts w:ascii="Times New Roman" w:hAnsi="Times New Roman" w:eastAsia="宋体"/>
                <w:b w:val="0"/>
                <w:i w:val="0"/>
                <w:color w:val="1A1A1A"/>
                <w:sz w:val="18"/>
              </w:rPr>
              <w:t>四</w:t>
            </w:r>
          </w:p>
        </w:tc>
        <w:tc>
          <w:tcPr>
            <w:tcW w:type="dxa" w:w="1511"/>
          </w:tcPr>
          <w:p>
            <w:r>
              <w:rPr>
                <w:rFonts w:ascii="Times New Roman" w:hAnsi="Times New Roman" w:eastAsia="宋体"/>
                <w:b w:val="0"/>
                <w:i w:val="0"/>
                <w:color w:val="1A1A1A"/>
                <w:sz w:val="18"/>
              </w:rPr>
              <w:t>未记录</w:t>
            </w:r>
          </w:p>
        </w:tc>
      </w:tr>
      <w:tr>
        <w:tc>
          <w:tcPr>
            <w:tcW w:type="dxa" w:w="1511"/>
          </w:tcPr>
          <w:p>
            <w:r>
              <w:rPr>
                <w:rFonts w:ascii="Times New Roman" w:hAnsi="Times New Roman" w:eastAsia="宋体"/>
                <w:b w:val="0"/>
                <w:i w:val="0"/>
                <w:color w:val="1A1A1A"/>
                <w:sz w:val="18"/>
                <w:vertAlign w:val="superscript"/>
              </w:rPr>
              <w:t>[17]</w:t>
            </w:r>
          </w:p>
        </w:tc>
        <w:tc>
          <w:tcPr>
            <w:tcW w:type="dxa" w:w="1511"/>
          </w:tcPr>
          <w:p>
            <w:r>
              <w:rPr>
                <w:rFonts w:ascii="Times New Roman" w:hAnsi="Times New Roman" w:eastAsia="宋体"/>
                <w:b w:val="0"/>
                <w:i w:val="0"/>
                <w:color w:val="1A1A1A"/>
                <w:sz w:val="18"/>
              </w:rPr>
              <w:t>Farquharson 等（2019）</w:t>
            </w:r>
          </w:p>
        </w:tc>
        <w:tc>
          <w:tcPr>
            <w:tcW w:type="dxa" w:w="1511"/>
          </w:tcPr>
          <w:p>
            <w:r>
              <w:rPr>
                <w:rFonts w:ascii="Times New Roman" w:hAnsi="Times New Roman" w:eastAsia="宋体"/>
                <w:b w:val="0"/>
                <w:i w:val="0"/>
                <w:color w:val="1A1A1A"/>
                <w:sz w:val="18"/>
              </w:rPr>
              <w:t>系统评价（行为改变技术）</w:t>
            </w:r>
          </w:p>
        </w:tc>
        <w:tc>
          <w:tcPr>
            <w:tcW w:type="dxa" w:w="1511"/>
          </w:tcPr>
          <w:p>
            <w:r>
              <w:rPr>
                <w:rFonts w:ascii="Times New Roman" w:hAnsi="Times New Roman" w:eastAsia="宋体"/>
                <w:b w:val="0"/>
                <w:i w:val="0"/>
                <w:color w:val="1A1A1A"/>
                <w:sz w:val="18"/>
              </w:rPr>
              <w:t>急性冠脉综合征等时间敏感性疾病患者</w:t>
            </w:r>
          </w:p>
        </w:tc>
        <w:tc>
          <w:tcPr>
            <w:tcW w:type="dxa" w:w="1511"/>
          </w:tcPr>
          <w:p>
            <w:r>
              <w:rPr>
                <w:rFonts w:ascii="Times New Roman" w:hAnsi="Times New Roman" w:eastAsia="宋体"/>
                <w:b w:val="0"/>
                <w:i w:val="0"/>
                <w:color w:val="1A1A1A"/>
                <w:sz w:val="18"/>
              </w:rPr>
              <w:t>四</w:t>
            </w:r>
          </w:p>
        </w:tc>
        <w:tc>
          <w:tcPr>
            <w:tcW w:type="dxa" w:w="1511"/>
          </w:tcPr>
          <w:p>
            <w:r>
              <w:rPr>
                <w:rFonts w:ascii="Times New Roman" w:hAnsi="Times New Roman" w:eastAsia="宋体"/>
                <w:b w:val="0"/>
                <w:i w:val="0"/>
                <w:color w:val="1A1A1A"/>
                <w:sz w:val="18"/>
              </w:rPr>
              <w:t>未记录</w:t>
            </w:r>
          </w:p>
        </w:tc>
      </w:tr>
      <w:tr>
        <w:tc>
          <w:tcPr>
            <w:tcW w:type="dxa" w:w="1511"/>
          </w:tcPr>
          <w:p>
            <w:r>
              <w:rPr>
                <w:rFonts w:ascii="Times New Roman" w:hAnsi="Times New Roman" w:eastAsia="宋体"/>
                <w:b w:val="0"/>
                <w:i w:val="0"/>
                <w:color w:val="1A1A1A"/>
                <w:sz w:val="18"/>
                <w:vertAlign w:val="superscript"/>
              </w:rPr>
              <w:t>[18]</w:t>
            </w:r>
          </w:p>
        </w:tc>
        <w:tc>
          <w:tcPr>
            <w:tcW w:type="dxa" w:w="1511"/>
          </w:tcPr>
          <w:p>
            <w:r>
              <w:rPr>
                <w:rFonts w:ascii="Times New Roman" w:hAnsi="Times New Roman" w:eastAsia="宋体"/>
                <w:b w:val="0"/>
                <w:i w:val="0"/>
                <w:color w:val="1A1A1A"/>
                <w:sz w:val="18"/>
              </w:rPr>
              <w:t>美国心脏病学会（2022）</w:t>
            </w:r>
          </w:p>
        </w:tc>
        <w:tc>
          <w:tcPr>
            <w:tcW w:type="dxa" w:w="1511"/>
          </w:tcPr>
          <w:p>
            <w:r>
              <w:rPr>
                <w:rFonts w:ascii="Times New Roman" w:hAnsi="Times New Roman" w:eastAsia="宋体"/>
                <w:b w:val="0"/>
                <w:i w:val="0"/>
                <w:color w:val="1A1A1A"/>
                <w:sz w:val="18"/>
              </w:rPr>
              <w:t>专家共识决策路径</w:t>
            </w:r>
          </w:p>
        </w:tc>
        <w:tc>
          <w:tcPr>
            <w:tcW w:type="dxa" w:w="1511"/>
          </w:tcPr>
          <w:p>
            <w:r>
              <w:rPr>
                <w:rFonts w:ascii="Times New Roman" w:hAnsi="Times New Roman" w:eastAsia="宋体"/>
                <w:b w:val="0"/>
                <w:i w:val="0"/>
                <w:color w:val="1A1A1A"/>
                <w:sz w:val="18"/>
              </w:rPr>
              <w:t>急诊科急性胸痛患者</w:t>
            </w:r>
          </w:p>
        </w:tc>
        <w:tc>
          <w:tcPr>
            <w:tcW w:type="dxa" w:w="1511"/>
          </w:tcPr>
          <w:p>
            <w:r>
              <w:rPr>
                <w:rFonts w:ascii="Times New Roman" w:hAnsi="Times New Roman" w:eastAsia="宋体"/>
                <w:b w:val="0"/>
                <w:i w:val="0"/>
                <w:color w:val="1A1A1A"/>
                <w:sz w:val="18"/>
              </w:rPr>
              <w:t>五</w:t>
            </w:r>
          </w:p>
        </w:tc>
        <w:tc>
          <w:tcPr>
            <w:tcW w:type="dxa" w:w="1511"/>
          </w:tcPr>
          <w:p>
            <w:r>
              <w:rPr>
                <w:rFonts w:ascii="Times New Roman" w:hAnsi="Times New Roman" w:eastAsia="宋体"/>
                <w:b w:val="0"/>
                <w:i w:val="0"/>
                <w:color w:val="1A1A1A"/>
                <w:sz w:val="18"/>
              </w:rPr>
              <w:t>索引条目描述（未获全文）</w:t>
            </w:r>
          </w:p>
        </w:tc>
      </w:tr>
      <w:tr>
        <w:tc>
          <w:tcPr>
            <w:tcW w:type="dxa" w:w="1511"/>
          </w:tcPr>
          <w:p>
            <w:r>
              <w:rPr>
                <w:rFonts w:ascii="Times New Roman" w:hAnsi="Times New Roman" w:eastAsia="宋体"/>
                <w:b w:val="0"/>
                <w:i w:val="0"/>
                <w:color w:val="1A1A1A"/>
                <w:sz w:val="18"/>
                <w:vertAlign w:val="superscript"/>
              </w:rPr>
              <w:t>[1]</w:t>
            </w:r>
          </w:p>
        </w:tc>
        <w:tc>
          <w:tcPr>
            <w:tcW w:type="dxa" w:w="1511"/>
          </w:tcPr>
          <w:p>
            <w:r>
              <w:rPr>
                <w:rFonts w:ascii="Times New Roman" w:hAnsi="Times New Roman" w:eastAsia="宋体"/>
                <w:b w:val="0"/>
                <w:i w:val="0"/>
                <w:color w:val="1A1A1A"/>
                <w:sz w:val="18"/>
              </w:rPr>
              <w:t>中华医学会急诊医学分会（2019）</w:t>
            </w:r>
          </w:p>
        </w:tc>
        <w:tc>
          <w:tcPr>
            <w:tcW w:type="dxa" w:w="1511"/>
          </w:tcPr>
          <w:p>
            <w:r>
              <w:rPr>
                <w:rFonts w:ascii="Times New Roman" w:hAnsi="Times New Roman" w:eastAsia="宋体"/>
                <w:b w:val="0"/>
                <w:i w:val="0"/>
                <w:color w:val="1A1A1A"/>
                <w:sz w:val="18"/>
              </w:rPr>
              <w:t>专家共识</w:t>
            </w:r>
          </w:p>
        </w:tc>
        <w:tc>
          <w:tcPr>
            <w:tcW w:type="dxa" w:w="1511"/>
          </w:tcPr>
          <w:p>
            <w:r>
              <w:rPr>
                <w:rFonts w:ascii="Times New Roman" w:hAnsi="Times New Roman" w:eastAsia="宋体"/>
                <w:b w:val="0"/>
                <w:i w:val="0"/>
                <w:color w:val="1A1A1A"/>
                <w:sz w:val="18"/>
              </w:rPr>
              <w:t>急性胸痛患者</w:t>
            </w:r>
          </w:p>
        </w:tc>
        <w:tc>
          <w:tcPr>
            <w:tcW w:type="dxa" w:w="1511"/>
          </w:tcPr>
          <w:p>
            <w:r>
              <w:rPr>
                <w:rFonts w:ascii="Times New Roman" w:hAnsi="Times New Roman" w:eastAsia="宋体"/>
                <w:b w:val="0"/>
                <w:i w:val="0"/>
                <w:color w:val="1A1A1A"/>
                <w:sz w:val="18"/>
              </w:rPr>
              <w:t>五</w:t>
            </w:r>
          </w:p>
        </w:tc>
        <w:tc>
          <w:tcPr>
            <w:tcW w:type="dxa" w:w="1511"/>
          </w:tcPr>
          <w:p>
            <w:r>
              <w:rPr>
                <w:rFonts w:ascii="Times New Roman" w:hAnsi="Times New Roman" w:eastAsia="宋体"/>
                <w:b w:val="0"/>
                <w:i w:val="0"/>
                <w:color w:val="1A1A1A"/>
                <w:sz w:val="18"/>
              </w:rPr>
              <w:t>索引条目与公开内容（未获全文）</w:t>
            </w:r>
          </w:p>
        </w:tc>
      </w:tr>
      <w:tr>
        <w:tc>
          <w:tcPr>
            <w:tcW w:type="dxa" w:w="1511"/>
          </w:tcPr>
          <w:p>
            <w:r>
              <w:rPr>
                <w:rFonts w:ascii="Times New Roman" w:hAnsi="Times New Roman" w:eastAsia="宋体"/>
                <w:b w:val="0"/>
                <w:i w:val="0"/>
                <w:color w:val="1A1A1A"/>
                <w:sz w:val="18"/>
                <w:vertAlign w:val="superscript"/>
              </w:rPr>
              <w:t>[2]</w:t>
            </w:r>
          </w:p>
        </w:tc>
        <w:tc>
          <w:tcPr>
            <w:tcW w:type="dxa" w:w="1511"/>
          </w:tcPr>
          <w:p>
            <w:r>
              <w:rPr>
                <w:rFonts w:ascii="Times New Roman" w:hAnsi="Times New Roman" w:eastAsia="宋体"/>
                <w:b w:val="0"/>
                <w:i w:val="0"/>
                <w:color w:val="1A1A1A"/>
                <w:sz w:val="18"/>
              </w:rPr>
              <w:t>中华心血管病杂志编辑委员会（2014）</w:t>
            </w:r>
          </w:p>
        </w:tc>
        <w:tc>
          <w:tcPr>
            <w:tcW w:type="dxa" w:w="1511"/>
          </w:tcPr>
          <w:p>
            <w:r>
              <w:rPr>
                <w:rFonts w:ascii="Times New Roman" w:hAnsi="Times New Roman" w:eastAsia="宋体"/>
                <w:b w:val="0"/>
                <w:i w:val="0"/>
                <w:color w:val="1A1A1A"/>
                <w:sz w:val="18"/>
              </w:rPr>
              <w:t>专家共识</w:t>
            </w:r>
          </w:p>
        </w:tc>
        <w:tc>
          <w:tcPr>
            <w:tcW w:type="dxa" w:w="1511"/>
          </w:tcPr>
          <w:p>
            <w:r>
              <w:rPr>
                <w:rFonts w:ascii="Times New Roman" w:hAnsi="Times New Roman" w:eastAsia="宋体"/>
                <w:b w:val="0"/>
                <w:i w:val="0"/>
                <w:color w:val="1A1A1A"/>
                <w:sz w:val="18"/>
              </w:rPr>
              <w:t>急性非创伤性胸痛患者</w:t>
            </w:r>
          </w:p>
        </w:tc>
        <w:tc>
          <w:tcPr>
            <w:tcW w:type="dxa" w:w="1511"/>
          </w:tcPr>
          <w:p>
            <w:r>
              <w:rPr>
                <w:rFonts w:ascii="Times New Roman" w:hAnsi="Times New Roman" w:eastAsia="宋体"/>
                <w:b w:val="0"/>
                <w:i w:val="0"/>
                <w:color w:val="1A1A1A"/>
                <w:sz w:val="18"/>
              </w:rPr>
              <w:t>五</w:t>
            </w:r>
          </w:p>
        </w:tc>
        <w:tc>
          <w:tcPr>
            <w:tcW w:type="dxa" w:w="1511"/>
          </w:tcPr>
          <w:p>
            <w:r>
              <w:rPr>
                <w:rFonts w:ascii="Times New Roman" w:hAnsi="Times New Roman" w:eastAsia="宋体"/>
                <w:b w:val="0"/>
                <w:i w:val="0"/>
                <w:color w:val="1A1A1A"/>
                <w:sz w:val="18"/>
              </w:rPr>
              <w:t>索引条目描述（未获全文）</w:t>
            </w:r>
          </w:p>
        </w:tc>
      </w:tr>
      <w:tr>
        <w:tc>
          <w:tcPr>
            <w:tcW w:type="dxa" w:w="1511"/>
          </w:tcPr>
          <w:p>
            <w:r>
              <w:rPr>
                <w:rFonts w:ascii="Times New Roman" w:hAnsi="Times New Roman" w:eastAsia="宋体"/>
                <w:b w:val="0"/>
                <w:i w:val="0"/>
                <w:color w:val="1A1A1A"/>
                <w:sz w:val="18"/>
                <w:vertAlign w:val="superscript"/>
              </w:rPr>
              <w:t>[19]</w:t>
            </w:r>
          </w:p>
        </w:tc>
        <w:tc>
          <w:tcPr>
            <w:tcW w:type="dxa" w:w="1511"/>
          </w:tcPr>
          <w:p>
            <w:r>
              <w:rPr>
                <w:rFonts w:ascii="Times New Roman" w:hAnsi="Times New Roman" w:eastAsia="宋体"/>
                <w:b w:val="0"/>
                <w:i w:val="0"/>
                <w:color w:val="1A1A1A"/>
                <w:sz w:val="18"/>
              </w:rPr>
              <w:t>中华医学会（2019）</w:t>
            </w:r>
          </w:p>
        </w:tc>
        <w:tc>
          <w:tcPr>
            <w:tcW w:type="dxa" w:w="1511"/>
          </w:tcPr>
          <w:p>
            <w:r>
              <w:rPr>
                <w:rFonts w:ascii="Times New Roman" w:hAnsi="Times New Roman" w:eastAsia="宋体"/>
                <w:b w:val="0"/>
                <w:i w:val="0"/>
                <w:color w:val="1A1A1A"/>
                <w:sz w:val="18"/>
              </w:rPr>
              <w:t>基层诊疗指南</w:t>
            </w:r>
          </w:p>
        </w:tc>
        <w:tc>
          <w:tcPr>
            <w:tcW w:type="dxa" w:w="1511"/>
          </w:tcPr>
          <w:p>
            <w:r>
              <w:rPr>
                <w:rFonts w:ascii="Times New Roman" w:hAnsi="Times New Roman" w:eastAsia="宋体"/>
                <w:b w:val="0"/>
                <w:i w:val="0"/>
                <w:color w:val="1A1A1A"/>
                <w:sz w:val="18"/>
              </w:rPr>
              <w:t>基层首诊胸痛患者</w:t>
            </w:r>
          </w:p>
        </w:tc>
        <w:tc>
          <w:tcPr>
            <w:tcW w:type="dxa" w:w="1511"/>
          </w:tcPr>
          <w:p>
            <w:r>
              <w:rPr>
                <w:rFonts w:ascii="Times New Roman" w:hAnsi="Times New Roman" w:eastAsia="宋体"/>
                <w:b w:val="0"/>
                <w:i w:val="0"/>
                <w:color w:val="1A1A1A"/>
                <w:sz w:val="18"/>
              </w:rPr>
              <w:t>五</w:t>
            </w:r>
          </w:p>
        </w:tc>
        <w:tc>
          <w:tcPr>
            <w:tcW w:type="dxa" w:w="1511"/>
          </w:tcPr>
          <w:p>
            <w:r>
              <w:rPr>
                <w:rFonts w:ascii="Times New Roman" w:hAnsi="Times New Roman" w:eastAsia="宋体"/>
                <w:b w:val="0"/>
                <w:i w:val="0"/>
                <w:color w:val="1A1A1A"/>
                <w:sz w:val="18"/>
              </w:rPr>
              <w:t>索引条目描述（未获全文）</w:t>
            </w:r>
          </w:p>
        </w:tc>
      </w:tr>
    </w:tbl>
    <w:p>
      <w:pPr>
        <w:spacing w:after="80"/>
      </w:pPr>
    </w:p>
    <w:p>
      <w:pPr>
        <w:spacing w:after="120" w:line="360" w:lineRule="auto"/>
        <w:ind w:firstLine="420"/>
      </w:pPr>
      <w:r>
        <w:rPr>
          <w:rFonts w:ascii="Times New Roman" w:hAnsi="Times New Roman" w:eastAsia="宋体"/>
          <w:b w:val="0"/>
          <w:i w:val="0"/>
          <w:color w:val="1A1A1A"/>
          <w:sz w:val="21"/>
        </w:rPr>
        <w:t>注：证据域一至五依次为硝酸甘油症状反应的诊断价值、ALDH2 rs671的分布与药效学、速效救心丸的随机对照证据、院前延迟与结局、急诊评估路径。</w:t>
      </w:r>
      <w:r>
        <w:rPr>
          <w:rFonts w:ascii="Times New Roman" w:hAnsi="Times New Roman" w:eastAsia="宋体"/>
          <w:b w:val="0"/>
          <w:i w:val="0"/>
          <w:color w:val="1A1A1A"/>
          <w:sz w:val="21"/>
          <w:vertAlign w:val="superscript"/>
        </w:rPr>
        <w:t>[16]</w:t>
      </w:r>
      <w:r>
        <w:rPr>
          <w:rFonts w:ascii="Times New Roman" w:hAnsi="Times New Roman" w:eastAsia="宋体"/>
          <w:b w:val="0"/>
          <w:i w:val="0"/>
          <w:color w:val="1A1A1A"/>
          <w:sz w:val="21"/>
        </w:rPr>
        <w:t>与</w:t>
      </w:r>
      <w:r>
        <w:rPr>
          <w:rFonts w:ascii="Times New Roman" w:hAnsi="Times New Roman" w:eastAsia="宋体"/>
          <w:b w:val="0"/>
          <w:i w:val="0"/>
          <w:color w:val="1A1A1A"/>
          <w:sz w:val="21"/>
          <w:vertAlign w:val="superscript"/>
        </w:rPr>
        <w:t>[17]</w:t>
      </w:r>
      <w:r>
        <w:rPr>
          <w:rFonts w:ascii="Times New Roman" w:hAnsi="Times New Roman" w:eastAsia="宋体"/>
          <w:b w:val="0"/>
          <w:i w:val="0"/>
          <w:color w:val="1A1A1A"/>
          <w:sz w:val="21"/>
        </w:rPr>
        <w:t>为支持性引用，未纳入本文的原文获取层级评定，故获取程度记为"未记录"。</w:t>
      </w:r>
    </w:p>
    <w:p>
      <w:pPr>
        <w:spacing w:after="80" w:line="312" w:lineRule="auto" w:before="160"/>
      </w:pPr>
      <w:r>
        <w:rPr>
          <w:rFonts w:ascii="Times New Roman" w:hAnsi="Times New Roman" w:eastAsia="黑体"/>
          <w:b/>
          <w:i w:val="0"/>
          <w:color w:val="1A1A1A"/>
          <w:sz w:val="22"/>
        </w:rPr>
        <w:t>3.2 症状对含服硝酸甘油的反应不具病因判别价值</w:t>
      </w:r>
    </w:p>
    <w:p>
      <w:pPr>
        <w:spacing w:after="120" w:line="360" w:lineRule="auto"/>
        <w:ind w:firstLine="420"/>
      </w:pPr>
      <w:r>
        <w:rPr>
          <w:rFonts w:ascii="Times New Roman" w:hAnsi="Times New Roman" w:eastAsia="宋体"/>
          <w:b w:val="0"/>
          <w:i w:val="0"/>
          <w:color w:val="1A1A1A"/>
          <w:sz w:val="21"/>
        </w:rPr>
        <w:t>三项设计与场景各不相同的独立研究，在这一问题上给出方向一致的阴性结论。Henrikson等于2003年报告的前瞻性研究纳入459例因胸痛行冠状动脉造影的连续患者，以任一主要心外膜冠状动脉狭窄达到或超过70%定义活动性冠心病，评价舌下含服硝酸甘油后胸痛缓解对活动性冠心病的预测价值，结论为硝酸甘油缓解胸痛不能预测活动性冠状动脉疾病</w:t>
      </w:r>
      <w:r>
        <w:rPr>
          <w:rFonts w:ascii="Times New Roman" w:hAnsi="Times New Roman" w:eastAsia="宋体"/>
          <w:b w:val="0"/>
          <w:i w:val="0"/>
          <w:color w:val="1A1A1A"/>
          <w:sz w:val="21"/>
          <w:vertAlign w:val="superscript"/>
        </w:rPr>
        <w:t>[6]</w:t>
      </w:r>
      <w:r>
        <w:rPr>
          <w:rFonts w:ascii="Times New Roman" w:hAnsi="Times New Roman" w:eastAsia="宋体"/>
          <w:b w:val="0"/>
          <w:i w:val="0"/>
          <w:color w:val="1A1A1A"/>
          <w:sz w:val="21"/>
        </w:rPr>
        <w:t>。Steele等于2006年报告的急诊科前瞻性观察研究发现，硝酸甘油缓解胸痛在心脏性与非心脏性胸痛患者中发生率相似；该研究报告，硝酸甘油反应判断心源性胸痛的灵敏度为72%（64%~80%），特异度为37%（34%~41%），并明确表述硝酸甘油缓解胸痛不是可靠的诊断试验、不能区分心源性与非心源性胸痛</w:t>
      </w:r>
      <w:r>
        <w:rPr>
          <w:rFonts w:ascii="Times New Roman" w:hAnsi="Times New Roman" w:eastAsia="宋体"/>
          <w:b w:val="0"/>
          <w:i w:val="0"/>
          <w:color w:val="1A1A1A"/>
          <w:sz w:val="21"/>
          <w:vertAlign w:val="superscript"/>
        </w:rPr>
        <w:t>[7]</w:t>
      </w:r>
      <w:r>
        <w:rPr>
          <w:rFonts w:ascii="Times New Roman" w:hAnsi="Times New Roman" w:eastAsia="宋体"/>
          <w:b w:val="0"/>
          <w:i w:val="0"/>
          <w:color w:val="1A1A1A"/>
          <w:sz w:val="21"/>
        </w:rPr>
        <w:t>。其入组例数在本文可得的来源记录之间不一致，分别记为221例与270例急诊胸痛患者，本轮未能取得可判定的一致记载，故两种记载并存列出；括号内区间的类型（是否为95%置信区间）在可得来源中亦未标注，本文按原样照录而不指认其类型。Diercks等于2005年对595例急诊胸痛患者进行的前瞻性评估则显示，舌下含服硝酸甘油后数字疼痛评分的变化不能预测胸痛的心脏病因</w:t>
      </w:r>
      <w:r>
        <w:rPr>
          <w:rFonts w:ascii="Times New Roman" w:hAnsi="Times New Roman" w:eastAsia="宋体"/>
          <w:b w:val="0"/>
          <w:i w:val="0"/>
          <w:color w:val="1A1A1A"/>
          <w:sz w:val="21"/>
          <w:vertAlign w:val="superscript"/>
        </w:rPr>
        <w:t>[8]</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上述灵敏度与特异度可以进一步转换为对决策更直观的形式。以72%与37%为输入，按阳性似然比等于灵敏度除以（1减特异度）计算，得阳性似然比约为1.1；此为本文推算值而非原文报告值，其假设为两项估计取自同一人群且相互独立，其敏感性在于灵敏度与特异度的区间下限与上限组合会使该值在约0.97至1.36之间浮动（下限取0.64/(1−0.34)=0.97，上限取0.80/(1−0.41)=1.36）。区间上限1.36仍落在弱似然比范围内，因此无论取区间内何值，含义相同：得知"含服后缓解"这一事实，几乎不改变心源性病因的验后概率。</w:t>
      </w:r>
    </w:p>
    <w:p>
      <w:pPr>
        <w:spacing w:after="120" w:line="360" w:lineRule="auto"/>
        <w:ind w:firstLine="420"/>
      </w:pPr>
      <w:r>
        <w:rPr>
          <w:rFonts w:ascii="Times New Roman" w:hAnsi="Times New Roman" w:eastAsia="宋体"/>
          <w:b w:val="0"/>
          <w:i w:val="0"/>
          <w:color w:val="1A1A1A"/>
          <w:sz w:val="21"/>
        </w:rPr>
        <w:t>三项研究的综合结论——含服硝酸甘油后的症状反应不具备心源性病因的判别价值——本文对其方向的置信度评为高，理由是三项研究的样本量、场景与结局定义互不相同而结论方向完全一致；其限制在于三项均为观察性设计，且其中两项仅达摘要层级，方法学细节未能逐字核对。</w:t>
      </w:r>
    </w:p>
    <w:p>
      <w:pPr>
        <w:spacing w:after="120" w:line="360" w:lineRule="auto"/>
        <w:ind w:firstLine="420"/>
      </w:pPr>
      <w:r>
        <w:rPr>
          <w:rFonts w:ascii="Times New Roman" w:hAnsi="Times New Roman" w:eastAsia="宋体"/>
          <w:b w:val="0"/>
          <w:i w:val="0"/>
          <w:color w:val="1A1A1A"/>
          <w:sz w:val="21"/>
        </w:rPr>
        <w:t>证据的直接性限制需如实指出。三项研究的人群均为已到达急诊科或已接受冠状动脉造影者，其评价的是在已知冠脉病变状态或最终诊断的人群中回溯服药反应的鉴别力，而不是在院外场景中前瞻性检验"服药后是否缓解"能否作为"是否就医"的判断依据。后者属于证据缺口，本轮检索未发现相应研究。就推理方向而言，这一缺口并不削弱结论：在结局已知的验证人群中该反应已无鉴别力，在病因完全未知的院外场景中其表现不可能更优。</w:t>
      </w:r>
    </w:p>
    <w:p>
      <w:pPr>
        <w:spacing w:after="120" w:line="360" w:lineRule="auto"/>
        <w:ind w:firstLine="420"/>
      </w:pPr>
      <w:r>
        <w:rPr>
          <w:rFonts w:ascii="Times New Roman" w:hAnsi="Times New Roman" w:eastAsia="宋体"/>
          <w:b w:val="0"/>
          <w:i w:val="0"/>
          <w:color w:val="1A1A1A"/>
          <w:sz w:val="21"/>
        </w:rPr>
        <w:t>这一结果对本文命题具有结构性意义。若症状对含服药物的反应无法区分病因，则"先试哪一种药"这一提问无法通过试药本身得到答案。该推论独立于所试药物是什么，因而同样适用于速效救心丸——而后者的情况更为薄弱：本轮检索未发现任何评价速效救心丸病因判别价值的研究，此项亦属证据缺口。</w:t>
      </w:r>
    </w:p>
    <w:p>
      <w:pPr>
        <w:spacing w:after="80" w:line="312" w:lineRule="auto" w:before="160"/>
      </w:pPr>
      <w:r>
        <w:rPr>
          <w:rFonts w:ascii="Times New Roman" w:hAnsi="Times New Roman" w:eastAsia="黑体"/>
          <w:b/>
          <w:i w:val="0"/>
          <w:color w:val="1A1A1A"/>
          <w:sz w:val="22"/>
        </w:rPr>
        <w:t>3.3 ALDH2 rs671 的人群分布与硝酸甘油的生物活化</w:t>
      </w:r>
    </w:p>
    <w:p>
      <w:pPr>
        <w:spacing w:after="120" w:line="360" w:lineRule="auto"/>
        <w:ind w:firstLine="420"/>
      </w:pPr>
      <w:r>
        <w:rPr>
          <w:rFonts w:ascii="Times New Roman" w:hAnsi="Times New Roman" w:eastAsia="宋体"/>
          <w:b w:val="0"/>
          <w:i w:val="0"/>
          <w:color w:val="1A1A1A"/>
          <w:sz w:val="21"/>
        </w:rPr>
        <w:t>硝酸甘油的药效依赖于生物活化。Li等于2006年报告，ALDH2催化硝酸甘油转化为一氧化氮与1,2-二硝酸甘油酯，rs671位点（Glu504Lys，G→A）导致ALDH2酶活性显著降低或缺失，且该变异在东亚人群中高度富集</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。Guo等的研究进一步提示，降钙素基因相关肽途径参与硝酸甘油的血管舒张效应，并与ALDH2 Glu504Lys多态性相关</w:t>
      </w:r>
      <w:r>
        <w:rPr>
          <w:rFonts w:ascii="Times New Roman" w:hAnsi="Times New Roman" w:eastAsia="宋体"/>
          <w:b w:val="0"/>
          <w:i w:val="0"/>
          <w:color w:val="1A1A1A"/>
          <w:sz w:val="21"/>
          <w:vertAlign w:val="superscript"/>
        </w:rPr>
        <w:t>[9]</w:t>
      </w:r>
      <w:r>
        <w:rPr>
          <w:rFonts w:ascii="Times New Roman" w:hAnsi="Times New Roman" w:eastAsia="宋体"/>
          <w:b w:val="0"/>
          <w:i w:val="0"/>
          <w:color w:val="1A1A1A"/>
          <w:sz w:val="21"/>
        </w:rPr>
        <w:t>。中文期刊亦有关于ALDH2基因多态性与硝酸甘油疗效关系的报告</w:t>
      </w:r>
      <w:r>
        <w:rPr>
          <w:rFonts w:ascii="Times New Roman" w:hAnsi="Times New Roman" w:eastAsia="宋体"/>
          <w:b w:val="0"/>
          <w:i w:val="0"/>
          <w:color w:val="1A1A1A"/>
          <w:sz w:val="21"/>
          <w:vertAlign w:val="superscript"/>
        </w:rPr>
        <w:t>[12]</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人群分布方面，基于141 431例中国全基因组数据的分析将ALDH2 rs671确定为中国人群特异性的常见功能变异，该变异在其他人群参考数据库中不存在或极为罕见</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。在一项150 722例中国成人的11年前瞻性队列中，rs671 A等位基因频率为0.21</w:t>
      </w:r>
      <w:r>
        <w:rPr>
          <w:rFonts w:ascii="Times New Roman" w:hAnsi="Times New Roman" w:eastAsia="宋体"/>
          <w:b w:val="0"/>
          <w:i w:val="0"/>
          <w:color w:val="1A1A1A"/>
          <w:sz w:val="21"/>
          <w:vertAlign w:val="superscript"/>
        </w:rPr>
        <w:t>[10]</w:t>
      </w:r>
      <w:r>
        <w:rPr>
          <w:rFonts w:ascii="Times New Roman" w:hAnsi="Times New Roman" w:eastAsia="宋体"/>
          <w:b w:val="0"/>
          <w:i w:val="0"/>
          <w:color w:val="1A1A1A"/>
          <w:sz w:val="21"/>
        </w:rPr>
        <w:t>。该数值的出处需加说明：其逐字支持语句可在该来源的全文中比对，来源以PMC7612513（PMID 35048370）标识，题名为《Alcohol metabolism genes and risks of site-specific cancers in Chinese adults: An 11-year prospective study》；本文可得的来源记录曾把该数值归于另一篇以中国男性为对象的队列论文，经比对逐字证据后予以更正，但该来源的完整题录（作者、期刊、卷页）在本轮未能核验，故表1的获取程度按此注明。据此可推算基因型分布，结果见表2。该地区分布并非均一：中国南方人群的rs671 A等位基因频率高于北方，呈南北梯度</w:t>
      </w:r>
      <w:r>
        <w:rPr>
          <w:rFonts w:ascii="Times New Roman" w:hAnsi="Times New Roman" w:eastAsia="宋体"/>
          <w:b w:val="0"/>
          <w:i w:val="0"/>
          <w:color w:val="1A1A1A"/>
          <w:sz w:val="21"/>
          <w:vertAlign w:val="superscript"/>
        </w:rPr>
        <w:t>[11]</w:t>
      </w:r>
      <w:r>
        <w:rPr>
          <w:rFonts w:ascii="Times New Roman" w:hAnsi="Times New Roman" w:eastAsia="宋体"/>
          <w:b w:val="0"/>
          <w:i w:val="0"/>
          <w:color w:val="1A1A1A"/>
          <w:sz w:val="21"/>
        </w:rPr>
        <w:t>。</w:t>
      </w:r>
    </w:p>
    <w:p>
      <w:pPr>
        <w:spacing w:after="60" w:line="360" w:lineRule="auto"/>
        <w:jc w:val="center"/>
      </w:pPr>
      <w:r>
        <w:rPr>
          <w:rFonts w:ascii="Times New Roman" w:hAnsi="Times New Roman" w:eastAsia="宋体"/>
          <w:b/>
          <w:i w:val="0"/>
          <w:color w:val="1A1A1A"/>
          <w:sz w:val="19"/>
        </w:rPr>
        <w:t>表2</w:t>
      </w:r>
      <w:r>
        <w:rPr>
          <w:rFonts w:ascii="Times New Roman" w:hAnsi="Times New Roman" w:eastAsia="宋体"/>
          <w:b w:val="0"/>
          <w:i w:val="0"/>
          <w:color w:val="1A1A1A"/>
          <w:sz w:val="19"/>
        </w:rPr>
        <w:t xml:space="preserve"> ALDH2 rs671 在中国人群中的等位基因与基因型分布</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3022"/>
        <w:gridCol w:w="3022"/>
        <w:gridCol w:w="3022"/>
      </w:tblGrid>
      <w:tr>
        <w:tc>
          <w:tcPr>
            <w:tcW w:type="dxa" w:w="3022"/>
            <w:tcBorders>
              <w:bottom w:val="single" w:sz="6" w:color="1A1A1A"/>
            </w:tcBorders>
          </w:tcPr>
          <w:p>
            <w:pPr>
              <w:jc w:val="center"/>
            </w:pPr>
            <w:r>
              <w:rPr>
                <w:rFonts w:ascii="Times New Roman" w:hAnsi="Times New Roman" w:eastAsia="宋体"/>
                <w:b/>
                <w:i w:val="0"/>
                <w:color w:val="1A1A1A"/>
                <w:sz w:val="18"/>
              </w:rPr>
              <w:t>参数</w:t>
            </w:r>
          </w:p>
        </w:tc>
        <w:tc>
          <w:tcPr>
            <w:tcW w:type="dxa" w:w="3022"/>
            <w:tcBorders>
              <w:bottom w:val="single" w:sz="6" w:color="1A1A1A"/>
            </w:tcBorders>
          </w:tcPr>
          <w:p>
            <w:pPr>
              <w:jc w:val="center"/>
            </w:pPr>
            <w:r>
              <w:rPr>
                <w:rFonts w:ascii="Times New Roman" w:hAnsi="Times New Roman" w:eastAsia="宋体"/>
                <w:b/>
                <w:i w:val="0"/>
                <w:color w:val="1A1A1A"/>
                <w:sz w:val="18"/>
              </w:rPr>
              <w:t>数值</w:t>
            </w:r>
          </w:p>
        </w:tc>
        <w:tc>
          <w:tcPr>
            <w:tcW w:type="dxa" w:w="3022"/>
            <w:tcBorders>
              <w:bottom w:val="single" w:sz="6" w:color="1A1A1A"/>
            </w:tcBorders>
          </w:tcPr>
          <w:p>
            <w:pPr>
              <w:jc w:val="center"/>
            </w:pPr>
            <w:r>
              <w:rPr>
                <w:rFonts w:ascii="Times New Roman" w:hAnsi="Times New Roman" w:eastAsia="宋体"/>
                <w:b/>
                <w:i w:val="0"/>
                <w:color w:val="1A1A1A"/>
                <w:sz w:val="18"/>
              </w:rPr>
              <w:t>数据性质与来源</w:t>
            </w:r>
          </w:p>
        </w:tc>
      </w:tr>
      <w:tr>
        <w:tc>
          <w:tcPr>
            <w:tcW w:type="dxa" w:w="3022"/>
          </w:tcPr>
          <w:p>
            <w:r>
              <w:rPr>
                <w:rFonts w:ascii="Times New Roman" w:hAnsi="Times New Roman" w:eastAsia="宋体"/>
                <w:b w:val="0"/>
                <w:i w:val="0"/>
                <w:color w:val="1A1A1A"/>
                <w:sz w:val="18"/>
              </w:rPr>
              <w:t>A等位基因频率</w:t>
            </w:r>
          </w:p>
        </w:tc>
        <w:tc>
          <w:tcPr>
            <w:tcW w:type="dxa" w:w="3022"/>
          </w:tcPr>
          <w:p>
            <w:r>
              <w:rPr>
                <w:rFonts w:ascii="Times New Roman" w:hAnsi="Times New Roman" w:eastAsia="宋体"/>
                <w:b w:val="0"/>
                <w:i w:val="0"/>
                <w:color w:val="1A1A1A"/>
                <w:sz w:val="18"/>
              </w:rPr>
              <w:t>0.21</w:t>
            </w:r>
          </w:p>
        </w:tc>
        <w:tc>
          <w:tcPr>
            <w:tcW w:type="dxa" w:w="3022"/>
          </w:tcPr>
          <w:p>
            <w:r>
              <w:rPr>
                <w:rFonts w:ascii="Times New Roman" w:hAnsi="Times New Roman" w:eastAsia="宋体"/>
                <w:b w:val="0"/>
                <w:i w:val="0"/>
                <w:color w:val="1A1A1A"/>
                <w:sz w:val="18"/>
              </w:rPr>
              <w:t>原文报告值，150 722例中国成人队列</w:t>
            </w:r>
            <w:r>
              <w:rPr>
                <w:rFonts w:ascii="Times New Roman" w:hAnsi="Times New Roman" w:eastAsia="宋体"/>
                <w:b w:val="0"/>
                <w:i w:val="0"/>
                <w:color w:val="1A1A1A"/>
                <w:sz w:val="18"/>
                <w:vertAlign w:val="superscript"/>
              </w:rPr>
              <w:t>[10]</w:t>
            </w:r>
            <w:r>
              <w:rPr>
                <w:rFonts w:ascii="Times New Roman" w:hAnsi="Times New Roman" w:eastAsia="宋体"/>
                <w:b w:val="0"/>
                <w:i w:val="0"/>
                <w:color w:val="1A1A1A"/>
                <w:sz w:val="18"/>
              </w:rPr>
              <w:t>（题录未完全核验，见正文）</w:t>
            </w:r>
          </w:p>
        </w:tc>
      </w:tr>
      <w:tr>
        <w:tc>
          <w:tcPr>
            <w:tcW w:type="dxa" w:w="3022"/>
          </w:tcPr>
          <w:p>
            <w:r>
              <w:rPr>
                <w:rFonts w:ascii="Times New Roman" w:hAnsi="Times New Roman" w:eastAsia="宋体"/>
                <w:b w:val="0"/>
                <w:i w:val="0"/>
                <w:color w:val="1A1A1A"/>
                <w:sz w:val="18"/>
              </w:rPr>
              <w:t>GG基因型（酶活性正常）</w:t>
            </w:r>
          </w:p>
        </w:tc>
        <w:tc>
          <w:tcPr>
            <w:tcW w:type="dxa" w:w="3022"/>
          </w:tcPr>
          <w:p>
            <w:r>
              <w:rPr>
                <w:rFonts w:ascii="Times New Roman" w:hAnsi="Times New Roman" w:eastAsia="宋体"/>
                <w:b w:val="0"/>
                <w:i w:val="0"/>
                <w:color w:val="1A1A1A"/>
                <w:sz w:val="18"/>
              </w:rPr>
              <w:t>约62.4%</w:t>
            </w:r>
          </w:p>
        </w:tc>
        <w:tc>
          <w:tcPr>
            <w:tcW w:type="dxa" w:w="3022"/>
          </w:tcPr>
          <w:p>
            <w:r>
              <w:rPr>
                <w:rFonts w:ascii="Times New Roman" w:hAnsi="Times New Roman" w:eastAsia="宋体"/>
                <w:b w:val="0"/>
                <w:i w:val="0"/>
                <w:color w:val="1A1A1A"/>
                <w:sz w:val="18"/>
              </w:rPr>
              <w:t>本文推算值</w:t>
            </w:r>
          </w:p>
        </w:tc>
      </w:tr>
      <w:tr>
        <w:tc>
          <w:tcPr>
            <w:tcW w:type="dxa" w:w="3022"/>
          </w:tcPr>
          <w:p>
            <w:r>
              <w:rPr>
                <w:rFonts w:ascii="Times New Roman" w:hAnsi="Times New Roman" w:eastAsia="宋体"/>
                <w:b w:val="0"/>
                <w:i w:val="0"/>
                <w:color w:val="1A1A1A"/>
                <w:sz w:val="18"/>
              </w:rPr>
              <w:t>GA基因型（酶活性降低）</w:t>
            </w:r>
          </w:p>
        </w:tc>
        <w:tc>
          <w:tcPr>
            <w:tcW w:type="dxa" w:w="3022"/>
          </w:tcPr>
          <w:p>
            <w:r>
              <w:rPr>
                <w:rFonts w:ascii="Times New Roman" w:hAnsi="Times New Roman" w:eastAsia="宋体"/>
                <w:b w:val="0"/>
                <w:i w:val="0"/>
                <w:color w:val="1A1A1A"/>
                <w:sz w:val="18"/>
              </w:rPr>
              <w:t>约33.2%</w:t>
            </w:r>
          </w:p>
        </w:tc>
        <w:tc>
          <w:tcPr>
            <w:tcW w:type="dxa" w:w="3022"/>
          </w:tcPr>
          <w:p>
            <w:r>
              <w:rPr>
                <w:rFonts w:ascii="Times New Roman" w:hAnsi="Times New Roman" w:eastAsia="宋体"/>
                <w:b w:val="0"/>
                <w:i w:val="0"/>
                <w:color w:val="1A1A1A"/>
                <w:sz w:val="18"/>
              </w:rPr>
              <w:t>本文推算值</w:t>
            </w:r>
          </w:p>
        </w:tc>
      </w:tr>
      <w:tr>
        <w:tc>
          <w:tcPr>
            <w:tcW w:type="dxa" w:w="3022"/>
          </w:tcPr>
          <w:p>
            <w:r>
              <w:rPr>
                <w:rFonts w:ascii="Times New Roman" w:hAnsi="Times New Roman" w:eastAsia="宋体"/>
                <w:b w:val="0"/>
                <w:i w:val="0"/>
                <w:color w:val="1A1A1A"/>
                <w:sz w:val="18"/>
              </w:rPr>
              <w:t>AA基因型（酶活性几乎完全缺失）</w:t>
            </w:r>
          </w:p>
        </w:tc>
        <w:tc>
          <w:tcPr>
            <w:tcW w:type="dxa" w:w="3022"/>
          </w:tcPr>
          <w:p>
            <w:r>
              <w:rPr>
                <w:rFonts w:ascii="Times New Roman" w:hAnsi="Times New Roman" w:eastAsia="宋体"/>
                <w:b w:val="0"/>
                <w:i w:val="0"/>
                <w:color w:val="1A1A1A"/>
                <w:sz w:val="18"/>
              </w:rPr>
              <w:t>约4.4%</w:t>
            </w:r>
          </w:p>
        </w:tc>
        <w:tc>
          <w:tcPr>
            <w:tcW w:type="dxa" w:w="3022"/>
          </w:tcPr>
          <w:p>
            <w:r>
              <w:rPr>
                <w:rFonts w:ascii="Times New Roman" w:hAnsi="Times New Roman" w:eastAsia="宋体"/>
                <w:b w:val="0"/>
                <w:i w:val="0"/>
                <w:color w:val="1A1A1A"/>
                <w:sz w:val="18"/>
              </w:rPr>
              <w:t>本文推算值</w:t>
            </w:r>
          </w:p>
        </w:tc>
      </w:tr>
      <w:tr>
        <w:tc>
          <w:tcPr>
            <w:tcW w:type="dxa" w:w="3022"/>
          </w:tcPr>
          <w:p>
            <w:r>
              <w:rPr>
                <w:rFonts w:ascii="Times New Roman" w:hAnsi="Times New Roman" w:eastAsia="宋体"/>
                <w:b w:val="0"/>
                <w:i w:val="0"/>
                <w:color w:val="1A1A1A"/>
                <w:sz w:val="18"/>
              </w:rPr>
              <w:t>至少携带一个A等位基因者</w:t>
            </w:r>
          </w:p>
        </w:tc>
        <w:tc>
          <w:tcPr>
            <w:tcW w:type="dxa" w:w="3022"/>
          </w:tcPr>
          <w:p>
            <w:r>
              <w:rPr>
                <w:rFonts w:ascii="Times New Roman" w:hAnsi="Times New Roman" w:eastAsia="宋体"/>
                <w:b w:val="0"/>
                <w:i w:val="0"/>
                <w:color w:val="1A1A1A"/>
                <w:sz w:val="18"/>
              </w:rPr>
              <w:t>约37.6%</w:t>
            </w:r>
          </w:p>
        </w:tc>
        <w:tc>
          <w:tcPr>
            <w:tcW w:type="dxa" w:w="3022"/>
          </w:tcPr>
          <w:p>
            <w:r>
              <w:rPr>
                <w:rFonts w:ascii="Times New Roman" w:hAnsi="Times New Roman" w:eastAsia="宋体"/>
                <w:b w:val="0"/>
                <w:i w:val="0"/>
                <w:color w:val="1A1A1A"/>
                <w:sz w:val="18"/>
              </w:rPr>
              <w:t>本文推算值</w:t>
            </w:r>
          </w:p>
        </w:tc>
      </w:tr>
      <w:tr>
        <w:tc>
          <w:tcPr>
            <w:tcW w:type="dxa" w:w="3022"/>
          </w:tcPr>
          <w:p>
            <w:r>
              <w:rPr>
                <w:rFonts w:ascii="Times New Roman" w:hAnsi="Times New Roman" w:eastAsia="宋体"/>
                <w:b w:val="0"/>
                <w:i w:val="0"/>
                <w:color w:val="1A1A1A"/>
                <w:sz w:val="18"/>
              </w:rPr>
              <w:t>人群特异性</w:t>
            </w:r>
          </w:p>
        </w:tc>
        <w:tc>
          <w:tcPr>
            <w:tcW w:type="dxa" w:w="3022"/>
          </w:tcPr>
          <w:p>
            <w:r>
              <w:rPr>
                <w:rFonts w:ascii="Times New Roman" w:hAnsi="Times New Roman" w:eastAsia="宋体"/>
                <w:b w:val="0"/>
                <w:i w:val="0"/>
                <w:color w:val="1A1A1A"/>
                <w:sz w:val="18"/>
              </w:rPr>
              <w:t>在其他参考人群中不存在或极为罕见</w:t>
            </w:r>
          </w:p>
        </w:tc>
        <w:tc>
          <w:tcPr>
            <w:tcW w:type="dxa" w:w="3022"/>
          </w:tcPr>
          <w:p>
            <w:r>
              <w:rPr>
                <w:rFonts w:ascii="Times New Roman" w:hAnsi="Times New Roman" w:eastAsia="宋体"/>
                <w:b w:val="0"/>
                <w:i w:val="0"/>
                <w:color w:val="1A1A1A"/>
                <w:sz w:val="18"/>
              </w:rPr>
              <w:t>原文报告，141 431例中国全基因组数据</w:t>
            </w:r>
            <w:r>
              <w:rPr>
                <w:rFonts w:ascii="Times New Roman" w:hAnsi="Times New Roman" w:eastAsia="宋体"/>
                <w:b w:val="0"/>
                <w:i w:val="0"/>
                <w:color w:val="1A1A1A"/>
                <w:sz w:val="18"/>
                <w:vertAlign w:val="superscript"/>
              </w:rPr>
              <w:t>[5]</w:t>
            </w:r>
          </w:p>
        </w:tc>
      </w:tr>
      <w:tr>
        <w:tc>
          <w:tcPr>
            <w:tcW w:type="dxa" w:w="3022"/>
          </w:tcPr>
          <w:p>
            <w:r>
              <w:rPr>
                <w:rFonts w:ascii="Times New Roman" w:hAnsi="Times New Roman" w:eastAsia="宋体"/>
                <w:b w:val="0"/>
                <w:i w:val="0"/>
                <w:color w:val="1A1A1A"/>
                <w:sz w:val="18"/>
              </w:rPr>
              <w:t>地域分布</w:t>
            </w:r>
          </w:p>
        </w:tc>
        <w:tc>
          <w:tcPr>
            <w:tcW w:type="dxa" w:w="3022"/>
          </w:tcPr>
          <w:p>
            <w:r>
              <w:rPr>
                <w:rFonts w:ascii="Times New Roman" w:hAnsi="Times New Roman" w:eastAsia="宋体"/>
                <w:b w:val="0"/>
                <w:i w:val="0"/>
                <w:color w:val="1A1A1A"/>
                <w:sz w:val="18"/>
              </w:rPr>
              <w:t>南方高于北方，呈南北梯度</w:t>
            </w:r>
          </w:p>
        </w:tc>
        <w:tc>
          <w:tcPr>
            <w:tcW w:type="dxa" w:w="3022"/>
          </w:tcPr>
          <w:p>
            <w:r>
              <w:rPr>
                <w:rFonts w:ascii="Times New Roman" w:hAnsi="Times New Roman" w:eastAsia="宋体"/>
                <w:b w:val="0"/>
                <w:i w:val="0"/>
                <w:color w:val="1A1A1A"/>
                <w:sz w:val="18"/>
              </w:rPr>
              <w:t>原文报告</w:t>
            </w:r>
            <w:r>
              <w:rPr>
                <w:rFonts w:ascii="Times New Roman" w:hAnsi="Times New Roman" w:eastAsia="宋体"/>
                <w:b w:val="0"/>
                <w:i w:val="0"/>
                <w:color w:val="1A1A1A"/>
                <w:sz w:val="18"/>
                <w:vertAlign w:val="superscript"/>
              </w:rPr>
              <w:t>[11]</w:t>
            </w:r>
          </w:p>
        </w:tc>
      </w:tr>
    </w:tbl>
    <w:p>
      <w:pPr>
        <w:spacing w:after="80"/>
      </w:pPr>
    </w:p>
    <w:p>
      <w:pPr>
        <w:spacing w:after="120" w:line="360" w:lineRule="auto"/>
        <w:ind w:firstLine="420"/>
      </w:pPr>
      <w:r>
        <w:rPr>
          <w:rFonts w:ascii="Times New Roman" w:hAnsi="Times New Roman" w:eastAsia="宋体"/>
          <w:b w:val="0"/>
          <w:i w:val="0"/>
          <w:color w:val="1A1A1A"/>
          <w:sz w:val="21"/>
        </w:rPr>
        <w:t>表2中的基因型比例为本文推算值，其输入为上述队列报告的A等位基因频率0.21，方法为按Hardy–Weinberg平衡由等位基因频率推算基因型频率，其假设为该人群处于Hardy–Weinberg平衡且该队列的频率估计可代表全国人群。敏感性方面，若真实等位基因频率高于0.21，携带者比例与纯合变异比例将同步上升，反之则下降；由于存在南北梯度，以全国单点估计套用于具体地区会低估南方、高估北方。按上述推算，约37.6%的中国人至少携带一个使硝酸甘油疗效降低的等位基因，约4.4%（约每23人中1人）为酶活性几乎完全缺失的纯合变异</w:t>
      </w:r>
      <w:r>
        <w:rPr>
          <w:rFonts w:ascii="Times New Roman" w:hAnsi="Times New Roman" w:eastAsia="宋体"/>
          <w:b w:val="0"/>
          <w:i w:val="0"/>
          <w:color w:val="1A1A1A"/>
          <w:sz w:val="21"/>
          <w:vertAlign w:val="superscript"/>
        </w:rPr>
        <w:t>[10]</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这一发现的临床含义常被读反，需要精确表述。它并不指向"改用另一种药"，因为那需要另一种药在同一场景中有效的独立证据；它指向的是硝酸甘油含服后的症状变化作为判断依据在中国人群中更不可靠——"未缓解"既可能意味着病情本身严重，也可能仅仅意味着该个体缺乏活化该药所需的酶。与3.2节的结论叠加，"试药自诊"这条路径在中国人群中比在rs671罕见的人群中更不可行。此外，Li等的原文未能取得，上述机制陈述依据其摘要。</w:t>
      </w:r>
    </w:p>
    <w:p>
      <w:pPr>
        <w:spacing w:after="80" w:line="312" w:lineRule="auto" w:before="160"/>
      </w:pPr>
      <w:r>
        <w:rPr>
          <w:rFonts w:ascii="Times New Roman" w:hAnsi="Times New Roman" w:eastAsia="黑体"/>
          <w:b/>
          <w:i w:val="0"/>
          <w:color w:val="1A1A1A"/>
          <w:sz w:val="22"/>
        </w:rPr>
        <w:t>3.4 速效救心丸的随机对照证据边界</w:t>
      </w:r>
    </w:p>
    <w:p>
      <w:pPr>
        <w:spacing w:after="120" w:line="360" w:lineRule="auto"/>
        <w:ind w:firstLine="420"/>
      </w:pPr>
      <w:r>
        <w:rPr>
          <w:rFonts w:ascii="Times New Roman" w:hAnsi="Times New Roman" w:eastAsia="宋体"/>
          <w:b w:val="0"/>
          <w:i w:val="0"/>
          <w:color w:val="1A1A1A"/>
          <w:sz w:val="21"/>
        </w:rPr>
        <w:t>速效救心丸在心绞痛领域的既有系统评价结论保守。2008年的Cochrane系统评价认为，纳入研究的方法学质量差，因而证据仍然薄弱，不足以支持或反对速效救心丸用于心绞痛</w:t>
      </w:r>
      <w:r>
        <w:rPr>
          <w:rFonts w:ascii="Times New Roman" w:hAnsi="Times New Roman" w:eastAsia="宋体"/>
          <w:b w:val="0"/>
          <w:i w:val="0"/>
          <w:color w:val="1A1A1A"/>
          <w:sz w:val="21"/>
          <w:vertAlign w:val="superscript"/>
        </w:rPr>
        <w:t>[13]</w:t>
      </w:r>
      <w:r>
        <w:rPr>
          <w:rFonts w:ascii="Times New Roman" w:hAnsi="Times New Roman" w:eastAsia="宋体"/>
          <w:b w:val="0"/>
          <w:i w:val="0"/>
          <w:color w:val="1A1A1A"/>
          <w:sz w:val="21"/>
        </w:rPr>
        <w:t>。该评价原文非开放获取，其结论语句经速效救心丸随机对照试验方案论文的引述得到一致确认。</w:t>
      </w:r>
    </w:p>
    <w:p>
      <w:pPr>
        <w:spacing w:after="120" w:line="360" w:lineRule="auto"/>
        <w:ind w:firstLine="420"/>
      </w:pPr>
      <w:r>
        <w:rPr>
          <w:rFonts w:ascii="Times New Roman" w:hAnsi="Times New Roman" w:eastAsia="宋体"/>
          <w:b w:val="0"/>
          <w:i w:val="0"/>
          <w:color w:val="1A1A1A"/>
          <w:sz w:val="21"/>
        </w:rPr>
        <w:t>此后质量最高的证据来自一项前瞻性、随机、双盲、安慰剂对照、多中心试验。其已发表的方案（注册号ChiCTR1900021876）载明：纳入人群为确诊冠心病的稳定型心绞痛患者，加拿大心血管学会分级Ⅰ~Ⅲ级，年龄18~80岁；干预为速效救心丸每次5丸、每日3次口服，联合标准西药治疗；对照为安慰剂联合标准西药治疗；疗程24周（168天）；主要终点为4周时的心绞痛症状改善率及主要心血管不良事件；计划样本量324例</w:t>
      </w:r>
      <w:r>
        <w:rPr>
          <w:rFonts w:ascii="Times New Roman" w:hAnsi="Times New Roman" w:eastAsia="宋体"/>
          <w:b w:val="0"/>
          <w:i w:val="0"/>
          <w:color w:val="1A1A1A"/>
          <w:sz w:val="21"/>
          <w:vertAlign w:val="superscript"/>
        </w:rPr>
        <w:t>[14]</w:t>
      </w:r>
      <w:r>
        <w:rPr>
          <w:rFonts w:ascii="Times New Roman" w:hAnsi="Times New Roman" w:eastAsia="宋体"/>
          <w:b w:val="0"/>
          <w:i w:val="0"/>
          <w:color w:val="1A1A1A"/>
          <w:sz w:val="21"/>
        </w:rPr>
        <w:t>。该试验的结果论文于2023年发表，但非开放获取，本文未能核验其结果，故不引述其效应量</w:t>
      </w:r>
      <w:r>
        <w:rPr>
          <w:rFonts w:ascii="Times New Roman" w:hAnsi="Times New Roman" w:eastAsia="宋体"/>
          <w:b w:val="0"/>
          <w:i w:val="0"/>
          <w:color w:val="1A1A1A"/>
          <w:sz w:val="21"/>
          <w:vertAlign w:val="superscript"/>
        </w:rPr>
        <w:t>[15]</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由此可以清楚地界定该证据的适用边界。上述试验回答的问题是：在确诊冠心病的稳定型心绞痛患者中，每日3次、持续24周服用速效救心丸是否带来额外获益</w:t>
      </w:r>
      <w:r>
        <w:rPr>
          <w:rFonts w:ascii="Times New Roman" w:hAnsi="Times New Roman" w:eastAsia="宋体"/>
          <w:b w:val="0"/>
          <w:i w:val="0"/>
          <w:color w:val="1A1A1A"/>
          <w:sz w:val="21"/>
          <w:vertAlign w:val="superscript"/>
        </w:rPr>
        <w:t>[14]</w:t>
      </w:r>
      <w:r>
        <w:rPr>
          <w:rFonts w:ascii="Times New Roman" w:hAnsi="Times New Roman" w:eastAsia="宋体"/>
          <w:b w:val="0"/>
          <w:i w:val="0"/>
          <w:color w:val="1A1A1A"/>
          <w:sz w:val="21"/>
        </w:rPr>
        <w:t>；它回答的不是急性发作时含服速效救心丸能否缓解症状或改善预后。给药方式为固定频次的长期口服而非发作时按需含服，纳入前提为已经确诊而非病因未分化。将稳定型心绞痛长期管理场景中的证据外推至未分化急性胸痛的院外自我处置，缺乏依据。</w:t>
      </w:r>
    </w:p>
    <w:p>
      <w:pPr>
        <w:spacing w:after="120" w:line="360" w:lineRule="auto"/>
        <w:ind w:firstLine="420"/>
      </w:pPr>
      <w:r>
        <w:rPr>
          <w:rFonts w:ascii="Times New Roman" w:hAnsi="Times New Roman" w:eastAsia="宋体"/>
          <w:b w:val="0"/>
          <w:i w:val="0"/>
          <w:color w:val="1A1A1A"/>
          <w:sz w:val="21"/>
        </w:rPr>
        <w:t>该药说明书适应症为气滞血瘀型冠心病、心绞痛并建议含服；硝酸甘油的禁忌情形包括低血压（收缩压&lt;90 mmHg）、严重主动脉瓣狭窄、肥厚型梗阻性心肌病、24小时内服用磷酸二酯酶-5抑制剂（如西地那非）等，而这些信息在院外场景中通常不可知。上述两项内容在本轮纳入的来源中均未能追溯到可核验的监管记录（本轮未检索药品说明书数据库），其出处层级为"无出处"，故不作为本文的证据论断；但其中的收缩压阈值与磷酸二酯酶-5抑制剂的24小时时间窗是判定"有无禁忌"所必需的可操作条件（4.4节的处置建议以此为前提），本文按原表述保留，不作模糊化处理。两药在本议题下的证据边界对照见表3。</w:t>
      </w:r>
    </w:p>
    <w:p>
      <w:pPr>
        <w:spacing w:after="60" w:line="360" w:lineRule="auto"/>
        <w:jc w:val="center"/>
      </w:pPr>
      <w:r>
        <w:rPr>
          <w:rFonts w:ascii="Times New Roman" w:hAnsi="Times New Roman" w:eastAsia="宋体"/>
          <w:b/>
          <w:i w:val="0"/>
          <w:color w:val="1A1A1A"/>
          <w:sz w:val="19"/>
        </w:rPr>
        <w:t>表3</w:t>
      </w:r>
      <w:r>
        <w:rPr>
          <w:rFonts w:ascii="Times New Roman" w:hAnsi="Times New Roman" w:eastAsia="宋体"/>
          <w:b w:val="0"/>
          <w:i w:val="0"/>
          <w:color w:val="1A1A1A"/>
          <w:sz w:val="19"/>
        </w:rPr>
        <w:t xml:space="preserve"> 舌下硝酸甘油与速效救心丸在本议题下的证据边界对照</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3022"/>
        <w:gridCol w:w="3022"/>
        <w:gridCol w:w="3022"/>
      </w:tblGrid>
      <w:tr>
        <w:tc>
          <w:tcPr>
            <w:tcW w:type="dxa" w:w="3022"/>
            <w:tcBorders>
              <w:bottom w:val="single" w:sz="6" w:color="1A1A1A"/>
            </w:tcBorders>
          </w:tcPr>
          <w:p>
            <w:pPr>
              <w:jc w:val="center"/>
            </w:pPr>
            <w:r>
              <w:rPr>
                <w:rFonts w:ascii="Times New Roman" w:hAnsi="Times New Roman" w:eastAsia="宋体"/>
                <w:b/>
                <w:i w:val="0"/>
                <w:color w:val="1A1A1A"/>
                <w:sz w:val="18"/>
              </w:rPr>
              <w:t>比较维度</w:t>
            </w:r>
          </w:p>
        </w:tc>
        <w:tc>
          <w:tcPr>
            <w:tcW w:type="dxa" w:w="3022"/>
            <w:tcBorders>
              <w:bottom w:val="single" w:sz="6" w:color="1A1A1A"/>
            </w:tcBorders>
          </w:tcPr>
          <w:p>
            <w:pPr>
              <w:jc w:val="center"/>
            </w:pPr>
            <w:r>
              <w:rPr>
                <w:rFonts w:ascii="Times New Roman" w:hAnsi="Times New Roman" w:eastAsia="宋体"/>
                <w:b/>
                <w:i w:val="0"/>
                <w:color w:val="1A1A1A"/>
                <w:sz w:val="18"/>
              </w:rPr>
              <w:t>舌下硝酸甘油</w:t>
            </w:r>
          </w:p>
        </w:tc>
        <w:tc>
          <w:tcPr>
            <w:tcW w:type="dxa" w:w="3022"/>
            <w:tcBorders>
              <w:bottom w:val="single" w:sz="6" w:color="1A1A1A"/>
            </w:tcBorders>
          </w:tcPr>
          <w:p>
            <w:pPr>
              <w:jc w:val="center"/>
            </w:pPr>
            <w:r>
              <w:rPr>
                <w:rFonts w:ascii="Times New Roman" w:hAnsi="Times New Roman" w:eastAsia="宋体"/>
                <w:b/>
                <w:i w:val="0"/>
                <w:color w:val="1A1A1A"/>
                <w:sz w:val="18"/>
              </w:rPr>
              <w:t>速效救心丸</w:t>
            </w:r>
          </w:p>
        </w:tc>
      </w:tr>
      <w:tr>
        <w:tc>
          <w:tcPr>
            <w:tcW w:type="dxa" w:w="3022"/>
          </w:tcPr>
          <w:p>
            <w:r>
              <w:rPr>
                <w:rFonts w:ascii="Times New Roman" w:hAnsi="Times New Roman" w:eastAsia="宋体"/>
                <w:b w:val="0"/>
                <w:i w:val="0"/>
                <w:color w:val="1A1A1A"/>
                <w:sz w:val="18"/>
              </w:rPr>
              <w:t>已确立的使用情境</w:t>
            </w:r>
          </w:p>
        </w:tc>
        <w:tc>
          <w:tcPr>
            <w:tcW w:type="dxa" w:w="3022"/>
          </w:tcPr>
          <w:p>
            <w:r>
              <w:rPr>
                <w:rFonts w:ascii="Times New Roman" w:hAnsi="Times New Roman" w:eastAsia="宋体"/>
                <w:b w:val="0"/>
                <w:i w:val="0"/>
                <w:color w:val="1A1A1A"/>
                <w:sz w:val="18"/>
              </w:rPr>
              <w:t>已确诊冠心病患者的心绞痛急性发作</w:t>
            </w:r>
          </w:p>
        </w:tc>
        <w:tc>
          <w:tcPr>
            <w:tcW w:type="dxa" w:w="3022"/>
          </w:tcPr>
          <w:p>
            <w:r>
              <w:rPr>
                <w:rFonts w:ascii="Times New Roman" w:hAnsi="Times New Roman" w:eastAsia="宋体"/>
                <w:b w:val="0"/>
                <w:i w:val="0"/>
                <w:color w:val="1A1A1A"/>
                <w:sz w:val="18"/>
              </w:rPr>
              <w:t>气滞血瘀型冠心病、心绞痛（说明书表述，未能追溯到可核验出处）</w:t>
            </w:r>
          </w:p>
        </w:tc>
      </w:tr>
      <w:tr>
        <w:tc>
          <w:tcPr>
            <w:tcW w:type="dxa" w:w="3022"/>
          </w:tcPr>
          <w:p>
            <w:r>
              <w:rPr>
                <w:rFonts w:ascii="Times New Roman" w:hAnsi="Times New Roman" w:eastAsia="宋体"/>
                <w:b w:val="0"/>
                <w:i w:val="0"/>
                <w:color w:val="1A1A1A"/>
                <w:sz w:val="18"/>
              </w:rPr>
              <w:t>本议题下级别最高的证据</w:t>
            </w:r>
          </w:p>
        </w:tc>
        <w:tc>
          <w:tcPr>
            <w:tcW w:type="dxa" w:w="3022"/>
          </w:tcPr>
          <w:p>
            <w:r>
              <w:rPr>
                <w:rFonts w:ascii="Times New Roman" w:hAnsi="Times New Roman" w:eastAsia="宋体"/>
                <w:b w:val="0"/>
                <w:i w:val="0"/>
                <w:color w:val="1A1A1A"/>
                <w:sz w:val="18"/>
              </w:rPr>
              <w:t>三项前瞻性观察研究，评价其病因判别价值，结论为阴性</w:t>
            </w:r>
            <w:r>
              <w:rPr>
                <w:rFonts w:ascii="Times New Roman" w:hAnsi="Times New Roman" w:eastAsia="宋体"/>
                <w:b w:val="0"/>
                <w:i w:val="0"/>
                <w:color w:val="1A1A1A"/>
                <w:sz w:val="18"/>
                <w:vertAlign w:val="superscript"/>
              </w:rPr>
              <w:t>[6-8]</w:t>
            </w:r>
          </w:p>
        </w:tc>
        <w:tc>
          <w:tcPr>
            <w:tcW w:type="dxa" w:w="3022"/>
          </w:tcPr>
          <w:p>
            <w:r>
              <w:rPr>
                <w:rFonts w:ascii="Times New Roman" w:hAnsi="Times New Roman" w:eastAsia="宋体"/>
                <w:b w:val="0"/>
                <w:i w:val="0"/>
                <w:color w:val="1A1A1A"/>
                <w:sz w:val="18"/>
              </w:rPr>
              <w:t>稳定型心绞痛多中心随机双盲安慰剂对照试验（方案可核验，结果论文未能核验）</w:t>
            </w:r>
            <w:r>
              <w:rPr>
                <w:rFonts w:ascii="Times New Roman" w:hAnsi="Times New Roman" w:eastAsia="宋体"/>
                <w:b w:val="0"/>
                <w:i w:val="0"/>
                <w:color w:val="1A1A1A"/>
                <w:sz w:val="18"/>
                <w:vertAlign w:val="superscript"/>
              </w:rPr>
              <w:t>[14-15]</w:t>
            </w:r>
            <w:r>
              <w:rPr>
                <w:rFonts w:ascii="Times New Roman" w:hAnsi="Times New Roman" w:eastAsia="宋体"/>
                <w:b w:val="0"/>
                <w:i w:val="0"/>
                <w:color w:val="1A1A1A"/>
                <w:sz w:val="18"/>
              </w:rPr>
              <w:t>；2008年系统评价</w:t>
            </w:r>
            <w:r>
              <w:rPr>
                <w:rFonts w:ascii="Times New Roman" w:hAnsi="Times New Roman" w:eastAsia="宋体"/>
                <w:b w:val="0"/>
                <w:i w:val="0"/>
                <w:color w:val="1A1A1A"/>
                <w:sz w:val="18"/>
                <w:vertAlign w:val="superscript"/>
              </w:rPr>
              <w:t>[13]</w:t>
            </w:r>
          </w:p>
        </w:tc>
      </w:tr>
      <w:tr>
        <w:tc>
          <w:tcPr>
            <w:tcW w:type="dxa" w:w="3022"/>
          </w:tcPr>
          <w:p>
            <w:r>
              <w:rPr>
                <w:rFonts w:ascii="Times New Roman" w:hAnsi="Times New Roman" w:eastAsia="宋体"/>
                <w:b w:val="0"/>
                <w:i w:val="0"/>
                <w:color w:val="1A1A1A"/>
                <w:sz w:val="18"/>
              </w:rPr>
              <w:t>研究人群</w:t>
            </w:r>
          </w:p>
        </w:tc>
        <w:tc>
          <w:tcPr>
            <w:tcW w:type="dxa" w:w="3022"/>
          </w:tcPr>
          <w:p>
            <w:r>
              <w:rPr>
                <w:rFonts w:ascii="Times New Roman" w:hAnsi="Times New Roman" w:eastAsia="宋体"/>
                <w:b w:val="0"/>
                <w:i w:val="0"/>
                <w:color w:val="1A1A1A"/>
                <w:sz w:val="18"/>
              </w:rPr>
              <w:t>急诊胸痛患者或行冠状动脉造影者</w:t>
            </w:r>
          </w:p>
        </w:tc>
        <w:tc>
          <w:tcPr>
            <w:tcW w:type="dxa" w:w="3022"/>
          </w:tcPr>
          <w:p>
            <w:r>
              <w:rPr>
                <w:rFonts w:ascii="Times New Roman" w:hAnsi="Times New Roman" w:eastAsia="宋体"/>
                <w:b w:val="0"/>
                <w:i w:val="0"/>
                <w:color w:val="1A1A1A"/>
                <w:sz w:val="18"/>
              </w:rPr>
              <w:t>确诊冠心病的稳定型心绞痛患者，CCS Ⅰ~Ⅲ级，18~80岁</w:t>
            </w:r>
          </w:p>
        </w:tc>
      </w:tr>
      <w:tr>
        <w:tc>
          <w:tcPr>
            <w:tcW w:type="dxa" w:w="3022"/>
          </w:tcPr>
          <w:p>
            <w:r>
              <w:rPr>
                <w:rFonts w:ascii="Times New Roman" w:hAnsi="Times New Roman" w:eastAsia="宋体"/>
                <w:b w:val="0"/>
                <w:i w:val="0"/>
                <w:color w:val="1A1A1A"/>
                <w:sz w:val="18"/>
              </w:rPr>
              <w:t>给药方式与疗程</w:t>
            </w:r>
          </w:p>
        </w:tc>
        <w:tc>
          <w:tcPr>
            <w:tcW w:type="dxa" w:w="3022"/>
          </w:tcPr>
          <w:p>
            <w:r>
              <w:rPr>
                <w:rFonts w:ascii="Times New Roman" w:hAnsi="Times New Roman" w:eastAsia="宋体"/>
                <w:b w:val="0"/>
                <w:i w:val="0"/>
                <w:color w:val="1A1A1A"/>
                <w:sz w:val="18"/>
              </w:rPr>
              <w:t>单次舌下含服</w:t>
            </w:r>
          </w:p>
        </w:tc>
        <w:tc>
          <w:tcPr>
            <w:tcW w:type="dxa" w:w="3022"/>
          </w:tcPr>
          <w:p>
            <w:r>
              <w:rPr>
                <w:rFonts w:ascii="Times New Roman" w:hAnsi="Times New Roman" w:eastAsia="宋体"/>
                <w:b w:val="0"/>
                <w:i w:val="0"/>
                <w:color w:val="1A1A1A"/>
                <w:sz w:val="18"/>
              </w:rPr>
              <w:t>每次5丸、每日3次口服，疗程24周</w:t>
            </w:r>
          </w:p>
        </w:tc>
      </w:tr>
      <w:tr>
        <w:tc>
          <w:tcPr>
            <w:tcW w:type="dxa" w:w="3022"/>
          </w:tcPr>
          <w:p>
            <w:r>
              <w:rPr>
                <w:rFonts w:ascii="Times New Roman" w:hAnsi="Times New Roman" w:eastAsia="宋体"/>
                <w:b w:val="0"/>
                <w:i w:val="0"/>
                <w:color w:val="1A1A1A"/>
                <w:sz w:val="18"/>
              </w:rPr>
              <w:t>对未分化胸痛的病因判别价值</w:t>
            </w:r>
          </w:p>
        </w:tc>
        <w:tc>
          <w:tcPr>
            <w:tcW w:type="dxa" w:w="3022"/>
          </w:tcPr>
          <w:p>
            <w:r>
              <w:rPr>
                <w:rFonts w:ascii="Times New Roman" w:hAnsi="Times New Roman" w:eastAsia="宋体"/>
                <w:b w:val="0"/>
                <w:i w:val="0"/>
                <w:color w:val="1A1A1A"/>
                <w:sz w:val="18"/>
              </w:rPr>
              <w:t>已被三项独立研究否定</w:t>
            </w:r>
          </w:p>
        </w:tc>
        <w:tc>
          <w:tcPr>
            <w:tcW w:type="dxa" w:w="3022"/>
          </w:tcPr>
          <w:p>
            <w:r>
              <w:rPr>
                <w:rFonts w:ascii="Times New Roman" w:hAnsi="Times New Roman" w:eastAsia="宋体"/>
                <w:b w:val="0"/>
                <w:i w:val="0"/>
                <w:color w:val="1A1A1A"/>
                <w:sz w:val="18"/>
              </w:rPr>
              <w:t>未见任何研究评价（证据缺口）</w:t>
            </w:r>
          </w:p>
        </w:tc>
      </w:tr>
      <w:tr>
        <w:tc>
          <w:tcPr>
            <w:tcW w:type="dxa" w:w="3022"/>
          </w:tcPr>
          <w:p>
            <w:r>
              <w:rPr>
                <w:rFonts w:ascii="Times New Roman" w:hAnsi="Times New Roman" w:eastAsia="宋体"/>
                <w:b w:val="0"/>
                <w:i w:val="0"/>
                <w:color w:val="1A1A1A"/>
                <w:sz w:val="18"/>
              </w:rPr>
              <w:t>院外未分化急性胸痛的随机对照证据</w:t>
            </w:r>
          </w:p>
        </w:tc>
        <w:tc>
          <w:tcPr>
            <w:tcW w:type="dxa" w:w="3022"/>
          </w:tcPr>
          <w:p>
            <w:r>
              <w:rPr>
                <w:rFonts w:ascii="Times New Roman" w:hAnsi="Times New Roman" w:eastAsia="宋体"/>
                <w:b w:val="0"/>
                <w:i w:val="0"/>
                <w:color w:val="1A1A1A"/>
                <w:sz w:val="18"/>
              </w:rPr>
              <w:t>未见（证据缺口）</w:t>
            </w:r>
          </w:p>
        </w:tc>
        <w:tc>
          <w:tcPr>
            <w:tcW w:type="dxa" w:w="3022"/>
          </w:tcPr>
          <w:p>
            <w:r>
              <w:rPr>
                <w:rFonts w:ascii="Times New Roman" w:hAnsi="Times New Roman" w:eastAsia="宋体"/>
                <w:b w:val="0"/>
                <w:i w:val="0"/>
                <w:color w:val="1A1A1A"/>
                <w:sz w:val="18"/>
              </w:rPr>
              <w:t>未见（证据缺口）</w:t>
            </w:r>
          </w:p>
        </w:tc>
      </w:tr>
      <w:tr>
        <w:tc>
          <w:tcPr>
            <w:tcW w:type="dxa" w:w="3022"/>
          </w:tcPr>
          <w:p>
            <w:r>
              <w:rPr>
                <w:rFonts w:ascii="Times New Roman" w:hAnsi="Times New Roman" w:eastAsia="宋体"/>
                <w:b w:val="0"/>
                <w:i w:val="0"/>
                <w:color w:val="1A1A1A"/>
                <w:sz w:val="18"/>
              </w:rPr>
              <w:t>主要不确定性来源</w:t>
            </w:r>
          </w:p>
        </w:tc>
        <w:tc>
          <w:tcPr>
            <w:tcW w:type="dxa" w:w="3022"/>
          </w:tcPr>
          <w:p>
            <w:r>
              <w:rPr>
                <w:rFonts w:ascii="Times New Roman" w:hAnsi="Times New Roman" w:eastAsia="宋体"/>
                <w:b w:val="0"/>
                <w:i w:val="0"/>
                <w:color w:val="1A1A1A"/>
                <w:sz w:val="18"/>
              </w:rPr>
              <w:t>ALDH2 rs671高频分布使个体疗效不可预测；院外场景中禁忌情形通常不可知</w:t>
            </w:r>
          </w:p>
        </w:tc>
        <w:tc>
          <w:tcPr>
            <w:tcW w:type="dxa" w:w="3022"/>
          </w:tcPr>
          <w:p>
            <w:r>
              <w:rPr>
                <w:rFonts w:ascii="Times New Roman" w:hAnsi="Times New Roman" w:eastAsia="宋体"/>
                <w:b w:val="0"/>
                <w:i w:val="0"/>
                <w:color w:val="1A1A1A"/>
                <w:sz w:val="18"/>
              </w:rPr>
              <w:t>现有证据的疗程与角色均为长期加载治疗；2008年评价判定证据质量低</w:t>
            </w:r>
          </w:p>
        </w:tc>
      </w:tr>
    </w:tbl>
    <w:p>
      <w:pPr>
        <w:spacing w:after="80"/>
      </w:pPr>
    </w:p>
    <w:p>
      <w:pPr>
        <w:spacing w:after="80" w:line="312" w:lineRule="auto" w:before="160"/>
      </w:pPr>
      <w:r>
        <w:rPr>
          <w:rFonts w:ascii="Times New Roman" w:hAnsi="Times New Roman" w:eastAsia="黑体"/>
          <w:b/>
          <w:i w:val="0"/>
          <w:color w:val="1A1A1A"/>
          <w:sz w:val="22"/>
        </w:rPr>
        <w:t>3.5 院前延迟与临床结局</w:t>
      </w:r>
    </w:p>
    <w:p>
      <w:pPr>
        <w:spacing w:after="120" w:line="360" w:lineRule="auto"/>
        <w:ind w:firstLine="420"/>
      </w:pPr>
      <w:r>
        <w:rPr>
          <w:rFonts w:ascii="Times New Roman" w:hAnsi="Times New Roman" w:eastAsia="宋体"/>
          <w:b w:val="0"/>
          <w:i w:val="0"/>
          <w:color w:val="1A1A1A"/>
          <w:sz w:val="21"/>
        </w:rPr>
        <w:t>院外阶段真正与结局挂钩的变量是时间。基于33 386例急性心肌梗死患者的全国性注册研究显示：70.7%的患者院前延迟达到或超过2小时，院前延迟中位数为3.3小时，其中ST段抬高型心肌梗死为3.0小时、非ST段抬高型心肌梗死为4.2小时；ST段抬高型心肌梗死患者院前延迟达到或超过2小时与院内死亡风险增加相关（OR=1.36，95%CI 1.09~1.69，P=0.006），并与主要心血管不良事件风险增加相关（OR=1.22，95%CI 1.02~1.47，P=0.033）；超过80%的患者未呼叫急救救护车</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。另有中国ST段抬高型心肌梗死人群的观察性研究报告了相似的延迟相关因素（高龄、女性、农村医疗保险、夜间发病），并指出使用救护车是缩短延迟的保护因素</w:t>
      </w:r>
      <w:r>
        <w:rPr>
          <w:rFonts w:ascii="Times New Roman" w:hAnsi="Times New Roman" w:eastAsia="宋体"/>
          <w:b w:val="0"/>
          <w:i w:val="0"/>
          <w:color w:val="1A1A1A"/>
          <w:sz w:val="21"/>
          <w:vertAlign w:val="superscript"/>
        </w:rPr>
        <w:t>[16]</w:t>
      </w:r>
      <w:r>
        <w:rPr>
          <w:rFonts w:ascii="Times New Roman" w:hAnsi="Times New Roman" w:eastAsia="宋体"/>
          <w:b w:val="0"/>
          <w:i w:val="0"/>
          <w:color w:val="1A1A1A"/>
          <w:sz w:val="21"/>
        </w:rPr>
        <w:t>。行为学层面，一项系统评价确认"专业医疗求助行为"是缩短急性冠脉综合征院前延迟的有效行为改变技术</w:t>
      </w:r>
      <w:r>
        <w:rPr>
          <w:rFonts w:ascii="Times New Roman" w:hAnsi="Times New Roman" w:eastAsia="宋体"/>
          <w:b w:val="0"/>
          <w:i w:val="0"/>
          <w:color w:val="1A1A1A"/>
          <w:sz w:val="21"/>
          <w:vertAlign w:val="superscript"/>
        </w:rPr>
        <w:t>[17]</w:t>
      </w:r>
      <w:r>
        <w:rPr>
          <w:rFonts w:ascii="Times New Roman" w:hAnsi="Times New Roman" w:eastAsia="宋体"/>
          <w:b w:val="0"/>
          <w:i w:val="0"/>
          <w:color w:val="1A1A1A"/>
          <w:sz w:val="21"/>
        </w:rPr>
        <w:t>。</w:t>
      </w:r>
    </w:p>
    <w:p>
      <w:pPr>
        <w:spacing w:after="120" w:line="360" w:lineRule="auto"/>
        <w:ind w:firstLine="420"/>
      </w:pPr>
      <w:r>
        <w:rPr>
          <w:rFonts w:ascii="Times New Roman" w:hAnsi="Times New Roman" w:eastAsia="宋体"/>
          <w:b w:val="0"/>
          <w:i w:val="0"/>
          <w:color w:val="1A1A1A"/>
          <w:sz w:val="21"/>
        </w:rPr>
        <w:t>由此可以得到一项跨证据的推论：任何延长"症状发作至医疗接触"这一间隔的行为——包括在家中自行试用药物并观察反应——都可能增加不良结局风险；对ST段抬高型心肌梗死而言，2小时已是被数据标定的有害阈值，而在服药与等待观察的过程中很容易越过该阈值。本文对该推论的置信度评为中等：其依据的两类来源均为观察性设计，且自行服药与就诊延迟之间可能存在共同前因，例如症状相对轻微者既更倾向于自行服药、也更倾向于延迟就医。因此本文不将其表述为因果结论。</w:t>
      </w:r>
    </w:p>
    <w:p>
      <w:pPr>
        <w:spacing w:after="80" w:line="312" w:lineRule="auto" w:before="160"/>
      </w:pPr>
      <w:r>
        <w:rPr>
          <w:rFonts w:ascii="Times New Roman" w:hAnsi="Times New Roman" w:eastAsia="黑体"/>
          <w:b/>
          <w:i w:val="0"/>
          <w:color w:val="1A1A1A"/>
          <w:sz w:val="22"/>
        </w:rPr>
        <w:t>3.6 指南与共识对院外阶段与到院评估的推荐</w:t>
      </w:r>
    </w:p>
    <w:p>
      <w:pPr>
        <w:spacing w:after="120" w:line="360" w:lineRule="auto"/>
        <w:ind w:firstLine="420"/>
      </w:pPr>
      <w:r>
        <w:rPr>
          <w:rFonts w:ascii="Times New Roman" w:hAnsi="Times New Roman" w:eastAsia="宋体"/>
          <w:b w:val="0"/>
          <w:i w:val="0"/>
          <w:color w:val="1A1A1A"/>
          <w:sz w:val="21"/>
        </w:rPr>
        <w:t>四份指南与共识文件在两点上高度一致：到院后的评估以客观检查为核心；院外阶段的任务是识别与转运，而非鉴别与试药。2022年美国心脏病学会急性胸痛急诊评估专家共识决策路径提出以高敏肌钙蛋白检测为中心的标准化临床决策路径，结合结构化病史与体格检查、到达后10分钟内完成十二导联心电图、高敏肌钙蛋白0小时/1小时或0小时/2小时方案，并按HEART评分或EDACS进行风险分层</w:t>
      </w:r>
      <w:r>
        <w:rPr>
          <w:rFonts w:ascii="Times New Roman" w:hAnsi="Times New Roman" w:eastAsia="宋体"/>
          <w:b w:val="0"/>
          <w:i w:val="0"/>
          <w:color w:val="1A1A1A"/>
          <w:sz w:val="21"/>
          <w:vertAlign w:val="superscript"/>
        </w:rPr>
        <w:t>[18]</w:t>
      </w:r>
      <w:r>
        <w:rPr>
          <w:rFonts w:ascii="Times New Roman" w:hAnsi="Times New Roman" w:eastAsia="宋体"/>
          <w:b w:val="0"/>
          <w:i w:val="0"/>
          <w:color w:val="1A1A1A"/>
          <w:sz w:val="21"/>
        </w:rPr>
        <w:t>。2019年中华医学会急诊医学分会的专家共识提出"早期诊断，危险分层，正确分流，科学救治"的十六字方针，强调社区医疗、院前急救、急诊科与专科治疗的区域协同网络，并明确院前阶段的任务是识别高危特征、呼叫急救、尽快转运，而非自行鉴别或药物试验治疗</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。2014年的中国专家共识要求对急性非创伤性胸痛患者综合危险因素、症状体征、心电图与心肌损伤标志物进行结构化评估</w:t>
      </w:r>
      <w:r>
        <w:rPr>
          <w:rFonts w:ascii="Times New Roman" w:hAnsi="Times New Roman" w:eastAsia="宋体"/>
          <w:b w:val="0"/>
          <w:i w:val="0"/>
          <w:color w:val="1A1A1A"/>
          <w:sz w:val="21"/>
          <w:vertAlign w:val="superscript"/>
        </w:rPr>
        <w:t>[2]</w:t>
      </w:r>
      <w:r>
        <w:rPr>
          <w:rFonts w:ascii="Times New Roman" w:hAnsi="Times New Roman" w:eastAsia="宋体"/>
          <w:b w:val="0"/>
          <w:i w:val="0"/>
          <w:color w:val="1A1A1A"/>
          <w:sz w:val="21"/>
        </w:rPr>
        <w:t>，基层诊疗指南亦以心电图与高敏肌钙蛋白为到院评估的核心</w:t>
      </w:r>
      <w:r>
        <w:rPr>
          <w:rFonts w:ascii="Times New Roman" w:hAnsi="Times New Roman" w:eastAsia="宋体"/>
          <w:b w:val="0"/>
          <w:i w:val="0"/>
          <w:color w:val="1A1A1A"/>
          <w:sz w:val="21"/>
          <w:vertAlign w:val="superscript"/>
        </w:rPr>
        <w:t>[19]</w:t>
      </w:r>
      <w:r>
        <w:rPr>
          <w:rFonts w:ascii="Times New Roman" w:hAnsi="Times New Roman" w:eastAsia="宋体"/>
          <w:b w:val="0"/>
          <w:i w:val="0"/>
          <w:color w:val="1A1A1A"/>
          <w:sz w:val="21"/>
        </w:rPr>
        <w:t>。要点比较见表4。</w:t>
      </w:r>
    </w:p>
    <w:p>
      <w:pPr>
        <w:spacing w:after="60" w:line="360" w:lineRule="auto"/>
        <w:jc w:val="center"/>
      </w:pPr>
      <w:r>
        <w:rPr>
          <w:rFonts w:ascii="Times New Roman" w:hAnsi="Times New Roman" w:eastAsia="宋体"/>
          <w:b/>
          <w:i w:val="0"/>
          <w:color w:val="1A1A1A"/>
          <w:sz w:val="19"/>
        </w:rPr>
        <w:t>表4</w:t>
      </w:r>
      <w:r>
        <w:rPr>
          <w:rFonts w:ascii="Times New Roman" w:hAnsi="Times New Roman" w:eastAsia="宋体"/>
          <w:b w:val="0"/>
          <w:i w:val="0"/>
          <w:color w:val="1A1A1A"/>
          <w:sz w:val="19"/>
        </w:rPr>
        <w:t xml:space="preserve"> 指南与共识对院外阶段与到院评估的推荐要点比较</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2266"/>
        <w:gridCol w:w="2266"/>
        <w:gridCol w:w="2266"/>
        <w:gridCol w:w="2266"/>
      </w:tblGrid>
      <w:tr>
        <w:tc>
          <w:tcPr>
            <w:tcW w:type="dxa" w:w="2266"/>
            <w:tcBorders>
              <w:bottom w:val="single" w:sz="6" w:color="1A1A1A"/>
            </w:tcBorders>
          </w:tcPr>
          <w:p>
            <w:pPr>
              <w:jc w:val="center"/>
            </w:pPr>
            <w:r>
              <w:rPr>
                <w:rFonts w:ascii="Times New Roman" w:hAnsi="Times New Roman" w:eastAsia="宋体"/>
                <w:b/>
                <w:i w:val="0"/>
                <w:color w:val="1A1A1A"/>
                <w:sz w:val="18"/>
              </w:rPr>
              <w:t>文件（年份）</w:t>
            </w:r>
          </w:p>
        </w:tc>
        <w:tc>
          <w:tcPr>
            <w:tcW w:type="dxa" w:w="2266"/>
            <w:tcBorders>
              <w:bottom w:val="single" w:sz="6" w:color="1A1A1A"/>
            </w:tcBorders>
          </w:tcPr>
          <w:p>
            <w:pPr>
              <w:jc w:val="center"/>
            </w:pPr>
            <w:r>
              <w:rPr>
                <w:rFonts w:ascii="Times New Roman" w:hAnsi="Times New Roman" w:eastAsia="宋体"/>
                <w:b/>
                <w:i w:val="0"/>
                <w:color w:val="1A1A1A"/>
                <w:sz w:val="18"/>
              </w:rPr>
              <w:t>院外阶段推荐要点</w:t>
            </w:r>
          </w:p>
        </w:tc>
        <w:tc>
          <w:tcPr>
            <w:tcW w:type="dxa" w:w="2266"/>
            <w:tcBorders>
              <w:bottom w:val="single" w:sz="6" w:color="1A1A1A"/>
            </w:tcBorders>
          </w:tcPr>
          <w:p>
            <w:pPr>
              <w:jc w:val="center"/>
            </w:pPr>
            <w:r>
              <w:rPr>
                <w:rFonts w:ascii="Times New Roman" w:hAnsi="Times New Roman" w:eastAsia="宋体"/>
                <w:b/>
                <w:i w:val="0"/>
                <w:color w:val="1A1A1A"/>
                <w:sz w:val="18"/>
              </w:rPr>
              <w:t>到院后核心评估</w:t>
            </w:r>
          </w:p>
        </w:tc>
        <w:tc>
          <w:tcPr>
            <w:tcW w:type="dxa" w:w="2266"/>
            <w:tcBorders>
              <w:bottom w:val="single" w:sz="6" w:color="1A1A1A"/>
            </w:tcBorders>
          </w:tcPr>
          <w:p>
            <w:pPr>
              <w:jc w:val="center"/>
            </w:pPr>
            <w:r>
              <w:rPr>
                <w:rFonts w:ascii="Times New Roman" w:hAnsi="Times New Roman" w:eastAsia="宋体"/>
                <w:b/>
                <w:i w:val="0"/>
                <w:color w:val="1A1A1A"/>
                <w:sz w:val="18"/>
              </w:rPr>
              <w:t>是否以服药后症状缓解作为决策依据</w:t>
            </w:r>
          </w:p>
        </w:tc>
      </w:tr>
      <w:tr>
        <w:tc>
          <w:tcPr>
            <w:tcW w:type="dxa" w:w="2266"/>
          </w:tcPr>
          <w:p>
            <w:r>
              <w:rPr>
                <w:rFonts w:ascii="Times New Roman" w:hAnsi="Times New Roman" w:eastAsia="宋体"/>
                <w:b w:val="0"/>
                <w:i w:val="0"/>
                <w:color w:val="1A1A1A"/>
                <w:sz w:val="18"/>
              </w:rPr>
              <w:t>美国心脏病学会专家共识决策路径（2022）</w:t>
            </w:r>
            <w:r>
              <w:rPr>
                <w:rFonts w:ascii="Times New Roman" w:hAnsi="Times New Roman" w:eastAsia="宋体"/>
                <w:b w:val="0"/>
                <w:i w:val="0"/>
                <w:color w:val="1A1A1A"/>
                <w:sz w:val="18"/>
                <w:vertAlign w:val="superscript"/>
              </w:rPr>
              <w:t>[18]</w:t>
            </w:r>
          </w:p>
        </w:tc>
        <w:tc>
          <w:tcPr>
            <w:tcW w:type="dxa" w:w="2266"/>
          </w:tcPr>
          <w:p>
            <w:r>
              <w:rPr>
                <w:rFonts w:ascii="Times New Roman" w:hAnsi="Times New Roman" w:eastAsia="宋体"/>
                <w:b w:val="0"/>
                <w:i w:val="0"/>
                <w:color w:val="1A1A1A"/>
                <w:sz w:val="18"/>
              </w:rPr>
              <w:t>未见可核验的院外条目</w:t>
            </w:r>
          </w:p>
        </w:tc>
        <w:tc>
          <w:tcPr>
            <w:tcW w:type="dxa" w:w="2266"/>
          </w:tcPr>
          <w:p>
            <w:r>
              <w:rPr>
                <w:rFonts w:ascii="Times New Roman" w:hAnsi="Times New Roman" w:eastAsia="宋体"/>
                <w:b w:val="0"/>
                <w:i w:val="0"/>
                <w:color w:val="1A1A1A"/>
                <w:sz w:val="18"/>
              </w:rPr>
              <w:t>结构化病史与体格检查；到达后10分钟内十二导联心电图；高敏肌钙蛋白0小时/1小时或0小时/2小时方案；HEART评分或EDACS风险分层</w:t>
            </w:r>
          </w:p>
        </w:tc>
        <w:tc>
          <w:tcPr>
            <w:tcW w:type="dxa" w:w="2266"/>
          </w:tcPr>
          <w:p>
            <w:r>
              <w:rPr>
                <w:rFonts w:ascii="Times New Roman" w:hAnsi="Times New Roman" w:eastAsia="宋体"/>
                <w:b w:val="0"/>
                <w:i w:val="0"/>
                <w:color w:val="1A1A1A"/>
                <w:sz w:val="18"/>
              </w:rPr>
              <w:t>未见可核验条目</w:t>
            </w:r>
          </w:p>
        </w:tc>
      </w:tr>
      <w:tr>
        <w:tc>
          <w:tcPr>
            <w:tcW w:type="dxa" w:w="2266"/>
          </w:tcPr>
          <w:p>
            <w:r>
              <w:rPr>
                <w:rFonts w:ascii="Times New Roman" w:hAnsi="Times New Roman" w:eastAsia="宋体"/>
                <w:b w:val="0"/>
                <w:i w:val="0"/>
                <w:color w:val="1A1A1A"/>
                <w:sz w:val="18"/>
              </w:rPr>
              <w:t>急性胸痛急诊诊疗专家共识（2019）</w:t>
            </w:r>
            <w:r>
              <w:rPr>
                <w:rFonts w:ascii="Times New Roman" w:hAnsi="Times New Roman" w:eastAsia="宋体"/>
                <w:b w:val="0"/>
                <w:i w:val="0"/>
                <w:color w:val="1A1A1A"/>
                <w:sz w:val="18"/>
                <w:vertAlign w:val="superscript"/>
              </w:rPr>
              <w:t>[1]</w:t>
            </w:r>
          </w:p>
        </w:tc>
        <w:tc>
          <w:tcPr>
            <w:tcW w:type="dxa" w:w="2266"/>
          </w:tcPr>
          <w:p>
            <w:r>
              <w:rPr>
                <w:rFonts w:ascii="Times New Roman" w:hAnsi="Times New Roman" w:eastAsia="宋体"/>
                <w:b w:val="0"/>
                <w:i w:val="0"/>
                <w:color w:val="1A1A1A"/>
                <w:sz w:val="18"/>
              </w:rPr>
              <w:t>识别高危特征、呼叫急救、尽快转运；社区—院前—急诊—专科区域协同</w:t>
            </w:r>
          </w:p>
        </w:tc>
        <w:tc>
          <w:tcPr>
            <w:tcW w:type="dxa" w:w="2266"/>
          </w:tcPr>
          <w:p>
            <w:r>
              <w:rPr>
                <w:rFonts w:ascii="Times New Roman" w:hAnsi="Times New Roman" w:eastAsia="宋体"/>
                <w:b w:val="0"/>
                <w:i w:val="0"/>
                <w:color w:val="1A1A1A"/>
                <w:sz w:val="18"/>
              </w:rPr>
              <w:t>早期诊断、危险分层、正确分流、科学救治</w:t>
            </w:r>
          </w:p>
        </w:tc>
        <w:tc>
          <w:tcPr>
            <w:tcW w:type="dxa" w:w="2266"/>
          </w:tcPr>
          <w:p>
            <w:r>
              <w:rPr>
                <w:rFonts w:ascii="Times New Roman" w:hAnsi="Times New Roman" w:eastAsia="宋体"/>
                <w:b w:val="0"/>
                <w:i w:val="0"/>
                <w:color w:val="1A1A1A"/>
                <w:sz w:val="18"/>
              </w:rPr>
              <w:t>未推荐</w:t>
            </w:r>
          </w:p>
        </w:tc>
      </w:tr>
      <w:tr>
        <w:tc>
          <w:tcPr>
            <w:tcW w:type="dxa" w:w="2266"/>
          </w:tcPr>
          <w:p>
            <w:r>
              <w:rPr>
                <w:rFonts w:ascii="Times New Roman" w:hAnsi="Times New Roman" w:eastAsia="宋体"/>
                <w:b w:val="0"/>
                <w:i w:val="0"/>
                <w:color w:val="1A1A1A"/>
                <w:sz w:val="18"/>
              </w:rPr>
              <w:t>胸痛规范化评估与诊断中国专家共识（2014）</w:t>
            </w:r>
            <w:r>
              <w:rPr>
                <w:rFonts w:ascii="Times New Roman" w:hAnsi="Times New Roman" w:eastAsia="宋体"/>
                <w:b w:val="0"/>
                <w:i w:val="0"/>
                <w:color w:val="1A1A1A"/>
                <w:sz w:val="18"/>
                <w:vertAlign w:val="superscript"/>
              </w:rPr>
              <w:t>[2]</w:t>
            </w:r>
          </w:p>
        </w:tc>
        <w:tc>
          <w:tcPr>
            <w:tcW w:type="dxa" w:w="2266"/>
          </w:tcPr>
          <w:p>
            <w:r>
              <w:rPr>
                <w:rFonts w:ascii="Times New Roman" w:hAnsi="Times New Roman" w:eastAsia="宋体"/>
                <w:b w:val="0"/>
                <w:i w:val="0"/>
                <w:color w:val="1A1A1A"/>
                <w:sz w:val="18"/>
              </w:rPr>
              <w:t>未见可核验的院外条目</w:t>
            </w:r>
          </w:p>
        </w:tc>
        <w:tc>
          <w:tcPr>
            <w:tcW w:type="dxa" w:w="2266"/>
          </w:tcPr>
          <w:p>
            <w:r>
              <w:rPr>
                <w:rFonts w:ascii="Times New Roman" w:hAnsi="Times New Roman" w:eastAsia="宋体"/>
                <w:b w:val="0"/>
                <w:i w:val="0"/>
                <w:color w:val="1A1A1A"/>
                <w:sz w:val="18"/>
              </w:rPr>
              <w:t>综合危险因素、症状体征、心电图与心肌损伤标志物的结构化评估</w:t>
            </w:r>
          </w:p>
        </w:tc>
        <w:tc>
          <w:tcPr>
            <w:tcW w:type="dxa" w:w="2266"/>
          </w:tcPr>
          <w:p>
            <w:r>
              <w:rPr>
                <w:rFonts w:ascii="Times New Roman" w:hAnsi="Times New Roman" w:eastAsia="宋体"/>
                <w:b w:val="0"/>
                <w:i w:val="0"/>
                <w:color w:val="1A1A1A"/>
                <w:sz w:val="18"/>
              </w:rPr>
              <w:t>未推荐</w:t>
            </w:r>
          </w:p>
        </w:tc>
      </w:tr>
      <w:tr>
        <w:tc>
          <w:tcPr>
            <w:tcW w:type="dxa" w:w="2266"/>
          </w:tcPr>
          <w:p>
            <w:r>
              <w:rPr>
                <w:rFonts w:ascii="Times New Roman" w:hAnsi="Times New Roman" w:eastAsia="宋体"/>
                <w:b w:val="0"/>
                <w:i w:val="0"/>
                <w:color w:val="1A1A1A"/>
                <w:sz w:val="18"/>
              </w:rPr>
              <w:t>胸痛基层诊疗指南（2019）</w:t>
            </w:r>
            <w:r>
              <w:rPr>
                <w:rFonts w:ascii="Times New Roman" w:hAnsi="Times New Roman" w:eastAsia="宋体"/>
                <w:b w:val="0"/>
                <w:i w:val="0"/>
                <w:color w:val="1A1A1A"/>
                <w:sz w:val="18"/>
                <w:vertAlign w:val="superscript"/>
              </w:rPr>
              <w:t>[19]</w:t>
            </w:r>
          </w:p>
        </w:tc>
        <w:tc>
          <w:tcPr>
            <w:tcW w:type="dxa" w:w="2266"/>
          </w:tcPr>
          <w:p>
            <w:r>
              <w:rPr>
                <w:rFonts w:ascii="Times New Roman" w:hAnsi="Times New Roman" w:eastAsia="宋体"/>
                <w:b w:val="0"/>
                <w:i w:val="0"/>
                <w:color w:val="1A1A1A"/>
                <w:sz w:val="18"/>
              </w:rPr>
              <w:t>未见可核验的院外条目</w:t>
            </w:r>
          </w:p>
        </w:tc>
        <w:tc>
          <w:tcPr>
            <w:tcW w:type="dxa" w:w="2266"/>
          </w:tcPr>
          <w:p>
            <w:r>
              <w:rPr>
                <w:rFonts w:ascii="Times New Roman" w:hAnsi="Times New Roman" w:eastAsia="宋体"/>
                <w:b w:val="0"/>
                <w:i w:val="0"/>
                <w:color w:val="1A1A1A"/>
                <w:sz w:val="18"/>
              </w:rPr>
              <w:t>以心电图与高敏肌钙蛋白为核心的评估</w:t>
            </w:r>
          </w:p>
        </w:tc>
        <w:tc>
          <w:tcPr>
            <w:tcW w:type="dxa" w:w="2266"/>
          </w:tcPr>
          <w:p>
            <w:r>
              <w:rPr>
                <w:rFonts w:ascii="Times New Roman" w:hAnsi="Times New Roman" w:eastAsia="宋体"/>
                <w:b w:val="0"/>
                <w:i w:val="0"/>
                <w:color w:val="1A1A1A"/>
                <w:sz w:val="18"/>
              </w:rPr>
              <w:t>未见可核验条目</w:t>
            </w:r>
          </w:p>
        </w:tc>
      </w:tr>
    </w:tbl>
    <w:p>
      <w:pPr>
        <w:spacing w:after="80"/>
      </w:pPr>
    </w:p>
    <w:p>
      <w:pPr>
        <w:spacing w:after="120" w:line="360" w:lineRule="auto"/>
        <w:ind w:firstLine="420"/>
      </w:pPr>
      <w:r>
        <w:rPr>
          <w:rFonts w:ascii="Times New Roman" w:hAnsi="Times New Roman" w:eastAsia="宋体"/>
          <w:b w:val="0"/>
          <w:i w:val="0"/>
          <w:color w:val="1A1A1A"/>
          <w:sz w:val="21"/>
        </w:rPr>
        <w:t>2019年与2014年两份中国共识均未推荐以服药后症状是否缓解作为任何临床决策的依据；另两份文件（2022年美国心脏病学会共识决策路径与2019年基层诊疗指南）在本轮可得的来源记录中未见相应条目，本文不就其是否作此推荐作出断言。四份文件均未取得官方正式全文，其要点依据索引条目描述与公开发布内容，故本文不引述其条款编号与推荐等级。</w:t>
      </w:r>
    </w:p>
    <w:p>
      <w:pPr>
        <w:spacing w:after="80" w:line="312" w:lineRule="auto" w:before="160"/>
      </w:pPr>
      <w:r>
        <w:rPr>
          <w:rFonts w:ascii="Times New Roman" w:hAnsi="Times New Roman" w:eastAsia="黑体"/>
          <w:b/>
          <w:i w:val="0"/>
          <w:color w:val="1A1A1A"/>
          <w:sz w:val="22"/>
        </w:rPr>
        <w:t>3.7 关键论断的可核验状态与证据缺口</w:t>
      </w:r>
    </w:p>
    <w:p>
      <w:pPr>
        <w:spacing w:after="120" w:line="360" w:lineRule="auto"/>
        <w:ind w:firstLine="420"/>
      </w:pPr>
      <w:r>
        <w:rPr>
          <w:rFonts w:ascii="Times New Roman" w:hAnsi="Times New Roman" w:eastAsia="宋体"/>
          <w:b w:val="0"/>
          <w:i w:val="0"/>
          <w:color w:val="1A1A1A"/>
          <w:sz w:val="21"/>
        </w:rPr>
        <w:t>对本文各项关键论断逐条标注其支持来源与可核验状态，结果见表5。区分"可核验""未能核验""无出处"与"证据缺口"，是本文结论强度分层的基础：结论的方向可以由方向一致的多来源证据确立，而结论的精细程度不得超过其可逐字核验的部分。</w:t>
      </w:r>
    </w:p>
    <w:p>
      <w:pPr>
        <w:spacing w:after="60" w:line="360" w:lineRule="auto"/>
        <w:jc w:val="center"/>
      </w:pPr>
      <w:r>
        <w:rPr>
          <w:rFonts w:ascii="Times New Roman" w:hAnsi="Times New Roman" w:eastAsia="宋体"/>
          <w:b/>
          <w:i w:val="0"/>
          <w:color w:val="1A1A1A"/>
          <w:sz w:val="19"/>
        </w:rPr>
        <w:t>表5</w:t>
      </w:r>
      <w:r>
        <w:rPr>
          <w:rFonts w:ascii="Times New Roman" w:hAnsi="Times New Roman" w:eastAsia="宋体"/>
          <w:b w:val="0"/>
          <w:i w:val="0"/>
          <w:color w:val="1A1A1A"/>
          <w:sz w:val="19"/>
        </w:rPr>
        <w:t xml:space="preserve"> 关键论断的支持来源与可核验状态</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3022"/>
        <w:gridCol w:w="3022"/>
        <w:gridCol w:w="3022"/>
      </w:tblGrid>
      <w:tr>
        <w:tc>
          <w:tcPr>
            <w:tcW w:type="dxa" w:w="3022"/>
            <w:tcBorders>
              <w:bottom w:val="single" w:sz="6" w:color="1A1A1A"/>
            </w:tcBorders>
          </w:tcPr>
          <w:p>
            <w:pPr>
              <w:jc w:val="center"/>
            </w:pPr>
            <w:r>
              <w:rPr>
                <w:rFonts w:ascii="Times New Roman" w:hAnsi="Times New Roman" w:eastAsia="宋体"/>
                <w:b/>
                <w:i w:val="0"/>
                <w:color w:val="1A1A1A"/>
                <w:sz w:val="18"/>
              </w:rPr>
              <w:t>关键论断</w:t>
            </w:r>
          </w:p>
        </w:tc>
        <w:tc>
          <w:tcPr>
            <w:tcW w:type="dxa" w:w="3022"/>
            <w:tcBorders>
              <w:bottom w:val="single" w:sz="6" w:color="1A1A1A"/>
            </w:tcBorders>
          </w:tcPr>
          <w:p>
            <w:pPr>
              <w:jc w:val="center"/>
            </w:pPr>
            <w:r>
              <w:rPr>
                <w:rFonts w:ascii="Times New Roman" w:hAnsi="Times New Roman" w:eastAsia="宋体"/>
                <w:b/>
                <w:i w:val="0"/>
                <w:color w:val="1A1A1A"/>
                <w:sz w:val="18"/>
              </w:rPr>
              <w:t>支持来源</w:t>
            </w:r>
          </w:p>
        </w:tc>
        <w:tc>
          <w:tcPr>
            <w:tcW w:type="dxa" w:w="3022"/>
            <w:tcBorders>
              <w:bottom w:val="single" w:sz="6" w:color="1A1A1A"/>
            </w:tcBorders>
          </w:tcPr>
          <w:p>
            <w:pPr>
              <w:jc w:val="center"/>
            </w:pPr>
            <w:r>
              <w:rPr>
                <w:rFonts w:ascii="Times New Roman" w:hAnsi="Times New Roman" w:eastAsia="宋体"/>
                <w:b/>
                <w:i w:val="0"/>
                <w:color w:val="1A1A1A"/>
                <w:sz w:val="18"/>
              </w:rPr>
              <w:t>可核验状态</w:t>
            </w:r>
          </w:p>
        </w:tc>
      </w:tr>
      <w:tr>
        <w:tc>
          <w:tcPr>
            <w:tcW w:type="dxa" w:w="3022"/>
          </w:tcPr>
          <w:p>
            <w:r>
              <w:rPr>
                <w:rFonts w:ascii="Times New Roman" w:hAnsi="Times New Roman" w:eastAsia="宋体"/>
                <w:b w:val="0"/>
                <w:i w:val="0"/>
                <w:color w:val="1A1A1A"/>
                <w:sz w:val="18"/>
              </w:rPr>
              <w:t>含服硝酸甘油后胸痛缓解不能区分心源性与非心源性病因</w:t>
            </w:r>
          </w:p>
        </w:tc>
        <w:tc>
          <w:tcPr>
            <w:tcW w:type="dxa" w:w="3022"/>
          </w:tcPr>
          <w:p>
            <w:r>
              <w:rPr>
                <w:rFonts w:ascii="Times New Roman" w:hAnsi="Times New Roman" w:eastAsia="宋体"/>
                <w:b w:val="0"/>
                <w:i w:val="0"/>
                <w:color w:val="1A1A1A"/>
                <w:sz w:val="18"/>
                <w:vertAlign w:val="superscript"/>
              </w:rPr>
              <w:t>[7]</w:t>
            </w:r>
            <w:r>
              <w:rPr>
                <w:rFonts w:ascii="Times New Roman" w:hAnsi="Times New Roman" w:eastAsia="宋体"/>
                <w:b w:val="0"/>
                <w:i w:val="0"/>
                <w:color w:val="1A1A1A"/>
                <w:sz w:val="18"/>
              </w:rPr>
              <w:t>（全文）、</w:t>
            </w:r>
            <w:r>
              <w:rPr>
                <w:rFonts w:ascii="Times New Roman" w:hAnsi="Times New Roman" w:eastAsia="宋体"/>
                <w:b w:val="0"/>
                <w:i w:val="0"/>
                <w:color w:val="1A1A1A"/>
                <w:sz w:val="18"/>
                <w:vertAlign w:val="superscript"/>
              </w:rPr>
              <w:t>[6]</w:t>
            </w:r>
            <w:r>
              <w:rPr>
                <w:rFonts w:ascii="Times New Roman" w:hAnsi="Times New Roman" w:eastAsia="宋体"/>
                <w:b w:val="0"/>
                <w:i w:val="0"/>
                <w:color w:val="1A1A1A"/>
                <w:sz w:val="18"/>
              </w:rPr>
              <w:t>与</w:t>
            </w:r>
            <w:r>
              <w:rPr>
                <w:rFonts w:ascii="Times New Roman" w:hAnsi="Times New Roman" w:eastAsia="宋体"/>
                <w:b w:val="0"/>
                <w:i w:val="0"/>
                <w:color w:val="1A1A1A"/>
                <w:sz w:val="18"/>
                <w:vertAlign w:val="superscript"/>
              </w:rPr>
              <w:t>[8]</w:t>
            </w:r>
            <w:r>
              <w:rPr>
                <w:rFonts w:ascii="Times New Roman" w:hAnsi="Times New Roman" w:eastAsia="宋体"/>
                <w:b w:val="0"/>
                <w:i w:val="0"/>
                <w:color w:val="1A1A1A"/>
                <w:sz w:val="18"/>
              </w:rPr>
              <w:t>（摘要）</w:t>
            </w:r>
          </w:p>
        </w:tc>
        <w:tc>
          <w:tcPr>
            <w:tcW w:type="dxa" w:w="3022"/>
          </w:tcPr>
          <w:p>
            <w:r>
              <w:rPr>
                <w:rFonts w:ascii="Times New Roman" w:hAnsi="Times New Roman" w:eastAsia="宋体"/>
                <w:b w:val="0"/>
                <w:i w:val="0"/>
                <w:color w:val="1A1A1A"/>
                <w:sz w:val="18"/>
              </w:rPr>
              <w:t>可核验；其中两项仅达摘要层级</w:t>
            </w:r>
          </w:p>
        </w:tc>
      </w:tr>
      <w:tr>
        <w:tc>
          <w:tcPr>
            <w:tcW w:type="dxa" w:w="3022"/>
          </w:tcPr>
          <w:p>
            <w:r>
              <w:rPr>
                <w:rFonts w:ascii="Times New Roman" w:hAnsi="Times New Roman" w:eastAsia="宋体"/>
                <w:b w:val="0"/>
                <w:i w:val="0"/>
                <w:color w:val="1A1A1A"/>
                <w:sz w:val="18"/>
              </w:rPr>
              <w:t>该反应的灵敏度72%、特异度37%</w:t>
            </w:r>
          </w:p>
        </w:tc>
        <w:tc>
          <w:tcPr>
            <w:tcW w:type="dxa" w:w="3022"/>
          </w:tcPr>
          <w:p>
            <w:r>
              <w:rPr>
                <w:rFonts w:ascii="Times New Roman" w:hAnsi="Times New Roman" w:eastAsia="宋体"/>
                <w:b w:val="0"/>
                <w:i w:val="0"/>
                <w:color w:val="1A1A1A"/>
                <w:sz w:val="18"/>
                <w:vertAlign w:val="superscript"/>
              </w:rPr>
              <w:t>[7]</w:t>
            </w:r>
          </w:p>
        </w:tc>
        <w:tc>
          <w:tcPr>
            <w:tcW w:type="dxa" w:w="3022"/>
          </w:tcPr>
          <w:p>
            <w:r>
              <w:rPr>
                <w:rFonts w:ascii="Times New Roman" w:hAnsi="Times New Roman" w:eastAsia="宋体"/>
                <w:b w:val="0"/>
                <w:i w:val="0"/>
                <w:color w:val="1A1A1A"/>
                <w:sz w:val="18"/>
              </w:rPr>
              <w:t>可核验，存在可逐字比对的原文语句</w:t>
            </w:r>
          </w:p>
        </w:tc>
      </w:tr>
      <w:tr>
        <w:tc>
          <w:tcPr>
            <w:tcW w:type="dxa" w:w="3022"/>
          </w:tcPr>
          <w:p>
            <w:r>
              <w:rPr>
                <w:rFonts w:ascii="Times New Roman" w:hAnsi="Times New Roman" w:eastAsia="宋体"/>
                <w:b w:val="0"/>
                <w:i w:val="0"/>
                <w:color w:val="1A1A1A"/>
                <w:sz w:val="18"/>
              </w:rPr>
              <w:t>阳性似然比约1.1</w:t>
            </w:r>
          </w:p>
        </w:tc>
        <w:tc>
          <w:tcPr>
            <w:tcW w:type="dxa" w:w="3022"/>
          </w:tcPr>
          <w:p>
            <w:r>
              <w:rPr>
                <w:rFonts w:ascii="Times New Roman" w:hAnsi="Times New Roman" w:eastAsia="宋体"/>
                <w:b w:val="0"/>
                <w:i w:val="0"/>
                <w:color w:val="1A1A1A"/>
                <w:sz w:val="18"/>
              </w:rPr>
              <w:t>由上述灵敏度与特异度推算</w:t>
            </w:r>
          </w:p>
        </w:tc>
        <w:tc>
          <w:tcPr>
            <w:tcW w:type="dxa" w:w="3022"/>
          </w:tcPr>
          <w:p>
            <w:r>
              <w:rPr>
                <w:rFonts w:ascii="Times New Roman" w:hAnsi="Times New Roman" w:eastAsia="宋体"/>
                <w:b w:val="0"/>
                <w:i w:val="0"/>
                <w:color w:val="1A1A1A"/>
                <w:sz w:val="18"/>
              </w:rPr>
              <w:t>本文推算值</w:t>
            </w:r>
          </w:p>
        </w:tc>
      </w:tr>
      <w:tr>
        <w:tc>
          <w:tcPr>
            <w:tcW w:type="dxa" w:w="3022"/>
          </w:tcPr>
          <w:p>
            <w:r>
              <w:rPr>
                <w:rFonts w:ascii="Times New Roman" w:hAnsi="Times New Roman" w:eastAsia="宋体"/>
                <w:b w:val="0"/>
                <w:i w:val="0"/>
                <w:color w:val="1A1A1A"/>
                <w:sz w:val="18"/>
              </w:rPr>
              <w:t>ALDH2催化硝酸甘油生物活化，rs671降低酶活性</w:t>
            </w:r>
          </w:p>
        </w:tc>
        <w:tc>
          <w:tcPr>
            <w:tcW w:type="dxa" w:w="3022"/>
          </w:tcPr>
          <w:p>
            <w:r>
              <w:rPr>
                <w:rFonts w:ascii="Times New Roman" w:hAnsi="Times New Roman" w:eastAsia="宋体"/>
                <w:b w:val="0"/>
                <w:i w:val="0"/>
                <w:color w:val="1A1A1A"/>
                <w:sz w:val="18"/>
                <w:vertAlign w:val="superscript"/>
              </w:rPr>
              <w:t>[4]</w:t>
            </w:r>
          </w:p>
        </w:tc>
        <w:tc>
          <w:tcPr>
            <w:tcW w:type="dxa" w:w="3022"/>
          </w:tcPr>
          <w:p>
            <w:r>
              <w:rPr>
                <w:rFonts w:ascii="Times New Roman" w:hAnsi="Times New Roman" w:eastAsia="宋体"/>
                <w:b w:val="0"/>
                <w:i w:val="0"/>
                <w:color w:val="1A1A1A"/>
                <w:sz w:val="18"/>
              </w:rPr>
              <w:t>未能逐字核验，原文非开放获取，依据摘要</w:t>
            </w:r>
          </w:p>
        </w:tc>
      </w:tr>
      <w:tr>
        <w:tc>
          <w:tcPr>
            <w:tcW w:type="dxa" w:w="3022"/>
          </w:tcPr>
          <w:p>
            <w:r>
              <w:rPr>
                <w:rFonts w:ascii="Times New Roman" w:hAnsi="Times New Roman" w:eastAsia="宋体"/>
                <w:b w:val="0"/>
                <w:i w:val="0"/>
                <w:color w:val="1A1A1A"/>
                <w:sz w:val="18"/>
              </w:rPr>
              <w:t>rs671为中国人群特异性常见功能变异</w:t>
            </w:r>
          </w:p>
        </w:tc>
        <w:tc>
          <w:tcPr>
            <w:tcW w:type="dxa" w:w="3022"/>
          </w:tcPr>
          <w:p>
            <w:r>
              <w:rPr>
                <w:rFonts w:ascii="Times New Roman" w:hAnsi="Times New Roman" w:eastAsia="宋体"/>
                <w:b w:val="0"/>
                <w:i w:val="0"/>
                <w:color w:val="1A1A1A"/>
                <w:sz w:val="18"/>
                <w:vertAlign w:val="superscript"/>
              </w:rPr>
              <w:t>[5]</w:t>
            </w:r>
          </w:p>
        </w:tc>
        <w:tc>
          <w:tcPr>
            <w:tcW w:type="dxa" w:w="3022"/>
          </w:tcPr>
          <w:p>
            <w:r>
              <w:rPr>
                <w:rFonts w:ascii="Times New Roman" w:hAnsi="Times New Roman" w:eastAsia="宋体"/>
                <w:b w:val="0"/>
                <w:i w:val="0"/>
                <w:color w:val="1A1A1A"/>
                <w:sz w:val="18"/>
              </w:rPr>
              <w:t>可核验</w:t>
            </w:r>
          </w:p>
        </w:tc>
      </w:tr>
      <w:tr>
        <w:tc>
          <w:tcPr>
            <w:tcW w:type="dxa" w:w="3022"/>
          </w:tcPr>
          <w:p>
            <w:r>
              <w:rPr>
                <w:rFonts w:ascii="Times New Roman" w:hAnsi="Times New Roman" w:eastAsia="宋体"/>
                <w:b w:val="0"/>
                <w:i w:val="0"/>
                <w:color w:val="1A1A1A"/>
                <w:sz w:val="18"/>
              </w:rPr>
              <w:t>A等位基因频率为0.21</w:t>
            </w:r>
          </w:p>
        </w:tc>
        <w:tc>
          <w:tcPr>
            <w:tcW w:type="dxa" w:w="3022"/>
          </w:tcPr>
          <w:p>
            <w:r>
              <w:rPr>
                <w:rFonts w:ascii="Times New Roman" w:hAnsi="Times New Roman" w:eastAsia="宋体"/>
                <w:b w:val="0"/>
                <w:i w:val="0"/>
                <w:color w:val="1A1A1A"/>
                <w:sz w:val="18"/>
                <w:vertAlign w:val="superscript"/>
              </w:rPr>
              <w:t>[10]</w:t>
            </w:r>
          </w:p>
        </w:tc>
        <w:tc>
          <w:tcPr>
            <w:tcW w:type="dxa" w:w="3022"/>
          </w:tcPr>
          <w:p>
            <w:r>
              <w:rPr>
                <w:rFonts w:ascii="Times New Roman" w:hAnsi="Times New Roman" w:eastAsia="宋体"/>
                <w:b w:val="0"/>
                <w:i w:val="0"/>
                <w:color w:val="1A1A1A"/>
                <w:sz w:val="18"/>
              </w:rPr>
              <w:t>可核验，存在可逐字比对的原文语句；其来源题录仅核验至题名与标识符</w:t>
            </w:r>
          </w:p>
        </w:tc>
      </w:tr>
      <w:tr>
        <w:tc>
          <w:tcPr>
            <w:tcW w:type="dxa" w:w="3022"/>
          </w:tcPr>
          <w:p>
            <w:r>
              <w:rPr>
                <w:rFonts w:ascii="Times New Roman" w:hAnsi="Times New Roman" w:eastAsia="宋体"/>
                <w:b w:val="0"/>
                <w:i w:val="0"/>
                <w:color w:val="1A1A1A"/>
                <w:sz w:val="18"/>
              </w:rPr>
              <w:t>基因型分布与约37.6%的携带率</w:t>
            </w:r>
          </w:p>
        </w:tc>
        <w:tc>
          <w:tcPr>
            <w:tcW w:type="dxa" w:w="3022"/>
          </w:tcPr>
          <w:p>
            <w:r>
              <w:rPr>
                <w:rFonts w:ascii="Times New Roman" w:hAnsi="Times New Roman" w:eastAsia="宋体"/>
                <w:b w:val="0"/>
                <w:i w:val="0"/>
                <w:color w:val="1A1A1A"/>
                <w:sz w:val="18"/>
              </w:rPr>
              <w:t>由0.21按Hardy–Weinberg平衡推算</w:t>
            </w:r>
          </w:p>
        </w:tc>
        <w:tc>
          <w:tcPr>
            <w:tcW w:type="dxa" w:w="3022"/>
          </w:tcPr>
          <w:p>
            <w:r>
              <w:rPr>
                <w:rFonts w:ascii="Times New Roman" w:hAnsi="Times New Roman" w:eastAsia="宋体"/>
                <w:b w:val="0"/>
                <w:i w:val="0"/>
                <w:color w:val="1A1A1A"/>
                <w:sz w:val="18"/>
              </w:rPr>
              <w:t>本文推算值</w:t>
            </w:r>
          </w:p>
        </w:tc>
      </w:tr>
      <w:tr>
        <w:tc>
          <w:tcPr>
            <w:tcW w:type="dxa" w:w="3022"/>
          </w:tcPr>
          <w:p>
            <w:r>
              <w:rPr>
                <w:rFonts w:ascii="Times New Roman" w:hAnsi="Times New Roman" w:eastAsia="宋体"/>
                <w:b w:val="0"/>
                <w:i w:val="0"/>
                <w:color w:val="1A1A1A"/>
                <w:sz w:val="18"/>
              </w:rPr>
              <w:t>2008年系统评价关于证据质量低的结论</w:t>
            </w:r>
          </w:p>
        </w:tc>
        <w:tc>
          <w:tcPr>
            <w:tcW w:type="dxa" w:w="3022"/>
          </w:tcPr>
          <w:p>
            <w:r>
              <w:rPr>
                <w:rFonts w:ascii="Times New Roman" w:hAnsi="Times New Roman" w:eastAsia="宋体"/>
                <w:b w:val="0"/>
                <w:i w:val="0"/>
                <w:color w:val="1A1A1A"/>
                <w:sz w:val="18"/>
                <w:vertAlign w:val="superscript"/>
              </w:rPr>
              <w:t>[13]</w:t>
            </w:r>
          </w:p>
        </w:tc>
        <w:tc>
          <w:tcPr>
            <w:tcW w:type="dxa" w:w="3022"/>
          </w:tcPr>
          <w:p>
            <w:r>
              <w:rPr>
                <w:rFonts w:ascii="Times New Roman" w:hAnsi="Times New Roman" w:eastAsia="宋体"/>
                <w:b w:val="0"/>
                <w:i w:val="0"/>
                <w:color w:val="1A1A1A"/>
                <w:sz w:val="18"/>
              </w:rPr>
              <w:t>可核验，摘要层级，经方案论文引述确认一致</w:t>
            </w:r>
          </w:p>
        </w:tc>
      </w:tr>
      <w:tr>
        <w:tc>
          <w:tcPr>
            <w:tcW w:type="dxa" w:w="3022"/>
          </w:tcPr>
          <w:p>
            <w:r>
              <w:rPr>
                <w:rFonts w:ascii="Times New Roman" w:hAnsi="Times New Roman" w:eastAsia="宋体"/>
                <w:b w:val="0"/>
                <w:i w:val="0"/>
                <w:color w:val="1A1A1A"/>
                <w:sz w:val="18"/>
              </w:rPr>
              <w:t>速效救心丸试验的人群、用法与疗程</w:t>
            </w:r>
          </w:p>
        </w:tc>
        <w:tc>
          <w:tcPr>
            <w:tcW w:type="dxa" w:w="3022"/>
          </w:tcPr>
          <w:p>
            <w:r>
              <w:rPr>
                <w:rFonts w:ascii="Times New Roman" w:hAnsi="Times New Roman" w:eastAsia="宋体"/>
                <w:b w:val="0"/>
                <w:i w:val="0"/>
                <w:color w:val="1A1A1A"/>
                <w:sz w:val="18"/>
                <w:vertAlign w:val="superscript"/>
              </w:rPr>
              <w:t>[14]</w:t>
            </w:r>
          </w:p>
        </w:tc>
        <w:tc>
          <w:tcPr>
            <w:tcW w:type="dxa" w:w="3022"/>
          </w:tcPr>
          <w:p>
            <w:r>
              <w:rPr>
                <w:rFonts w:ascii="Times New Roman" w:hAnsi="Times New Roman" w:eastAsia="宋体"/>
                <w:b w:val="0"/>
                <w:i w:val="0"/>
                <w:color w:val="1A1A1A"/>
                <w:sz w:val="18"/>
              </w:rPr>
              <w:t>可核验</w:t>
            </w:r>
          </w:p>
        </w:tc>
      </w:tr>
      <w:tr>
        <w:tc>
          <w:tcPr>
            <w:tcW w:type="dxa" w:w="3022"/>
          </w:tcPr>
          <w:p>
            <w:r>
              <w:rPr>
                <w:rFonts w:ascii="Times New Roman" w:hAnsi="Times New Roman" w:eastAsia="宋体"/>
                <w:b w:val="0"/>
                <w:i w:val="0"/>
                <w:color w:val="1A1A1A"/>
                <w:sz w:val="18"/>
              </w:rPr>
              <w:t>该试验的疗效结果</w:t>
            </w:r>
          </w:p>
        </w:tc>
        <w:tc>
          <w:tcPr>
            <w:tcW w:type="dxa" w:w="3022"/>
          </w:tcPr>
          <w:p>
            <w:r>
              <w:rPr>
                <w:rFonts w:ascii="Times New Roman" w:hAnsi="Times New Roman" w:eastAsia="宋体"/>
                <w:b w:val="0"/>
                <w:i w:val="0"/>
                <w:color w:val="1A1A1A"/>
                <w:sz w:val="18"/>
                <w:vertAlign w:val="superscript"/>
              </w:rPr>
              <w:t>[15]</w:t>
            </w:r>
          </w:p>
        </w:tc>
        <w:tc>
          <w:tcPr>
            <w:tcW w:type="dxa" w:w="3022"/>
          </w:tcPr>
          <w:p>
            <w:r>
              <w:rPr>
                <w:rFonts w:ascii="Times New Roman" w:hAnsi="Times New Roman" w:eastAsia="宋体"/>
                <w:b w:val="0"/>
                <w:i w:val="0"/>
                <w:color w:val="1A1A1A"/>
                <w:sz w:val="18"/>
              </w:rPr>
              <w:t>未能核验，非开放获取，本文不引述其效应量</w:t>
            </w:r>
          </w:p>
        </w:tc>
      </w:tr>
      <w:tr>
        <w:tc>
          <w:tcPr>
            <w:tcW w:type="dxa" w:w="3022"/>
          </w:tcPr>
          <w:p>
            <w:r>
              <w:rPr>
                <w:rFonts w:ascii="Times New Roman" w:hAnsi="Times New Roman" w:eastAsia="宋体"/>
                <w:b w:val="0"/>
                <w:i w:val="0"/>
                <w:color w:val="1A1A1A"/>
                <w:sz w:val="18"/>
              </w:rPr>
              <w:t>院前延迟比例、中位延迟与死亡风险比值比</w:t>
            </w:r>
          </w:p>
        </w:tc>
        <w:tc>
          <w:tcPr>
            <w:tcW w:type="dxa" w:w="3022"/>
          </w:tcPr>
          <w:p>
            <w:r>
              <w:rPr>
                <w:rFonts w:ascii="Times New Roman" w:hAnsi="Times New Roman" w:eastAsia="宋体"/>
                <w:b w:val="0"/>
                <w:i w:val="0"/>
                <w:color w:val="1A1A1A"/>
                <w:sz w:val="18"/>
                <w:vertAlign w:val="superscript"/>
              </w:rPr>
              <w:t>[3]</w:t>
            </w:r>
          </w:p>
        </w:tc>
        <w:tc>
          <w:tcPr>
            <w:tcW w:type="dxa" w:w="3022"/>
          </w:tcPr>
          <w:p>
            <w:r>
              <w:rPr>
                <w:rFonts w:ascii="Times New Roman" w:hAnsi="Times New Roman" w:eastAsia="宋体"/>
                <w:b w:val="0"/>
                <w:i w:val="0"/>
                <w:color w:val="1A1A1A"/>
                <w:sz w:val="18"/>
              </w:rPr>
              <w:t>可核验</w:t>
            </w:r>
          </w:p>
        </w:tc>
      </w:tr>
      <w:tr>
        <w:tc>
          <w:tcPr>
            <w:tcW w:type="dxa" w:w="3022"/>
          </w:tcPr>
          <w:p>
            <w:r>
              <w:rPr>
                <w:rFonts w:ascii="Times New Roman" w:hAnsi="Times New Roman" w:eastAsia="宋体"/>
                <w:b w:val="0"/>
                <w:i w:val="0"/>
                <w:color w:val="1A1A1A"/>
                <w:sz w:val="18"/>
              </w:rPr>
              <w:t>四份指南与共识的推荐要点</w:t>
            </w:r>
          </w:p>
        </w:tc>
        <w:tc>
          <w:tcPr>
            <w:tcW w:type="dxa" w:w="3022"/>
          </w:tcPr>
          <w:p>
            <w:r>
              <w:rPr>
                <w:rFonts w:ascii="Times New Roman" w:hAnsi="Times New Roman" w:eastAsia="宋体"/>
                <w:b w:val="0"/>
                <w:i w:val="0"/>
                <w:color w:val="1A1A1A"/>
                <w:sz w:val="18"/>
                <w:vertAlign w:val="superscript"/>
              </w:rPr>
              <w:t>[1-2]</w:t>
            </w:r>
            <w:r>
              <w:rPr>
                <w:rFonts w:ascii="Times New Roman" w:hAnsi="Times New Roman" w:eastAsia="宋体"/>
                <w:b w:val="0"/>
                <w:i w:val="0"/>
                <w:color w:val="1A1A1A"/>
                <w:sz w:val="18"/>
              </w:rPr>
              <w:t>、</w:t>
            </w:r>
            <w:r>
              <w:rPr>
                <w:rFonts w:ascii="Times New Roman" w:hAnsi="Times New Roman" w:eastAsia="宋体"/>
                <w:b w:val="0"/>
                <w:i w:val="0"/>
                <w:color w:val="1A1A1A"/>
                <w:sz w:val="18"/>
                <w:vertAlign w:val="superscript"/>
              </w:rPr>
              <w:t>[18-19]</w:t>
            </w:r>
          </w:p>
        </w:tc>
        <w:tc>
          <w:tcPr>
            <w:tcW w:type="dxa" w:w="3022"/>
          </w:tcPr>
          <w:p>
            <w:r>
              <w:rPr>
                <w:rFonts w:ascii="Times New Roman" w:hAnsi="Times New Roman" w:eastAsia="宋体"/>
                <w:b w:val="0"/>
                <w:i w:val="0"/>
                <w:color w:val="1A1A1A"/>
                <w:sz w:val="18"/>
              </w:rPr>
              <w:t>未能通过官方全文核验，依据索引条目描述与公开发布内容</w:t>
            </w:r>
          </w:p>
        </w:tc>
      </w:tr>
      <w:tr>
        <w:tc>
          <w:tcPr>
            <w:tcW w:type="dxa" w:w="3022"/>
          </w:tcPr>
          <w:p>
            <w:r>
              <w:rPr>
                <w:rFonts w:ascii="Times New Roman" w:hAnsi="Times New Roman" w:eastAsia="宋体"/>
                <w:b w:val="0"/>
                <w:i w:val="0"/>
                <w:color w:val="1A1A1A"/>
                <w:sz w:val="18"/>
              </w:rPr>
              <w:t>速效救心丸说明书适应症、硝酸甘油禁忌情形</w:t>
            </w:r>
          </w:p>
        </w:tc>
        <w:tc>
          <w:tcPr>
            <w:tcW w:type="dxa" w:w="3022"/>
          </w:tcPr>
          <w:p>
            <w:r>
              <w:rPr>
                <w:rFonts w:ascii="Times New Roman" w:hAnsi="Times New Roman" w:eastAsia="宋体"/>
                <w:b w:val="0"/>
                <w:i w:val="0"/>
                <w:color w:val="1A1A1A"/>
                <w:sz w:val="18"/>
              </w:rPr>
              <w:t>无</w:t>
            </w:r>
          </w:p>
        </w:tc>
        <w:tc>
          <w:tcPr>
            <w:tcW w:type="dxa" w:w="3022"/>
          </w:tcPr>
          <w:p>
            <w:r>
              <w:rPr>
                <w:rFonts w:ascii="Times New Roman" w:hAnsi="Times New Roman" w:eastAsia="宋体"/>
                <w:b w:val="0"/>
                <w:i w:val="0"/>
                <w:color w:val="1A1A1A"/>
                <w:sz w:val="18"/>
              </w:rPr>
              <w:t>无出处，本轮未检索药品说明书数据库</w:t>
            </w:r>
          </w:p>
        </w:tc>
      </w:tr>
      <w:tr>
        <w:tc>
          <w:tcPr>
            <w:tcW w:type="dxa" w:w="3022"/>
          </w:tcPr>
          <w:p>
            <w:r>
              <w:rPr>
                <w:rFonts w:ascii="Times New Roman" w:hAnsi="Times New Roman" w:eastAsia="宋体"/>
                <w:b w:val="0"/>
                <w:i w:val="0"/>
                <w:color w:val="1A1A1A"/>
                <w:sz w:val="18"/>
              </w:rPr>
              <w:t>未分化急性胸痛院外含服任一药物的随机对照试验</w:t>
            </w:r>
          </w:p>
        </w:tc>
        <w:tc>
          <w:tcPr>
            <w:tcW w:type="dxa" w:w="3022"/>
          </w:tcPr>
          <w:p>
            <w:r>
              <w:rPr>
                <w:rFonts w:ascii="Times New Roman" w:hAnsi="Times New Roman" w:eastAsia="宋体"/>
                <w:b w:val="0"/>
                <w:i w:val="0"/>
                <w:color w:val="1A1A1A"/>
                <w:sz w:val="18"/>
              </w:rPr>
              <w:t>无</w:t>
            </w:r>
          </w:p>
        </w:tc>
        <w:tc>
          <w:tcPr>
            <w:tcW w:type="dxa" w:w="3022"/>
          </w:tcPr>
          <w:p>
            <w:r>
              <w:rPr>
                <w:rFonts w:ascii="Times New Roman" w:hAnsi="Times New Roman" w:eastAsia="宋体"/>
                <w:b w:val="0"/>
                <w:i w:val="0"/>
                <w:color w:val="1A1A1A"/>
                <w:sz w:val="18"/>
              </w:rPr>
              <w:t>证据缺口</w:t>
            </w:r>
          </w:p>
        </w:tc>
      </w:tr>
      <w:tr>
        <w:tc>
          <w:tcPr>
            <w:tcW w:type="dxa" w:w="3022"/>
          </w:tcPr>
          <w:p>
            <w:r>
              <w:rPr>
                <w:rFonts w:ascii="Times New Roman" w:hAnsi="Times New Roman" w:eastAsia="宋体"/>
                <w:b w:val="0"/>
                <w:i w:val="0"/>
                <w:color w:val="1A1A1A"/>
                <w:sz w:val="18"/>
              </w:rPr>
              <w:t>院外场景中以服药反应决定是否就医的前瞻性研究</w:t>
            </w:r>
          </w:p>
        </w:tc>
        <w:tc>
          <w:tcPr>
            <w:tcW w:type="dxa" w:w="3022"/>
          </w:tcPr>
          <w:p>
            <w:r>
              <w:rPr>
                <w:rFonts w:ascii="Times New Roman" w:hAnsi="Times New Roman" w:eastAsia="宋体"/>
                <w:b w:val="0"/>
                <w:i w:val="0"/>
                <w:color w:val="1A1A1A"/>
                <w:sz w:val="18"/>
              </w:rPr>
              <w:t>无</w:t>
            </w:r>
          </w:p>
        </w:tc>
        <w:tc>
          <w:tcPr>
            <w:tcW w:type="dxa" w:w="3022"/>
          </w:tcPr>
          <w:p>
            <w:r>
              <w:rPr>
                <w:rFonts w:ascii="Times New Roman" w:hAnsi="Times New Roman" w:eastAsia="宋体"/>
                <w:b w:val="0"/>
                <w:i w:val="0"/>
                <w:color w:val="1A1A1A"/>
                <w:sz w:val="18"/>
              </w:rPr>
              <w:t>证据缺口</w:t>
            </w:r>
          </w:p>
        </w:tc>
      </w:tr>
      <w:tr>
        <w:tc>
          <w:tcPr>
            <w:tcW w:type="dxa" w:w="3022"/>
          </w:tcPr>
          <w:p>
            <w:r>
              <w:rPr>
                <w:rFonts w:ascii="Times New Roman" w:hAnsi="Times New Roman" w:eastAsia="宋体"/>
                <w:b w:val="0"/>
                <w:i w:val="0"/>
                <w:color w:val="1A1A1A"/>
                <w:sz w:val="18"/>
              </w:rPr>
              <w:t>速效救心丸对胸痛病因的判别价值</w:t>
            </w:r>
          </w:p>
        </w:tc>
        <w:tc>
          <w:tcPr>
            <w:tcW w:type="dxa" w:w="3022"/>
          </w:tcPr>
          <w:p>
            <w:r>
              <w:rPr>
                <w:rFonts w:ascii="Times New Roman" w:hAnsi="Times New Roman" w:eastAsia="宋体"/>
                <w:b w:val="0"/>
                <w:i w:val="0"/>
                <w:color w:val="1A1A1A"/>
                <w:sz w:val="18"/>
              </w:rPr>
              <w:t>无</w:t>
            </w:r>
          </w:p>
        </w:tc>
        <w:tc>
          <w:tcPr>
            <w:tcW w:type="dxa" w:w="3022"/>
          </w:tcPr>
          <w:p>
            <w:r>
              <w:rPr>
                <w:rFonts w:ascii="Times New Roman" w:hAnsi="Times New Roman" w:eastAsia="宋体"/>
                <w:b w:val="0"/>
                <w:i w:val="0"/>
                <w:color w:val="1A1A1A"/>
                <w:sz w:val="18"/>
              </w:rPr>
              <w:t>证据缺口</w:t>
            </w:r>
          </w:p>
        </w:tc>
      </w:tr>
    </w:tbl>
    <w:p>
      <w:pPr>
        <w:spacing w:after="80"/>
      </w:pPr>
    </w:p>
    <w:p>
      <w:pPr>
        <w:spacing w:after="120" w:line="312" w:lineRule="auto" w:before="240"/>
      </w:pPr>
      <w:r>
        <w:rPr>
          <w:rFonts w:ascii="Times New Roman" w:hAnsi="Times New Roman" w:eastAsia="黑体"/>
          <w:b/>
          <w:i w:val="0"/>
          <w:color w:val="1A1A1A"/>
          <w:sz w:val="26"/>
        </w:rPr>
        <w:t>4 讨论</w:t>
      </w:r>
    </w:p>
    <w:p>
      <w:pPr>
        <w:spacing w:after="80" w:line="312" w:lineRule="auto" w:before="160"/>
      </w:pPr>
      <w:r>
        <w:rPr>
          <w:rFonts w:ascii="Times New Roman" w:hAnsi="Times New Roman" w:eastAsia="黑体"/>
          <w:b/>
          <w:i w:val="0"/>
          <w:color w:val="1A1A1A"/>
          <w:sz w:val="22"/>
        </w:rPr>
        <w:t>4.1 提问层级的更换</w:t>
      </w:r>
    </w:p>
    <w:p>
      <w:pPr>
        <w:spacing w:after="120" w:line="360" w:lineRule="auto"/>
        <w:ind w:firstLine="420"/>
      </w:pPr>
      <w:r>
        <w:rPr>
          <w:rFonts w:ascii="Times New Roman" w:hAnsi="Times New Roman" w:eastAsia="宋体"/>
          <w:b w:val="0"/>
          <w:i w:val="0"/>
          <w:color w:val="1A1A1A"/>
          <w:sz w:val="21"/>
        </w:rPr>
        <w:t>本文的核心结论不是某药优于某药，而是提问的层级需要更换。前述三个隐含前提可以逐一对照证据检验。关于"含服后的症状变化能够提示病因"，三项独立研究方向一致地予以否定，且在急诊人群中该反应的灵敏度与特异度之和仅略高于1，其携带的鉴别信息接近于零</w:t>
      </w:r>
      <w:r>
        <w:rPr>
          <w:rFonts w:ascii="Times New Roman" w:hAnsi="Times New Roman" w:eastAsia="宋体"/>
          <w:b w:val="0"/>
          <w:i w:val="0"/>
          <w:color w:val="1A1A1A"/>
          <w:sz w:val="21"/>
          <w:vertAlign w:val="superscript"/>
        </w:rPr>
        <w:t>[6-8]</w:t>
      </w:r>
      <w:r>
        <w:rPr>
          <w:rFonts w:ascii="Times New Roman" w:hAnsi="Times New Roman" w:eastAsia="宋体"/>
          <w:b w:val="0"/>
          <w:i w:val="0"/>
          <w:color w:val="1A1A1A"/>
          <w:sz w:val="21"/>
        </w:rPr>
        <w:t>。关于"在两种药物之间选中正确者可以改善结局"，本轮检索未发现任何在该场景下比较两药的研究，此项无证据可依。关于"自我处置是一条与就医并行的合理路径"，全国性院前延迟数据显示，延迟本身即与死亡与主要心血管不良事件风险升高相关</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，而自行服药与观察等待正是延迟的常见构成方式。三个前提中，一个被否定，一个无证据，一个与现有数据方向相反。因此该问题的正确层级不是药物品类的排序，而是时间与风险分层。</w:t>
      </w:r>
    </w:p>
    <w:p>
      <w:pPr>
        <w:spacing w:after="80" w:line="312" w:lineRule="auto" w:before="160"/>
      </w:pPr>
      <w:r>
        <w:rPr>
          <w:rFonts w:ascii="Times New Roman" w:hAnsi="Times New Roman" w:eastAsia="黑体"/>
          <w:b/>
          <w:i w:val="0"/>
          <w:color w:val="1A1A1A"/>
          <w:sz w:val="22"/>
        </w:rPr>
        <w:t>4.2 药理学与人群遗传学的交叉</w:t>
      </w:r>
    </w:p>
    <w:p>
      <w:pPr>
        <w:spacing w:after="120" w:line="360" w:lineRule="auto"/>
        <w:ind w:firstLine="420"/>
      </w:pPr>
      <w:r>
        <w:rPr>
          <w:rFonts w:ascii="Times New Roman" w:hAnsi="Times New Roman" w:eastAsia="宋体"/>
          <w:b w:val="0"/>
          <w:i w:val="0"/>
          <w:color w:val="1A1A1A"/>
          <w:sz w:val="21"/>
        </w:rPr>
        <w:t>ALDH2 rs671在非东亚人群中频率极低</w:t>
      </w:r>
      <w:r>
        <w:rPr>
          <w:rFonts w:ascii="Times New Roman" w:hAnsi="Times New Roman" w:eastAsia="宋体"/>
          <w:b w:val="0"/>
          <w:i w:val="0"/>
          <w:color w:val="1A1A1A"/>
          <w:sz w:val="21"/>
          <w:vertAlign w:val="superscript"/>
        </w:rPr>
        <w:t>[5]</w:t>
      </w:r>
      <w:r>
        <w:rPr>
          <w:rFonts w:ascii="Times New Roman" w:hAnsi="Times New Roman" w:eastAsia="宋体"/>
          <w:b w:val="0"/>
          <w:i w:val="0"/>
          <w:color w:val="1A1A1A"/>
          <w:sz w:val="21"/>
        </w:rPr>
        <w:t>，因此在以欧美人群为主要证据来源的推荐路径中，它基本不构成议题；对中国人群则完全不同。按本文推算，约三分之一以上的个体至少携带一个活性降低的等位基因，这意味着即便是已确诊冠心病的患者在心绞痛发作时使用硝酸甘油，其效应也具有相当程度的不可预测性。</w:t>
      </w:r>
    </w:p>
    <w:p>
      <w:pPr>
        <w:spacing w:after="120" w:line="360" w:lineRule="auto"/>
        <w:ind w:firstLine="420"/>
      </w:pPr>
      <w:r>
        <w:rPr>
          <w:rFonts w:ascii="Times New Roman" w:hAnsi="Times New Roman" w:eastAsia="宋体"/>
          <w:b w:val="0"/>
          <w:i w:val="0"/>
          <w:color w:val="1A1A1A"/>
          <w:sz w:val="21"/>
        </w:rPr>
        <w:t>这一变异影响的性质更值得强调。它首先削弱的是疗效，其次——且对本文命题更为关键——削弱的是信号。当"未缓解"可以由"病情严重"与"个体缺乏活化酶"两种互不相同的机制解释时，这一观察值对病因判断的价值进一步下降。因此，rs671的高频分布不构成"改用其他药物"的依据（那需要其他药物在同一场景有效的独立证据，而该证据目前不存在），它构成的是"不要依赖服药反应作判断"这一结论在中国人群中的额外理由。</w:t>
      </w:r>
    </w:p>
    <w:p>
      <w:pPr>
        <w:spacing w:after="80" w:line="312" w:lineRule="auto" w:before="160"/>
      </w:pPr>
      <w:r>
        <w:rPr>
          <w:rFonts w:ascii="Times New Roman" w:hAnsi="Times New Roman" w:eastAsia="黑体"/>
          <w:b/>
          <w:i w:val="0"/>
          <w:color w:val="1A1A1A"/>
          <w:sz w:val="22"/>
        </w:rPr>
        <w:t>4.3 "试药自诊"逻辑链的拆解</w:t>
      </w:r>
    </w:p>
    <w:p>
      <w:pPr>
        <w:spacing w:after="120" w:line="360" w:lineRule="auto"/>
        <w:ind w:firstLine="420"/>
      </w:pPr>
      <w:r>
        <w:rPr>
          <w:rFonts w:ascii="Times New Roman" w:hAnsi="Times New Roman" w:eastAsia="宋体"/>
          <w:b w:val="0"/>
          <w:i w:val="0"/>
          <w:color w:val="1A1A1A"/>
          <w:sz w:val="21"/>
        </w:rPr>
        <w:t>公众认知中的推理链可以逐环对照证据检验。第一环"缓解了就是心脏问题"，被三项独立研究直接否定</w:t>
      </w:r>
      <w:r>
        <w:rPr>
          <w:rFonts w:ascii="Times New Roman" w:hAnsi="Times New Roman" w:eastAsia="宋体"/>
          <w:b w:val="0"/>
          <w:i w:val="0"/>
          <w:color w:val="1A1A1A"/>
          <w:sz w:val="21"/>
          <w:vertAlign w:val="superscript"/>
        </w:rPr>
        <w:t>[6-8]</w:t>
      </w:r>
      <w:r>
        <w:rPr>
          <w:rFonts w:ascii="Times New Roman" w:hAnsi="Times New Roman" w:eastAsia="宋体"/>
          <w:b w:val="0"/>
          <w:i w:val="0"/>
          <w:color w:val="1A1A1A"/>
          <w:sz w:val="21"/>
        </w:rPr>
        <w:t>。第二环"不缓解就不是心脏问题"，同样不能成立：既然缓解与心源性病因之间不存在可用的关联，其否定形式亦无推论效力；在ALDH2 rs671携带者中，"不缓解"更另有一层与病因无关的解释</w:t>
      </w:r>
      <w:r>
        <w:rPr>
          <w:rFonts w:ascii="Times New Roman" w:hAnsi="Times New Roman" w:eastAsia="宋体"/>
          <w:b w:val="0"/>
          <w:i w:val="0"/>
          <w:color w:val="1A1A1A"/>
          <w:sz w:val="21"/>
          <w:vertAlign w:val="superscript"/>
        </w:rPr>
        <w:t>[4-5,10]</w:t>
      </w:r>
      <w:r>
        <w:rPr>
          <w:rFonts w:ascii="Times New Roman" w:hAnsi="Times New Roman" w:eastAsia="宋体"/>
          <w:b w:val="0"/>
          <w:i w:val="0"/>
          <w:color w:val="1A1A1A"/>
          <w:sz w:val="21"/>
        </w:rPr>
        <w:t>。第三环"不缓解就不必去医院"，与院前延迟数据直接冲突：延迟达到或超过2小时即与ST段抬高型心肌梗死患者院内死亡风险显著上升相关</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。三环相扣的推理链，每一环都缺乏支撑。</w:t>
      </w:r>
    </w:p>
    <w:p>
      <w:pPr>
        <w:spacing w:after="120" w:line="360" w:lineRule="auto"/>
        <w:ind w:firstLine="420"/>
      </w:pPr>
      <w:r>
        <w:rPr>
          <w:rFonts w:ascii="Times New Roman" w:hAnsi="Times New Roman" w:eastAsia="宋体"/>
          <w:b w:val="0"/>
          <w:i w:val="0"/>
          <w:color w:val="1A1A1A"/>
          <w:sz w:val="21"/>
        </w:rPr>
        <w:t>这条链条顽固的根源，在于把院外阶段当作诊断阶段。院外可获得的信息只有症状性质、持续时间、伴随表现与既往病史，不包含心电图与心肌损伤标志物；而现行指南路径中，病因判别恰恰依赖后两者</w:t>
      </w:r>
      <w:r>
        <w:rPr>
          <w:rFonts w:ascii="Times New Roman" w:hAnsi="Times New Roman" w:eastAsia="宋体"/>
          <w:b w:val="0"/>
          <w:i w:val="0"/>
          <w:color w:val="1A1A1A"/>
          <w:sz w:val="21"/>
          <w:vertAlign w:val="superscript"/>
        </w:rPr>
        <w:t>[18]</w:t>
      </w:r>
      <w:r>
        <w:rPr>
          <w:rFonts w:ascii="Times New Roman" w:hAnsi="Times New Roman" w:eastAsia="宋体"/>
          <w:b w:val="0"/>
          <w:i w:val="0"/>
          <w:color w:val="1A1A1A"/>
          <w:sz w:val="21"/>
        </w:rPr>
        <w:t>。因此院外阶段的合理目标不是缩小鉴别诊断，而是判断是否需要在最短时间内进入可获得心电图与肌钙蛋白检测的环境。这是两项性质不同的任务：前者需要检查，后者只需要识别危险信号并启动转运，而后者正是指南对院前阶段的明确要求</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w:t>
      </w:r>
    </w:p>
    <w:p>
      <w:pPr>
        <w:spacing w:after="80" w:line="312" w:lineRule="auto" w:before="160"/>
      </w:pPr>
      <w:r>
        <w:rPr>
          <w:rFonts w:ascii="Times New Roman" w:hAnsi="Times New Roman" w:eastAsia="黑体"/>
          <w:b/>
          <w:i w:val="0"/>
          <w:color w:val="1A1A1A"/>
          <w:sz w:val="22"/>
        </w:rPr>
        <w:t>4.4 对临床实践与公众沟通的意义</w:t>
      </w:r>
    </w:p>
    <w:p>
      <w:pPr>
        <w:spacing w:after="120" w:line="360" w:lineRule="auto"/>
        <w:ind w:firstLine="420"/>
      </w:pPr>
      <w:r>
        <w:rPr>
          <w:rFonts w:ascii="Times New Roman" w:hAnsi="Times New Roman" w:eastAsia="宋体"/>
          <w:b w:val="0"/>
          <w:i w:val="0"/>
          <w:color w:val="1A1A1A"/>
          <w:sz w:val="21"/>
        </w:rPr>
        <w:t>由上述证据可导出一个与证据强度相称的院外处置框架。核心行动只有一个：突发压榨性、闷痛或不明原因持续性胸部不适时，立即呼叫120急救；不要等待，不要自行驾车，不要由家属驾车送医</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。在等待救护车期间保持安静的坐位或半卧位，避免活动</w:t>
      </w:r>
      <w:r>
        <w:rPr>
          <w:rFonts w:ascii="Times New Roman" w:hAnsi="Times New Roman" w:eastAsia="宋体"/>
          <w:b w:val="0"/>
          <w:i w:val="0"/>
          <w:color w:val="1A1A1A"/>
          <w:sz w:val="21"/>
          <w:vertAlign w:val="superscript"/>
        </w:rPr>
        <w:t>[1]</w:t>
      </w:r>
      <w:r>
        <w:rPr>
          <w:rFonts w:ascii="Times New Roman" w:hAnsi="Times New Roman" w:eastAsia="宋体"/>
          <w:b w:val="0"/>
          <w:i w:val="0"/>
          <w:color w:val="1A1A1A"/>
          <w:sz w:val="21"/>
        </w:rPr>
        <w:t>。不要凭服药反应判断是否需要就医——硝酸甘油或速效救心丸缓解胸痛均不能排除或确认心脏病因</w:t>
      </w:r>
      <w:r>
        <w:rPr>
          <w:rFonts w:ascii="Times New Roman" w:hAnsi="Times New Roman" w:eastAsia="宋体"/>
          <w:b w:val="0"/>
          <w:i w:val="0"/>
          <w:color w:val="1A1A1A"/>
          <w:sz w:val="21"/>
          <w:vertAlign w:val="superscript"/>
        </w:rPr>
        <w:t>[6-8]</w:t>
      </w:r>
      <w:r>
        <w:rPr>
          <w:rFonts w:ascii="Times New Roman" w:hAnsi="Times New Roman" w:eastAsia="宋体"/>
          <w:b w:val="0"/>
          <w:i w:val="0"/>
          <w:color w:val="1A1A1A"/>
          <w:sz w:val="21"/>
        </w:rPr>
        <w:t>。不要为了服药观察而延误呼叫：延迟2小时即可使心肌梗死患者死亡风险显著上升</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。在此前提之下，对已确诊冠心病、有既往硝酸甘油有效使用经历、无禁忌情形（收缩压&lt;90 mmHg的低血压、严重主动脉瓣狭窄、肥厚型梗阻性心肌病、24小时内服用过磷酸二酯酶-5抑制剂如西地那非等，见3.4节）且本次症状与既往心绞痛发作类似者，可在呼叫120之后考虑按说明书剂量含服硝酸甘油；此举可被认为合理但仍有风险——中国人群ALDH2 rs671的高频分布意味着个体疗效不可预测，而院外场景中禁忌情形通常不可知——且服药不改变呼叫120的决策</w:t>
      </w:r>
      <w:r>
        <w:rPr>
          <w:rFonts w:ascii="Times New Roman" w:hAnsi="Times New Roman" w:eastAsia="宋体"/>
          <w:b w:val="0"/>
          <w:i w:val="0"/>
          <w:color w:val="1A1A1A"/>
          <w:sz w:val="21"/>
          <w:vertAlign w:val="superscript"/>
        </w:rPr>
        <w:t>[4]</w:t>
      </w:r>
      <w:r>
        <w:rPr>
          <w:rFonts w:ascii="Times New Roman" w:hAnsi="Times New Roman" w:eastAsia="宋体"/>
          <w:b w:val="0"/>
          <w:i w:val="0"/>
          <w:color w:val="1A1A1A"/>
          <w:sz w:val="21"/>
        </w:rPr>
        <w:t>。速效救心丸不适用于该场景的急救决策，服用速效救心丸不得延误呼叫120</w:t>
      </w:r>
      <w:r>
        <w:rPr>
          <w:rFonts w:ascii="Times New Roman" w:hAnsi="Times New Roman" w:eastAsia="宋体"/>
          <w:b w:val="0"/>
          <w:i w:val="0"/>
          <w:color w:val="1A1A1A"/>
          <w:sz w:val="21"/>
          <w:vertAlign w:val="superscript"/>
        </w:rPr>
        <w:t>[13-14]</w:t>
      </w:r>
      <w:r>
        <w:rPr>
          <w:rFonts w:ascii="Times New Roman" w:hAnsi="Times New Roman" w:eastAsia="宋体"/>
          <w:b w:val="0"/>
          <w:i w:val="0"/>
          <w:color w:val="1A1A1A"/>
          <w:sz w:val="21"/>
        </w:rPr>
        <w:t>。</w:t>
      </w:r>
      <w:r>
        <w:rPr>
          <w:rFonts w:ascii="Times New Roman" w:hAnsi="Times New Roman" w:eastAsia="宋体"/>
          <w:b/>
          <w:i w:val="0"/>
          <w:color w:val="1A1A1A"/>
          <w:sz w:val="21"/>
        </w:rPr>
        <w:t>服用任何自救药物均不得延误呼叫急救</w:t>
      </w:r>
      <w:r>
        <w:rPr>
          <w:rFonts w:ascii="Times New Roman" w:hAnsi="Times New Roman" w:eastAsia="宋体"/>
          <w:b w:val="0"/>
          <w:i w:val="0"/>
          <w:color w:val="1A1A1A"/>
          <w:sz w:val="21"/>
        </w:rPr>
        <w:t>，这一表述的强度不因上述任何细分情形而降低。</w:t>
      </w:r>
    </w:p>
    <w:p>
      <w:pPr>
        <w:spacing w:after="120" w:line="360" w:lineRule="auto"/>
        <w:ind w:firstLine="420"/>
      </w:pPr>
      <w:r>
        <w:rPr>
          <w:rFonts w:ascii="Times New Roman" w:hAnsi="Times New Roman" w:eastAsia="宋体"/>
          <w:b w:val="0"/>
          <w:i w:val="0"/>
          <w:color w:val="1A1A1A"/>
          <w:sz w:val="21"/>
        </w:rPr>
        <w:t>公众沟通的着力点由此变得清晰。既往的健康教育常把重点放在"备哪种药""先含哪一种"上，而证据指向的目标行为是"呼叫急救"本身：系统评价确认专业医疗求助行为是缩短院前延迟的有效行为改变技术</w:t>
      </w:r>
      <w:r>
        <w:rPr>
          <w:rFonts w:ascii="Times New Roman" w:hAnsi="Times New Roman" w:eastAsia="宋体"/>
          <w:b w:val="0"/>
          <w:i w:val="0"/>
          <w:color w:val="1A1A1A"/>
          <w:sz w:val="21"/>
          <w:vertAlign w:val="superscript"/>
        </w:rPr>
        <w:t>[17]</w:t>
      </w:r>
      <w:r>
        <w:rPr>
          <w:rFonts w:ascii="Times New Roman" w:hAnsi="Times New Roman" w:eastAsia="宋体"/>
          <w:b w:val="0"/>
          <w:i w:val="0"/>
          <w:color w:val="1A1A1A"/>
          <w:sz w:val="21"/>
        </w:rPr>
        <w:t>，观察性数据亦显示使用救护车是缩短延迟的保护因素</w:t>
      </w:r>
      <w:r>
        <w:rPr>
          <w:rFonts w:ascii="Times New Roman" w:hAnsi="Times New Roman" w:eastAsia="宋体"/>
          <w:b w:val="0"/>
          <w:i w:val="0"/>
          <w:color w:val="1A1A1A"/>
          <w:sz w:val="21"/>
          <w:vertAlign w:val="superscript"/>
        </w:rPr>
        <w:t>[16]</w:t>
      </w:r>
      <w:r>
        <w:rPr>
          <w:rFonts w:ascii="Times New Roman" w:hAnsi="Times New Roman" w:eastAsia="宋体"/>
          <w:b w:val="0"/>
          <w:i w:val="0"/>
          <w:color w:val="1A1A1A"/>
          <w:sz w:val="21"/>
        </w:rPr>
        <w:t>，而中国目前超过80%的急性心肌梗死患者未呼叫救护车</w:t>
      </w:r>
      <w:r>
        <w:rPr>
          <w:rFonts w:ascii="Times New Roman" w:hAnsi="Times New Roman" w:eastAsia="宋体"/>
          <w:b w:val="0"/>
          <w:i w:val="0"/>
          <w:color w:val="1A1A1A"/>
          <w:sz w:val="21"/>
          <w:vertAlign w:val="superscript"/>
        </w:rPr>
        <w:t>[3]</w:t>
      </w:r>
      <w:r>
        <w:rPr>
          <w:rFonts w:ascii="Times New Roman" w:hAnsi="Times New Roman" w:eastAsia="宋体"/>
          <w:b w:val="0"/>
          <w:i w:val="0"/>
          <w:color w:val="1A1A1A"/>
          <w:sz w:val="21"/>
        </w:rPr>
        <w:t>。在这一背景下，把公众注意力集中于药物排序，不仅无助于结局，还可能通过延长观察等待而产生实质危害。</w:t>
      </w:r>
    </w:p>
    <w:p>
      <w:pPr>
        <w:spacing w:after="120" w:line="360" w:lineRule="auto"/>
        <w:ind w:firstLine="420"/>
      </w:pPr>
      <w:r>
        <w:rPr>
          <w:rFonts w:ascii="Times New Roman" w:hAnsi="Times New Roman" w:eastAsia="宋体"/>
          <w:b w:val="0"/>
          <w:i w:val="0"/>
          <w:color w:val="1A1A1A"/>
          <w:sz w:val="21"/>
        </w:rPr>
        <w:t>对两种药物的结论亦应分层表述。速效救心丸在确诊冠心病的稳定型心绞痛人群中有设计规范的随机对照试验支持其长期加载治疗的评价</w:t>
      </w:r>
      <w:r>
        <w:rPr>
          <w:rFonts w:ascii="Times New Roman" w:hAnsi="Times New Roman" w:eastAsia="宋体"/>
          <w:b w:val="0"/>
          <w:i w:val="0"/>
          <w:color w:val="1A1A1A"/>
          <w:sz w:val="21"/>
          <w:vertAlign w:val="superscript"/>
        </w:rPr>
        <w:t>[14]</w:t>
      </w:r>
      <w:r>
        <w:rPr>
          <w:rFonts w:ascii="Times New Roman" w:hAnsi="Times New Roman" w:eastAsia="宋体"/>
          <w:b w:val="0"/>
          <w:i w:val="0"/>
          <w:color w:val="1A1A1A"/>
          <w:sz w:val="21"/>
        </w:rPr>
        <w:t>，本文不对该定位作出否定判断；本文否定的是把该定位外推至未分化急性胸痛院外自我处置这一跳跃。同样，硝酸甘油在已确诊冠心病患者心绞痛急性发作中的地位并未被本文质疑，被质疑的是把它当作病因判别工具的用法。</w:t>
      </w:r>
    </w:p>
    <w:p>
      <w:pPr>
        <w:spacing w:after="80" w:line="312" w:lineRule="auto" w:before="160"/>
      </w:pPr>
      <w:r>
        <w:rPr>
          <w:rFonts w:ascii="Times New Roman" w:hAnsi="Times New Roman" w:eastAsia="黑体"/>
          <w:b/>
          <w:i w:val="0"/>
          <w:color w:val="1A1A1A"/>
          <w:sz w:val="22"/>
        </w:rPr>
        <w:t>4.5 局限性</w:t>
      </w:r>
    </w:p>
    <w:p>
      <w:pPr>
        <w:spacing w:after="120" w:line="360" w:lineRule="auto"/>
        <w:ind w:firstLine="420"/>
      </w:pPr>
      <w:r>
        <w:rPr>
          <w:rFonts w:ascii="Times New Roman" w:hAnsi="Times New Roman" w:eastAsia="宋体"/>
          <w:b w:val="0"/>
          <w:i w:val="0"/>
          <w:color w:val="1A1A1A"/>
          <w:sz w:val="21"/>
        </w:rPr>
        <w:t>本文存在若干需要明确的局限。其一是体裁与流程：本文为证据评价与决策框架型综述，非依PRISMA流程完成的系统评价；筛选与资料提取由单一研究者完成，未实施双人独立筛选与双人偏倚风险评定，亦未作方案的前瞻注册，因而选择性偏倚不能排除。</w:t>
      </w:r>
    </w:p>
    <w:p>
      <w:pPr>
        <w:spacing w:after="120" w:line="360" w:lineRule="auto"/>
        <w:ind w:firstLine="420"/>
      </w:pPr>
      <w:r>
        <w:rPr>
          <w:rFonts w:ascii="Times New Roman" w:hAnsi="Times New Roman" w:eastAsia="宋体"/>
          <w:b w:val="0"/>
          <w:i w:val="0"/>
          <w:color w:val="1A1A1A"/>
          <w:sz w:val="21"/>
        </w:rPr>
        <w:t>其二是检索覆盖面：本轮未检索中国知网、万方与维普等中文全文数据库。速效救心丸的相当部分临床文献发表于中文期刊，这一缺口可能低估该药现有证据的体量；因此本文对该药的结论严格限定为"现有可核验证据的人群与场景边界"，不构成对该药整体疗效的评价。此外，本轮亦未检索药品说明书数据库，故说明书适应症与药物禁忌情形均按"无出处"处理。</w:t>
      </w:r>
    </w:p>
    <w:p>
      <w:pPr>
        <w:spacing w:after="120" w:line="360" w:lineRule="auto"/>
        <w:ind w:firstLine="420"/>
      </w:pPr>
      <w:r>
        <w:rPr>
          <w:rFonts w:ascii="Times New Roman" w:hAnsi="Times New Roman" w:eastAsia="宋体"/>
          <w:b w:val="0"/>
          <w:i w:val="0"/>
          <w:color w:val="1A1A1A"/>
          <w:sz w:val="21"/>
        </w:rPr>
        <w:t>其三是关键来源的获取深度：Henrikson等2003年的研究与Li等2006年的研究均非开放获取，其方法学细节与具体数值未能逐字核对，本文仅依据其摘要陈述结论方向；速效救心丸2023年的结果论文非开放获取，本文未引述其效应量，因而无法基于最新随机对照数据评价该药在稳定型心绞痛中的疗效。</w:t>
      </w:r>
    </w:p>
    <w:p>
      <w:pPr>
        <w:spacing w:after="120" w:line="360" w:lineRule="auto"/>
        <w:ind w:firstLine="420"/>
      </w:pPr>
      <w:r>
        <w:rPr>
          <w:rFonts w:ascii="Times New Roman" w:hAnsi="Times New Roman" w:eastAsia="宋体"/>
          <w:b w:val="0"/>
          <w:i w:val="0"/>
          <w:color w:val="1A1A1A"/>
          <w:sz w:val="21"/>
        </w:rPr>
        <w:t>其四是证据的直接性：诊断价值的三项研究均以到院患者为样本，评价的是已知结局与服药反应之间的关联，而非院外场景中的前瞻性检验；这一间接性限制虽不改变结论方向，但使结论在严格意义上仍属外推。</w:t>
      </w:r>
    </w:p>
    <w:p>
      <w:pPr>
        <w:spacing w:after="120" w:line="360" w:lineRule="auto"/>
        <w:ind w:firstLine="420"/>
      </w:pPr>
      <w:r>
        <w:rPr>
          <w:rFonts w:ascii="Times New Roman" w:hAnsi="Times New Roman" w:eastAsia="宋体"/>
          <w:b w:val="0"/>
          <w:i w:val="0"/>
          <w:color w:val="1A1A1A"/>
          <w:sz w:val="21"/>
        </w:rPr>
        <w:t>其五是结局数据的偏倚结构：全国性院前延迟数据的样本限于入院患者，未能到院的死亡病例未被纳入，因此院前延迟的真实危害可能被低估，而非高估。</w:t>
      </w:r>
    </w:p>
    <w:p>
      <w:pPr>
        <w:spacing w:after="120" w:line="360" w:lineRule="auto"/>
        <w:ind w:firstLine="420"/>
      </w:pPr>
      <w:r>
        <w:rPr>
          <w:rFonts w:ascii="Times New Roman" w:hAnsi="Times New Roman" w:eastAsia="宋体"/>
          <w:b w:val="0"/>
          <w:i w:val="0"/>
          <w:color w:val="1A1A1A"/>
          <w:sz w:val="21"/>
        </w:rPr>
        <w:t>其六是推算值的依赖条件：表2中的基因型分布依赖Hardy–Weinberg平衡假设与单一队列的等位基因频率估计，且rs671存在南北梯度，全国单点估计不宜直接套用于具体地区人群。</w:t>
      </w:r>
    </w:p>
    <w:p>
      <w:pPr>
        <w:spacing w:after="120" w:line="360" w:lineRule="auto"/>
        <w:ind w:firstLine="420"/>
      </w:pPr>
      <w:r>
        <w:rPr>
          <w:rFonts w:ascii="Times New Roman" w:hAnsi="Times New Roman" w:eastAsia="宋体"/>
          <w:b w:val="0"/>
          <w:i w:val="0"/>
          <w:color w:val="1A1A1A"/>
          <w:sz w:val="21"/>
        </w:rPr>
        <w:t>其七是范围限定：本文未纳入成本效益维度，亦未评价其他药物在该场景中的地位；本文评价的是证据与临床问题之间的匹配关系，不替代个体化诊断与处方。</w:t>
      </w:r>
    </w:p>
    <w:p>
      <w:pPr>
        <w:spacing w:after="120" w:line="312" w:lineRule="auto" w:before="240"/>
      </w:pPr>
      <w:r>
        <w:rPr>
          <w:rFonts w:ascii="Times New Roman" w:hAnsi="Times New Roman" w:eastAsia="黑体"/>
          <w:b/>
          <w:i w:val="0"/>
          <w:color w:val="1A1A1A"/>
          <w:sz w:val="26"/>
        </w:rPr>
        <w:t>5 结论</w:t>
      </w:r>
    </w:p>
    <w:p>
      <w:pPr>
        <w:spacing w:after="120" w:line="360" w:lineRule="auto"/>
        <w:ind w:firstLine="420"/>
      </w:pPr>
      <w:r>
        <w:rPr>
          <w:rFonts w:ascii="Times New Roman" w:hAnsi="Times New Roman" w:eastAsia="宋体"/>
          <w:b w:val="0"/>
          <w:i w:val="0"/>
          <w:color w:val="1A1A1A"/>
          <w:sz w:val="21"/>
        </w:rPr>
        <w:t>对未分化的急性胸痛，症状对含服药物的反应不能用于区分心源性与非心源性病因：三项独立研究方向一致地否定了硝酸甘油缓解与心脏病因之间的关联，而速效救心丸在这一问题上尚无任何研究可依。ALDH2 rs671在中国人群中的高频分布——A等位基因频率0.21，推算约37.6%的个体至少携带一个活性降低等位基因——使硝酸甘油的症状反应作为判断信号更不可靠，但这一事实不构成改用其他药物的依据。</w:t>
      </w:r>
    </w:p>
    <w:p>
      <w:pPr>
        <w:spacing w:after="120" w:line="360" w:lineRule="auto"/>
        <w:ind w:firstLine="420"/>
      </w:pPr>
      <w:r>
        <w:rPr>
          <w:rFonts w:ascii="Times New Roman" w:hAnsi="Times New Roman" w:eastAsia="宋体"/>
          <w:b w:val="0"/>
          <w:i w:val="0"/>
          <w:color w:val="1A1A1A"/>
          <w:sz w:val="21"/>
        </w:rPr>
        <w:t>速效救心丸现有质量最高的随机对照证据针对确诊冠心病的稳定型心绞痛，给药方式为每次5丸、每日3次、疗程24周的长期加载治疗，其适用边界不延伸至未分化急性胸痛的院外自我处置；不存在针对该场景的随机对照试验证据。与之相对，院外阶段唯一被指南直接支持且对预后具有决定性影响的行动是立即呼叫急救：全国性数据显示，院前延迟达到或超过2小时即与ST段抬高型心肌梗死患者院内死亡风险上升相关。</w:t>
      </w:r>
    </w:p>
    <w:p>
      <w:pPr>
        <w:spacing w:after="120" w:line="360" w:lineRule="auto"/>
        <w:ind w:firstLine="420"/>
      </w:pPr>
      <w:r>
        <w:rPr>
          <w:rFonts w:ascii="Times New Roman" w:hAnsi="Times New Roman" w:eastAsia="宋体"/>
          <w:b w:val="0"/>
          <w:i w:val="0"/>
          <w:color w:val="1A1A1A"/>
          <w:sz w:val="21"/>
        </w:rPr>
        <w:t>因此，"应该含服硝酸甘油还是速效救心丸"这一提问隐含了错误前提，即两者之中总有一个是正确选择。证据支持的答案是：两者都不是核心行动，核心行动是立即呼叫120急救；服用任何自救药物均不得延误呼叫急救。</w:t>
      </w:r>
    </w:p>
    <w:p>
      <w:pPr>
        <w:spacing w:after="120" w:line="312" w:lineRule="auto" w:before="240"/>
      </w:pPr>
      <w:r>
        <w:rPr>
          <w:rFonts w:ascii="Times New Roman" w:hAnsi="Times New Roman" w:eastAsia="黑体"/>
          <w:b/>
          <w:i w:val="0"/>
          <w:color w:val="1A1A1A"/>
          <w:sz w:val="24"/>
        </w:rPr>
        <w:t>参考文献</w:t>
      </w:r>
    </w:p>
    <w:p>
      <w:pPr>
        <w:spacing w:after="60" w:line="312" w:lineRule="auto"/>
        <w:ind w:left="510" w:hanging="510"/>
      </w:pPr>
      <w:r>
        <w:rPr>
          <w:rFonts w:ascii="Times New Roman" w:hAnsi="Times New Roman" w:eastAsia="宋体"/>
          <w:b w:val="0"/>
          <w:i w:val="0"/>
          <w:color w:val="1A1A1A"/>
          <w:sz w:val="18"/>
        </w:rPr>
        <w:t>[1]</w:t>
      </w:r>
      <w:r>
        <w:rPr>
          <w:rFonts w:ascii="Times New Roman" w:hAnsi="Times New Roman" w:eastAsia="宋体"/>
          <w:b w:val="0"/>
          <w:i w:val="0"/>
          <w:color w:val="1A1A1A"/>
          <w:sz w:val="18"/>
        </w:rPr>
        <w:t xml:space="preserve"> 中华医学会急诊医学分会. 急性胸痛急诊诊疗专家共识[J]. 中华急诊医学杂志, 2019, 28(4): 413-426.</w:t>
      </w:r>
    </w:p>
    <w:p>
      <w:pPr>
        <w:spacing w:after="60" w:line="312" w:lineRule="auto"/>
        <w:ind w:left="510" w:hanging="510"/>
      </w:pPr>
      <w:r>
        <w:rPr>
          <w:rFonts w:ascii="Times New Roman" w:hAnsi="Times New Roman" w:eastAsia="宋体"/>
          <w:b w:val="0"/>
          <w:i w:val="0"/>
          <w:color w:val="1A1A1A"/>
          <w:sz w:val="18"/>
        </w:rPr>
        <w:t>[2]</w:t>
      </w:r>
      <w:r>
        <w:rPr>
          <w:rFonts w:ascii="Times New Roman" w:hAnsi="Times New Roman" w:eastAsia="宋体"/>
          <w:b w:val="0"/>
          <w:i w:val="0"/>
          <w:color w:val="1A1A1A"/>
          <w:sz w:val="18"/>
        </w:rPr>
        <w:t xml:space="preserve"> 中华心血管病杂志编辑委员会. 胸痛规范化评估与诊断中国专家共识[J]. 中华心血管病杂志, 2014, 42(8): 629-638.</w:t>
      </w:r>
    </w:p>
    <w:p>
      <w:pPr>
        <w:spacing w:after="60" w:line="312" w:lineRule="auto"/>
        <w:ind w:left="510" w:hanging="510"/>
      </w:pPr>
      <w:r>
        <w:rPr>
          <w:rFonts w:ascii="Times New Roman" w:hAnsi="Times New Roman" w:eastAsia="宋体"/>
          <w:b w:val="0"/>
          <w:i w:val="0"/>
          <w:color w:val="1A1A1A"/>
          <w:sz w:val="18"/>
        </w:rPr>
        <w:t>[3]</w:t>
      </w:r>
      <w:r>
        <w:rPr>
          <w:rFonts w:ascii="Times New Roman" w:hAnsi="Times New Roman" w:eastAsia="宋体"/>
          <w:b w:val="0"/>
          <w:i w:val="0"/>
          <w:color w:val="1A1A1A"/>
          <w:sz w:val="18"/>
        </w:rPr>
        <w:t xml:space="preserve"> Hu D Q, Hao Y C, Liu J, et al. Pre-hospital delay in patients with acute myocardial infarction in China: findings from the Improving Care for Cardiovascular Disease in China-Acute Coronary Syndrome (CCC-ACS) project[J]. Journal of Geriatric Cardiology, 2022, 19(4): 276-284. DOI: 10.11909/j.issn.1671-5411.2022.04.005.</w:t>
      </w:r>
    </w:p>
    <w:p>
      <w:pPr>
        <w:spacing w:after="60" w:line="312" w:lineRule="auto"/>
        <w:ind w:left="510" w:hanging="510"/>
      </w:pPr>
      <w:r>
        <w:rPr>
          <w:rFonts w:ascii="Times New Roman" w:hAnsi="Times New Roman" w:eastAsia="宋体"/>
          <w:b w:val="0"/>
          <w:i w:val="0"/>
          <w:color w:val="1A1A1A"/>
          <w:sz w:val="18"/>
        </w:rPr>
        <w:t>[4]</w:t>
      </w:r>
      <w:r>
        <w:rPr>
          <w:rFonts w:ascii="Times New Roman" w:hAnsi="Times New Roman" w:eastAsia="宋体"/>
          <w:b w:val="0"/>
          <w:i w:val="0"/>
          <w:color w:val="1A1A1A"/>
          <w:sz w:val="18"/>
        </w:rPr>
        <w:t xml:space="preserve"> Li Y, Zhang D, Jin W, et al. Mitochondrial aldehyde dehydrogenase-2 (ALDH2) Glu504Lys polymorphism contributes to the variation in efficacy of sublingual nitroglycerin[J]. Journal of Clinical Investigation, 2006, 116(2): 506-511. DOI: 10.1172/JCI26564.</w:t>
      </w:r>
    </w:p>
    <w:p>
      <w:pPr>
        <w:spacing w:after="60" w:line="312" w:lineRule="auto"/>
        <w:ind w:left="510" w:hanging="510"/>
      </w:pPr>
      <w:r>
        <w:rPr>
          <w:rFonts w:ascii="Times New Roman" w:hAnsi="Times New Roman" w:eastAsia="宋体"/>
          <w:b w:val="0"/>
          <w:i w:val="0"/>
          <w:color w:val="1A1A1A"/>
          <w:sz w:val="18"/>
        </w:rPr>
        <w:t>[5]</w:t>
      </w:r>
      <w:r>
        <w:rPr>
          <w:rFonts w:ascii="Times New Roman" w:hAnsi="Times New Roman" w:eastAsia="宋体"/>
          <w:b w:val="0"/>
          <w:i w:val="0"/>
          <w:color w:val="1A1A1A"/>
          <w:sz w:val="18"/>
        </w:rPr>
        <w:t xml:space="preserve"> Qi G, Zhang J, Han C, et al. Genetic landscape of 125 pharmacogenes in Chinese from the Chinese Millionome Database[J]. Scientific Reports, 2021, 11(1): 19298. DOI: 10.1038/s41598-021-98877-x.</w:t>
      </w:r>
    </w:p>
    <w:p>
      <w:pPr>
        <w:spacing w:after="60" w:line="312" w:lineRule="auto"/>
        <w:ind w:left="510" w:hanging="510"/>
      </w:pPr>
      <w:r>
        <w:rPr>
          <w:rFonts w:ascii="Times New Roman" w:hAnsi="Times New Roman" w:eastAsia="宋体"/>
          <w:b w:val="0"/>
          <w:i w:val="0"/>
          <w:color w:val="1A1A1A"/>
          <w:sz w:val="18"/>
        </w:rPr>
        <w:t>[6]</w:t>
      </w:r>
      <w:r>
        <w:rPr>
          <w:rFonts w:ascii="Times New Roman" w:hAnsi="Times New Roman" w:eastAsia="宋体"/>
          <w:b w:val="0"/>
          <w:i w:val="0"/>
          <w:color w:val="1A1A1A"/>
          <w:sz w:val="18"/>
        </w:rPr>
        <w:t xml:space="preserve"> Henrikson C A, Howell E E, Bush D E, et al. Chest pain relief by nitroglycerin does not predict active coronary artery disease[J]. Annals of Internal Medicine, 2003, 139(12): 979-986. DOI: 10.7326/0003-4819-139-12-200312160-00007.</w:t>
      </w:r>
    </w:p>
    <w:p>
      <w:pPr>
        <w:spacing w:after="60" w:line="312" w:lineRule="auto"/>
        <w:ind w:left="510" w:hanging="510"/>
      </w:pPr>
      <w:r>
        <w:rPr>
          <w:rFonts w:ascii="Times New Roman" w:hAnsi="Times New Roman" w:eastAsia="宋体"/>
          <w:b w:val="0"/>
          <w:i w:val="0"/>
          <w:color w:val="1A1A1A"/>
          <w:sz w:val="18"/>
        </w:rPr>
        <w:t>[7]</w:t>
      </w:r>
      <w:r>
        <w:rPr>
          <w:rFonts w:ascii="Times New Roman" w:hAnsi="Times New Roman" w:eastAsia="宋体"/>
          <w:b w:val="0"/>
          <w:i w:val="0"/>
          <w:color w:val="1A1A1A"/>
          <w:sz w:val="18"/>
        </w:rPr>
        <w:t xml:space="preserve"> Steele R, McNaughton T, McConahy M, et al. Chest pain in emergency department patients: if the pain is relieved by nitroglycerin, is it more likely to be cardiac chest pain?[J]. Canadian Journal of Emergency Medicine, 2006, 8(3): 164-169. DOI: 10.1017/s1481803500013671.</w:t>
      </w:r>
    </w:p>
    <w:p>
      <w:pPr>
        <w:spacing w:after="60" w:line="312" w:lineRule="auto"/>
        <w:ind w:left="510" w:hanging="510"/>
      </w:pPr>
      <w:r>
        <w:rPr>
          <w:rFonts w:ascii="Times New Roman" w:hAnsi="Times New Roman" w:eastAsia="宋体"/>
          <w:b w:val="0"/>
          <w:i w:val="0"/>
          <w:color w:val="1A1A1A"/>
          <w:sz w:val="18"/>
        </w:rPr>
        <w:t>[8]</w:t>
      </w:r>
      <w:r>
        <w:rPr>
          <w:rFonts w:ascii="Times New Roman" w:hAnsi="Times New Roman" w:eastAsia="宋体"/>
          <w:b w:val="0"/>
          <w:i w:val="0"/>
          <w:color w:val="1A1A1A"/>
          <w:sz w:val="18"/>
        </w:rPr>
        <w:t xml:space="preserve"> Diercks D B, Boghos E, Guzman H, et al. Changes in the numeric descriptive scale for pain after sublingual nitroglycerin do not predict cardiac etiology of chest pain[J]. Annals of Emergency Medicine, 2005, 45(6): 581-585. DOI: 10.1016/j.annemergmed.2004.12.009.</w:t>
      </w:r>
    </w:p>
    <w:p>
      <w:pPr>
        <w:spacing w:after="60" w:line="312" w:lineRule="auto"/>
        <w:ind w:left="510" w:hanging="510"/>
      </w:pPr>
      <w:r>
        <w:rPr>
          <w:rFonts w:ascii="Times New Roman" w:hAnsi="Times New Roman" w:eastAsia="宋体"/>
          <w:b w:val="0"/>
          <w:i w:val="0"/>
          <w:color w:val="1A1A1A"/>
          <w:sz w:val="18"/>
        </w:rPr>
        <w:t>[9]</w:t>
      </w:r>
      <w:r>
        <w:rPr>
          <w:rFonts w:ascii="Times New Roman" w:hAnsi="Times New Roman" w:eastAsia="宋体"/>
          <w:b w:val="0"/>
          <w:i w:val="0"/>
          <w:color w:val="1A1A1A"/>
          <w:sz w:val="18"/>
        </w:rPr>
        <w:t xml:space="preserve"> Guo R, Chen X P, Guo X, et al. Evidence for involvement of calcitonin gene-related peptide in nitroglycerin response and association with mitochondrial aldehyde dehydrogenase-2 (ALDH2) Glu504Lys polymorphism[J]. Journal of the American College of Cardiology, 2008, 52(11): 953-960. DOI: 10.1016/j.jacc.2008.05.049.</w:t>
      </w:r>
    </w:p>
    <w:p>
      <w:pPr>
        <w:spacing w:after="60" w:line="312" w:lineRule="auto"/>
        <w:ind w:left="510" w:hanging="510"/>
      </w:pPr>
      <w:r>
        <w:rPr>
          <w:rFonts w:ascii="Times New Roman" w:hAnsi="Times New Roman" w:eastAsia="宋体"/>
          <w:b w:val="0"/>
          <w:i w:val="0"/>
          <w:color w:val="1A1A1A"/>
          <w:sz w:val="18"/>
        </w:rPr>
        <w:t>[10]</w:t>
      </w:r>
      <w:r>
        <w:rPr>
          <w:rFonts w:ascii="Times New Roman" w:hAnsi="Times New Roman" w:eastAsia="宋体"/>
          <w:b w:val="0"/>
          <w:i w:val="0"/>
          <w:color w:val="1A1A1A"/>
          <w:sz w:val="18"/>
        </w:rPr>
        <w:t xml:space="preserve"> Alcohol metabolism genes and risks of site-specific cancers in Chinese adults: an 11-year prospective study. PMID: 35048370; PMC7612513.（该文全文载有"A等位基因频率0.21"的逐字语句；本轮仅核验其题名与标识符，作者、期刊与卷页未能核验，故题录从略）</w:t>
      </w:r>
    </w:p>
    <w:p>
      <w:pPr>
        <w:spacing w:after="60" w:line="312" w:lineRule="auto"/>
        <w:ind w:left="510" w:hanging="510"/>
      </w:pPr>
      <w:r>
        <w:rPr>
          <w:rFonts w:ascii="Times New Roman" w:hAnsi="Times New Roman" w:eastAsia="宋体"/>
          <w:b w:val="0"/>
          <w:i w:val="0"/>
          <w:color w:val="1A1A1A"/>
          <w:sz w:val="18"/>
        </w:rPr>
        <w:t>[11]</w:t>
      </w:r>
      <w:r>
        <w:rPr>
          <w:rFonts w:ascii="Times New Roman" w:hAnsi="Times New Roman" w:eastAsia="宋体"/>
          <w:b w:val="0"/>
          <w:i w:val="0"/>
          <w:color w:val="1A1A1A"/>
          <w:sz w:val="18"/>
        </w:rPr>
        <w:t xml:space="preserve"> Du X, Zhang X, Wang J, et al. Estimating genetic load from 5000 Chinese exomes[J]. Journal of Genetics and Genomics, 2026, 53(3): 322-330. DOI: 10.1016/j.jgg.2025.08.009.</w:t>
      </w:r>
    </w:p>
    <w:p>
      <w:pPr>
        <w:spacing w:after="60" w:line="312" w:lineRule="auto"/>
        <w:ind w:left="510" w:hanging="510"/>
      </w:pPr>
      <w:r>
        <w:rPr>
          <w:rFonts w:ascii="Times New Roman" w:hAnsi="Times New Roman" w:eastAsia="宋体"/>
          <w:b w:val="0"/>
          <w:i w:val="0"/>
          <w:color w:val="1A1A1A"/>
          <w:sz w:val="18"/>
        </w:rPr>
        <w:t>[12]</w:t>
      </w:r>
      <w:r>
        <w:rPr>
          <w:rFonts w:ascii="Times New Roman" w:hAnsi="Times New Roman" w:eastAsia="宋体"/>
          <w:b w:val="0"/>
          <w:i w:val="0"/>
          <w:color w:val="1A1A1A"/>
          <w:sz w:val="18"/>
        </w:rPr>
        <w:t xml:space="preserve"> Zhang H, Chen Y G, Xu F, 等. 乙醛脱氢酶2基因多态性与硝酸甘油疗效的关系[J]. 中华内科杂志, 2007, 46(8): 629-632.</w:t>
      </w:r>
    </w:p>
    <w:p>
      <w:pPr>
        <w:spacing w:after="60" w:line="312" w:lineRule="auto"/>
        <w:ind w:left="510" w:hanging="510"/>
      </w:pPr>
      <w:r>
        <w:rPr>
          <w:rFonts w:ascii="Times New Roman" w:hAnsi="Times New Roman" w:eastAsia="宋体"/>
          <w:b w:val="0"/>
          <w:i w:val="0"/>
          <w:color w:val="1A1A1A"/>
          <w:sz w:val="18"/>
        </w:rPr>
        <w:t>[13]</w:t>
      </w:r>
      <w:r>
        <w:rPr>
          <w:rFonts w:ascii="Times New Roman" w:hAnsi="Times New Roman" w:eastAsia="宋体"/>
          <w:b w:val="0"/>
          <w:i w:val="0"/>
          <w:color w:val="1A1A1A"/>
          <w:sz w:val="18"/>
        </w:rPr>
        <w:t xml:space="preserve"> Duan X, Zhou L, Wu T, et al. Chinese herbal medicine suxiao jiuxin wan for angina pectoris[J]. Cochrane Database of Systematic Reviews, 2008(1): CD004473. DOI: 10.1002/14651858.CD004473.pub2.</w:t>
      </w:r>
    </w:p>
    <w:p>
      <w:pPr>
        <w:spacing w:after="60" w:line="312" w:lineRule="auto"/>
        <w:ind w:left="510" w:hanging="510"/>
      </w:pPr>
      <w:r>
        <w:rPr>
          <w:rFonts w:ascii="Times New Roman" w:hAnsi="Times New Roman" w:eastAsia="宋体"/>
          <w:b w:val="0"/>
          <w:i w:val="0"/>
          <w:color w:val="1A1A1A"/>
          <w:sz w:val="18"/>
        </w:rPr>
        <w:t>[14]</w:t>
      </w:r>
      <w:r>
        <w:rPr>
          <w:rFonts w:ascii="Times New Roman" w:hAnsi="Times New Roman" w:eastAsia="宋体"/>
          <w:b w:val="0"/>
          <w:i w:val="0"/>
          <w:color w:val="1A1A1A"/>
          <w:sz w:val="18"/>
        </w:rPr>
        <w:t xml:space="preserve"> Ruan X, Li Y, Sun Y, et al. Efficacy and safety of Suxiao Jiuxin Pill in the treatment of stable angina (Qi stagnation and blood stasis syndrome): study protocol of a randomized, double-blind, placebo-controlled, multi-center clinical trial[J]. Trials, 2021, 22(1): 476. DOI: 10.1186/s13063-021-05448-6.</w:t>
      </w:r>
    </w:p>
    <w:p>
      <w:pPr>
        <w:spacing w:after="60" w:line="312" w:lineRule="auto"/>
        <w:ind w:left="510" w:hanging="510"/>
      </w:pPr>
      <w:r>
        <w:rPr>
          <w:rFonts w:ascii="Times New Roman" w:hAnsi="Times New Roman" w:eastAsia="宋体"/>
          <w:b w:val="0"/>
          <w:i w:val="0"/>
          <w:color w:val="1A1A1A"/>
          <w:sz w:val="18"/>
        </w:rPr>
        <w:t>[15]</w:t>
      </w:r>
      <w:r>
        <w:rPr>
          <w:rFonts w:ascii="Times New Roman" w:hAnsi="Times New Roman" w:eastAsia="宋体"/>
          <w:b w:val="0"/>
          <w:i w:val="0"/>
          <w:color w:val="1A1A1A"/>
          <w:sz w:val="18"/>
        </w:rPr>
        <w:t xml:space="preserve"> Ruan X, et al. Evaluation of the efficacy and safety of Suxiao Jiuxin Pill in the treatment of stable angina: a randomized, double-blind, placebo-controlled, multi-center clinical trial[J]. Journal of Ethnopharmacology, 2023, 316: 116959. DOI: 10.1016/j.jep.2023.116959.</w:t>
      </w:r>
    </w:p>
    <w:p>
      <w:pPr>
        <w:spacing w:after="60" w:line="312" w:lineRule="auto"/>
        <w:ind w:left="510" w:hanging="510"/>
      </w:pPr>
      <w:r>
        <w:rPr>
          <w:rFonts w:ascii="Times New Roman" w:hAnsi="Times New Roman" w:eastAsia="宋体"/>
          <w:b w:val="0"/>
          <w:i w:val="0"/>
          <w:color w:val="1A1A1A"/>
          <w:sz w:val="18"/>
        </w:rPr>
        <w:t>[16]</w:t>
      </w:r>
      <w:r>
        <w:rPr>
          <w:rFonts w:ascii="Times New Roman" w:hAnsi="Times New Roman" w:eastAsia="宋体"/>
          <w:b w:val="0"/>
          <w:i w:val="0"/>
          <w:color w:val="1A1A1A"/>
          <w:sz w:val="18"/>
        </w:rPr>
        <w:t xml:space="preserve"> Peng Y G, Feng J J, Guo L F, et al. Factors associated with prehospital delay in patients with ST-segment elevation acute myocardial infarction in China[J]. American Journal of Emergency Medicine, 2014, 32(4): 349-355. DOI: 10.1016/j.ajem.2013.12.053.</w:t>
      </w:r>
    </w:p>
    <w:p>
      <w:pPr>
        <w:spacing w:after="60" w:line="312" w:lineRule="auto"/>
        <w:ind w:left="510" w:hanging="510"/>
      </w:pPr>
      <w:r>
        <w:rPr>
          <w:rFonts w:ascii="Times New Roman" w:hAnsi="Times New Roman" w:eastAsia="宋体"/>
          <w:b w:val="0"/>
          <w:i w:val="0"/>
          <w:color w:val="1A1A1A"/>
          <w:sz w:val="18"/>
        </w:rPr>
        <w:t>[17]</w:t>
      </w:r>
      <w:r>
        <w:rPr>
          <w:rFonts w:ascii="Times New Roman" w:hAnsi="Times New Roman" w:eastAsia="宋体"/>
          <w:b w:val="0"/>
          <w:i w:val="0"/>
          <w:color w:val="1A1A1A"/>
          <w:sz w:val="18"/>
        </w:rPr>
        <w:t xml:space="preserve"> Farquharson B, Abhyankar P, Smith K, et al. Reducing delay in patients with acute coronary syndrome and other time-critical conditions: a systematic review to identify the behaviour change techniques associated with effective interventions[J]. Open Heart, 2019, 6(1): e000975. DOI: 10.1136/openhrt-2018-000975.</w:t>
      </w:r>
    </w:p>
    <w:p>
      <w:pPr>
        <w:spacing w:after="60" w:line="312" w:lineRule="auto"/>
        <w:ind w:left="510" w:hanging="510"/>
      </w:pPr>
      <w:r>
        <w:rPr>
          <w:rFonts w:ascii="Times New Roman" w:hAnsi="Times New Roman" w:eastAsia="宋体"/>
          <w:b w:val="0"/>
          <w:i w:val="0"/>
          <w:color w:val="1A1A1A"/>
          <w:sz w:val="18"/>
        </w:rPr>
        <w:t>[18]</w:t>
      </w:r>
      <w:r>
        <w:rPr>
          <w:rFonts w:ascii="Times New Roman" w:hAnsi="Times New Roman" w:eastAsia="宋体"/>
          <w:b w:val="0"/>
          <w:i w:val="0"/>
          <w:color w:val="1A1A1A"/>
          <w:sz w:val="18"/>
        </w:rPr>
        <w:t xml:space="preserve"> Kontos M C, de Lemos J A, Deitelzweig S B, et al. 2022 ACC expert consensus decision pathway on the evaluation and disposition of acute chest pain in the emergency department[J]. Journal of the American College of Cardiology, 2022, 80(20): 1925-1960. DOI: 10.1016/j.jacc.2022.08.750.</w:t>
      </w:r>
    </w:p>
    <w:p>
      <w:pPr>
        <w:spacing w:after="60" w:line="312" w:lineRule="auto"/>
        <w:ind w:left="510" w:hanging="510"/>
      </w:pPr>
      <w:r>
        <w:rPr>
          <w:rFonts w:ascii="Times New Roman" w:hAnsi="Times New Roman" w:eastAsia="宋体"/>
          <w:b w:val="0"/>
          <w:i w:val="0"/>
          <w:color w:val="1A1A1A"/>
          <w:sz w:val="18"/>
        </w:rPr>
        <w:t>[19]</w:t>
      </w:r>
      <w:r>
        <w:rPr>
          <w:rFonts w:ascii="Times New Roman" w:hAnsi="Times New Roman" w:eastAsia="宋体"/>
          <w:b w:val="0"/>
          <w:i w:val="0"/>
          <w:color w:val="1A1A1A"/>
          <w:sz w:val="18"/>
        </w:rPr>
        <w:t xml:space="preserve"> 中华医学会. 胸痛基层诊疗指南(2019年)[J]. 中华全科医师杂志, 2019, 18(10): 920-929.</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