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before="0" w:line="300" w:lineRule="auto"/>
        <w:jc w:val="center"/>
      </w:pPr>
      <w:r>
        <w:rPr>
          <w:rFonts w:ascii="Times New Roman" w:hAnsi="Times New Roman" w:eastAsia="黑体"/>
          <w:b/>
          <w:color w:val="C15F3C"/>
          <w:sz w:val="30"/>
        </w:rPr>
        <w:t>心血管事件晨峰现象能否支持未确诊人群"床头常备"速效救心丸：流行病学证据强度与获益-风险边界评价</w:t>
      </w:r>
    </w:p>
    <w:p>
      <w:pPr>
        <w:spacing w:after="100" w:before="240" w:line="300" w:lineRule="auto"/>
      </w:pPr>
      <w:r>
        <w:rPr>
          <w:rFonts w:ascii="Times New Roman" w:hAnsi="Times New Roman" w:eastAsia="黑体"/>
          <w:b/>
          <w:color w:val="1A1A1A"/>
          <w:sz w:val="25"/>
        </w:rPr>
        <w:t>摘要</w:t>
      </w:r>
    </w:p>
    <w:p>
      <w:pPr>
        <w:spacing w:after="120" w:before="0" w:line="348" w:lineRule="auto"/>
      </w:pPr>
      <w:r>
        <w:rPr>
          <w:rFonts w:ascii="Times New Roman" w:hAnsi="Times New Roman" w:eastAsia="宋体"/>
          <w:b/>
          <w:color w:val="1A1A1A"/>
          <w:sz w:val="21"/>
        </w:rPr>
        <w:t>结论先行</w:t>
      </w:r>
      <w:r>
        <w:rPr>
          <w:rFonts w:ascii="Times New Roman" w:hAnsi="Times New Roman" w:eastAsia="宋体"/>
          <w:b w:val="0"/>
          <w:color w:val="1A1A1A"/>
          <w:sz w:val="21"/>
        </w:rPr>
        <w:t>：心血管事件（急性心肌梗死、心源性猝死、缺血性卒中）在清晨时段的聚集是多项独立大样本研究可重复观察到的人群层面时间分布特征，但按本报告判定条件须降级表述为"观察性证据提示事件时间分布不均、混杂未能完全排除"；该人群层面现象</w:t>
      </w:r>
      <w:r>
        <w:rPr>
          <w:rFonts w:ascii="Times New Roman" w:hAnsi="Times New Roman" w:eastAsia="宋体"/>
          <w:b/>
          <w:color w:val="1A1A1A"/>
          <w:sz w:val="21"/>
        </w:rPr>
        <w:t>不构成</w:t>
      </w:r>
      <w:r>
        <w:rPr>
          <w:rFonts w:ascii="Times New Roman" w:hAnsi="Times New Roman" w:eastAsia="宋体"/>
          <w:b w:val="0"/>
          <w:color w:val="1A1A1A"/>
          <w:sz w:val="21"/>
        </w:rPr>
        <w:t>对未确诊个体"床头常备速效救心丸"的用药建议依据——说明书适应症边界、直接结局证据与就医延迟证据三项判定条件均未满足，现有证据</w:t>
      </w:r>
      <w:r>
        <w:rPr>
          <w:rFonts w:ascii="Times New Roman" w:hAnsi="Times New Roman" w:eastAsia="宋体"/>
          <w:b/>
          <w:color w:val="1A1A1A"/>
          <w:sz w:val="21"/>
        </w:rPr>
        <w:t>不支持</w:t>
      </w:r>
      <w:r>
        <w:rPr>
          <w:rFonts w:ascii="Times New Roman" w:hAnsi="Times New Roman" w:eastAsia="宋体"/>
          <w:b w:val="0"/>
          <w:color w:val="1A1A1A"/>
          <w:sz w:val="21"/>
        </w:rPr>
        <w:t>该建议。</w:t>
      </w:r>
      <w:r>
        <w:rPr>
          <w:rFonts w:ascii="Times New Roman" w:hAnsi="Times New Roman" w:eastAsia="宋体"/>
          <w:b w:val="0"/>
          <w:color w:val="1A1A1A"/>
          <w:sz w:val="21"/>
          <w:vertAlign w:val="superscript"/>
        </w:rPr>
        <w:t>[1]</w:t>
      </w:r>
      <w:r>
        <w:rPr>
          <w:rFonts w:ascii="Times New Roman" w:hAnsi="Times New Roman" w:eastAsia="宋体"/>
          <w:b w:val="0"/>
          <w:color w:val="1A1A1A"/>
          <w:sz w:val="21"/>
        </w:rPr>
        <w:t xml:space="preserve"> </w:t>
      </w:r>
      <w:r>
        <w:rPr>
          <w:rFonts w:ascii="Times New Roman" w:hAnsi="Times New Roman" w:eastAsia="宋体"/>
          <w:b w:val="0"/>
          <w:color w:val="1A1A1A"/>
          <w:sz w:val="21"/>
          <w:vertAlign w:val="superscript"/>
        </w:rPr>
        <w:t>[2]</w:t>
      </w:r>
      <w:r>
        <w:rPr>
          <w:rFonts w:ascii="Times New Roman" w:hAnsi="Times New Roman" w:eastAsia="宋体"/>
          <w:b w:val="0"/>
          <w:color w:val="1A1A1A"/>
          <w:sz w:val="21"/>
        </w:rPr>
        <w:t xml:space="preserve"> </w:t>
      </w:r>
      <w:r>
        <w:rPr>
          <w:rFonts w:ascii="Times New Roman" w:hAnsi="Times New Roman" w:eastAsia="宋体"/>
          <w:b w:val="0"/>
          <w:color w:val="1A1A1A"/>
          <w:sz w:val="21"/>
          <w:vertAlign w:val="superscript"/>
        </w:rPr>
        <w:t>[3]</w:t>
      </w:r>
    </w:p>
    <w:p>
      <w:pPr>
        <w:spacing w:after="120" w:before="0" w:line="348" w:lineRule="auto"/>
        <w:ind w:firstLine="420"/>
      </w:pPr>
      <w:r>
        <w:rPr>
          <w:rFonts w:ascii="Times New Roman" w:hAnsi="Times New Roman" w:eastAsia="宋体"/>
          <w:b w:val="0"/>
          <w:color w:val="1A1A1A"/>
          <w:sz w:val="21"/>
        </w:rPr>
        <w:t>中国延边 3158 例急性心肌梗死中，06:00–11:59 发病占 30.6%（967 例），显著高于其余时段（P&lt;0.01），峰值在 7–9 时。</w:t>
      </w:r>
      <w:r>
        <w:rPr>
          <w:rFonts w:ascii="Times New Roman" w:hAnsi="Times New Roman" w:eastAsia="宋体"/>
          <w:b w:val="0"/>
          <w:color w:val="1A1A1A"/>
          <w:sz w:val="21"/>
          <w:vertAlign w:val="superscript"/>
        </w:rPr>
        <w:t>[1]</w:t>
      </w:r>
    </w:p>
    <w:p>
      <w:pPr>
        <w:spacing w:after="120" w:before="0" w:line="348" w:lineRule="auto"/>
        <w:ind w:firstLine="420"/>
      </w:pPr>
      <w:r>
        <w:rPr>
          <w:rFonts w:ascii="Times New Roman" w:hAnsi="Times New Roman" w:eastAsia="宋体"/>
          <w:b w:val="0"/>
          <w:color w:val="1A1A1A"/>
          <w:sz w:val="21"/>
        </w:rPr>
        <w:t>中国社区远程心电监测 10,210 例心脏骤停中，08:00–11:59 占 30.1%、00:00–03:59 仅占 7.5%；校正年龄、性别、地域等因素后，08:00–11:59 时段可电击心律的相对风险升高（aOR 1.34，95%CI 1.09–1.64）。</w:t>
      </w:r>
      <w:r>
        <w:rPr>
          <w:rFonts w:ascii="Times New Roman" w:hAnsi="Times New Roman" w:eastAsia="宋体"/>
          <w:b w:val="0"/>
          <w:color w:val="1A1A1A"/>
          <w:sz w:val="21"/>
          <w:vertAlign w:val="superscript"/>
        </w:rPr>
        <w:t>[2]</w:t>
      </w:r>
    </w:p>
    <w:p>
      <w:pPr>
        <w:spacing w:after="120" w:before="0" w:line="348" w:lineRule="auto"/>
        <w:ind w:firstLine="420"/>
      </w:pPr>
      <w:r>
        <w:rPr>
          <w:rFonts w:ascii="Times New Roman" w:hAnsi="Times New Roman" w:eastAsia="宋体"/>
          <w:b w:val="0"/>
          <w:color w:val="1A1A1A"/>
          <w:sz w:val="21"/>
        </w:rPr>
        <w:t>日本全国注册研究 2,251 例 STEMI 中，06:00–12:00 发病占 31.2%（704 例），但发病时段与梗死面积（峰值肌酸激酶，P=0.117）及院内死亡率（P=0.788）无显著关联，提示"晨峰"是时间分布特征而非个体预后差异。</w:t>
      </w:r>
      <w:r>
        <w:rPr>
          <w:rFonts w:ascii="Times New Roman" w:hAnsi="Times New Roman" w:eastAsia="宋体"/>
          <w:b w:val="0"/>
          <w:color w:val="1A1A1A"/>
          <w:sz w:val="21"/>
          <w:vertAlign w:val="superscript"/>
        </w:rPr>
        <w:t>[3]</w:t>
      </w:r>
    </w:p>
    <w:p>
      <w:pPr>
        <w:spacing w:after="120" w:before="0" w:line="348" w:lineRule="auto"/>
        <w:ind w:firstLine="420"/>
      </w:pPr>
      <w:r>
        <w:rPr>
          <w:rFonts w:ascii="Times New Roman" w:hAnsi="Times New Roman" w:eastAsia="宋体"/>
          <w:b w:val="0"/>
          <w:color w:val="1A1A1A"/>
          <w:sz w:val="21"/>
        </w:rPr>
        <w:t>含服后症状"缓解"不能作为心源性与非心源性胸痛的鉴别依据：270 例急诊前瞻队列中，硝酸甘油缓解判断心源性胸痛的灵敏度仅 72%（64%–80%）、特异度 37%（34%–41%）、阳性似然比 1.1（0.96–1.34）。</w:t>
      </w:r>
      <w:r>
        <w:rPr>
          <w:rFonts w:ascii="Times New Roman" w:hAnsi="Times New Roman" w:eastAsia="宋体"/>
          <w:b w:val="0"/>
          <w:color w:val="1A1A1A"/>
          <w:sz w:val="21"/>
          <w:vertAlign w:val="superscript"/>
        </w:rPr>
        <w:t>[9]</w:t>
      </w:r>
    </w:p>
    <w:p>
      <w:pPr>
        <w:spacing w:after="120" w:before="0" w:line="348" w:lineRule="auto"/>
        <w:ind w:firstLine="420"/>
      </w:pPr>
      <w:r>
        <w:rPr>
          <w:rFonts w:ascii="Times New Roman" w:hAnsi="Times New Roman" w:eastAsia="宋体"/>
          <w:b w:val="0"/>
          <w:color w:val="1A1A1A"/>
          <w:sz w:val="21"/>
        </w:rPr>
        <w:t>速效救心丸现有临床研究（含 41 项 RCT、6,276 例的 meta 分析）全部以确诊冠心病/心绞痛患者为对象；试验注册库检索未发现以未确诊人群晨起症状为对象的研究；说明书索引条目功能主治为"用于气滞血瘀型冠心病，心绞痛"，未覆盖"未确诊者晨起头晕胸闷"场景。</w:t>
      </w:r>
      <w:r>
        <w:rPr>
          <w:rFonts w:ascii="Times New Roman" w:hAnsi="Times New Roman" w:eastAsia="宋体"/>
          <w:b w:val="0"/>
          <w:color w:val="1A1A1A"/>
          <w:sz w:val="21"/>
          <w:vertAlign w:val="superscript"/>
        </w:rPr>
        <w:t>[12]</w:t>
      </w:r>
      <w:r>
        <w:rPr>
          <w:rFonts w:ascii="Times New Roman" w:hAnsi="Times New Roman" w:eastAsia="宋体"/>
          <w:b w:val="0"/>
          <w:color w:val="1A1A1A"/>
          <w:sz w:val="21"/>
        </w:rPr>
        <w:t xml:space="preserve"> </w:t>
      </w:r>
      <w:r>
        <w:rPr>
          <w:rFonts w:ascii="Times New Roman" w:hAnsi="Times New Roman" w:eastAsia="宋体"/>
          <w:b w:val="0"/>
          <w:color w:val="1A1A1A"/>
          <w:sz w:val="21"/>
          <w:vertAlign w:val="superscript"/>
        </w:rPr>
        <w:t>[10]</w:t>
      </w:r>
      <w:r>
        <w:rPr>
          <w:rFonts w:ascii="Times New Roman" w:hAnsi="Times New Roman" w:eastAsia="宋体"/>
          <w:b w:val="0"/>
          <w:color w:val="1A1A1A"/>
          <w:sz w:val="21"/>
        </w:rPr>
        <w:t xml:space="preserve"> </w:t>
      </w:r>
      <w:r>
        <w:rPr>
          <w:rFonts w:ascii="Times New Roman" w:hAnsi="Times New Roman" w:eastAsia="宋体"/>
          <w:b w:val="0"/>
          <w:color w:val="1A1A1A"/>
          <w:sz w:val="21"/>
          <w:vertAlign w:val="superscript"/>
        </w:rPr>
        <w:t>[17]</w:t>
      </w:r>
    </w:p>
    <w:p>
      <w:pPr>
        <w:spacing w:after="120" w:before="0" w:line="348" w:lineRule="auto"/>
        <w:ind w:firstLine="420"/>
      </w:pPr>
      <w:r>
        <w:rPr>
          <w:rFonts w:ascii="Times New Roman" w:hAnsi="Times New Roman" w:eastAsia="宋体"/>
          <w:b w:val="0"/>
          <w:color w:val="1A1A1A"/>
          <w:sz w:val="21"/>
        </w:rPr>
        <w:t>任何表现为突发、持续不缓解的胸痛不适，伴放射、出汗、恶心、头晕或气促时，应立即呼叫急救并接受评估；任何自救用药均不得作为延迟呼叫急救的理由。</w:t>
      </w:r>
      <w:r>
        <w:rPr>
          <w:rFonts w:ascii="Times New Roman" w:hAnsi="Times New Roman" w:eastAsia="宋体"/>
          <w:b w:val="0"/>
          <w:color w:val="1A1A1A"/>
          <w:sz w:val="21"/>
          <w:vertAlign w:val="superscript"/>
        </w:rPr>
        <w:t>[16]</w:t>
      </w:r>
    </w:p>
    <w:p>
      <w:pPr>
        <w:spacing w:after="100" w:before="240" w:line="300" w:lineRule="auto"/>
      </w:pPr>
      <w:r>
        <w:rPr>
          <w:rFonts w:ascii="Times New Roman" w:hAnsi="Times New Roman" w:eastAsia="黑体"/>
          <w:b/>
          <w:color w:val="1A1A1A"/>
          <w:sz w:val="25"/>
        </w:rPr>
        <w:t>论点与判定条件（临床问题）</w:t>
      </w:r>
    </w:p>
    <w:p>
      <w:pPr>
        <w:spacing w:after="120" w:before="0" w:line="348" w:lineRule="auto"/>
        <w:ind w:firstLine="420"/>
      </w:pPr>
      <w:r>
        <w:rPr>
          <w:rFonts w:ascii="Times New Roman" w:hAnsi="Times New Roman" w:eastAsia="宋体"/>
          <w:b w:val="0"/>
          <w:color w:val="1A1A1A"/>
          <w:sz w:val="21"/>
        </w:rPr>
        <w:t>本报告检验的对象命题为：</w:t>
      </w:r>
      <w:r>
        <w:rPr>
          <w:rFonts w:ascii="Times New Roman" w:hAnsi="Times New Roman" w:eastAsia="宋体"/>
          <w:b/>
          <w:color w:val="1A1A1A"/>
          <w:sz w:val="21"/>
        </w:rPr>
        <w:t>"心血管事件存在晨峰现象，故未确诊人群应床头常备速效救心丸"</w:t>
      </w:r>
      <w:r>
        <w:rPr>
          <w:rFonts w:ascii="Times New Roman" w:hAnsi="Times New Roman" w:eastAsia="宋体"/>
          <w:b w:val="0"/>
          <w:color w:val="1A1A1A"/>
          <w:sz w:val="21"/>
        </w:rPr>
        <w:t>。该命题由两个可独立评定的层次组成，第一层成立不自动蕴含第二层。</w:t>
      </w:r>
    </w:p>
    <w:p>
      <w:pPr>
        <w:spacing w:after="120" w:before="0" w:line="348" w:lineRule="auto"/>
      </w:pPr>
      <w:r>
        <w:rPr>
          <w:rFonts w:ascii="Times New Roman" w:hAnsi="Times New Roman" w:eastAsia="宋体"/>
          <w:b/>
          <w:color w:val="1A1A1A"/>
          <w:sz w:val="21"/>
        </w:rPr>
        <w:t>判定条件一（人群层面晨峰现象是否成立）</w:t>
      </w:r>
      <w:r>
        <w:rPr>
          <w:rFonts w:ascii="Times New Roman" w:hAnsi="Times New Roman" w:eastAsia="宋体"/>
          <w:b w:val="0"/>
          <w:color w:val="1A1A1A"/>
          <w:sz w:val="21"/>
        </w:rPr>
        <w:t>〔推导〕：需同时满足——（i）至少 2 项相互独立的大样本队列或注册登记研究（或其 meta 分析）报告清晨时段的事件发生率比及可信区间；（ii）在校正觉醒时点与晨间活动量后，各研究方向一致。若仅有单一研究，或未校正上述混杂因素，结论须降级为"观察性证据提示事件的时间分布不均，混杂未能排除"。</w:t>
      </w:r>
    </w:p>
    <w:p>
      <w:pPr>
        <w:spacing w:after="120" w:before="0" w:line="348" w:lineRule="auto"/>
      </w:pPr>
      <w:r>
        <w:rPr>
          <w:rFonts w:ascii="Times New Roman" w:hAnsi="Times New Roman" w:eastAsia="宋体"/>
          <w:b/>
          <w:color w:val="1A1A1A"/>
          <w:sz w:val="21"/>
        </w:rPr>
        <w:t>判定条件二（对未确诊者"床头常备"建议是否恰当）</w:t>
      </w:r>
      <w:r>
        <w:rPr>
          <w:rFonts w:ascii="Times New Roman" w:hAnsi="Times New Roman" w:eastAsia="宋体"/>
          <w:b w:val="0"/>
          <w:color w:val="1A1A1A"/>
          <w:sz w:val="21"/>
        </w:rPr>
        <w:t>：需同时满足——(a) 该场景落在速效救心丸说明书适应症边界内，或存在以未确诊人群为对象的前瞻性研究；(b) 存在直接比较"常备与不常备"的临床结局证据；(c) 无证据显示常备行为延长就医延迟。任一条不满足，结论必须写为"现有证据不支持该建议"，并注明缺失的是哪一条。</w:t>
      </w:r>
    </w:p>
    <w:p>
      <w:pPr>
        <w:spacing w:after="120" w:before="0" w:line="348" w:lineRule="auto"/>
        <w:ind w:firstLine="420"/>
      </w:pPr>
      <w:r>
        <w:rPr>
          <w:rFonts w:ascii="Times New Roman" w:hAnsi="Times New Roman" w:eastAsia="宋体"/>
          <w:b w:val="0"/>
          <w:color w:val="1A1A1A"/>
          <w:sz w:val="21"/>
        </w:rPr>
        <w:t>由人群层面时间分布推断个体应当备药，属生态学谬误（ecological fallacy），须在讨论中显式检验这一推理边界；不得以第 1、2 问的流行病学与机制证据代替对第 4、5 问的回答。</w:t>
      </w:r>
    </w:p>
    <w:p>
      <w:pPr>
        <w:spacing w:after="100" w:before="240" w:line="300" w:lineRule="auto"/>
      </w:pPr>
      <w:r>
        <w:rPr>
          <w:rFonts w:ascii="Times New Roman" w:hAnsi="Times New Roman" w:eastAsia="黑体"/>
          <w:b/>
          <w:color w:val="1A1A1A"/>
          <w:sz w:val="25"/>
        </w:rPr>
        <w:t>证据基础与检索方法</w:t>
      </w:r>
    </w:p>
    <w:p>
      <w:pPr>
        <w:spacing w:after="100" w:before="240" w:line="300" w:lineRule="auto"/>
      </w:pPr>
      <w:r>
        <w:rPr>
          <w:rFonts w:ascii="Times New Roman" w:hAnsi="Times New Roman" w:eastAsia="黑体"/>
          <w:b/>
          <w:color w:val="1A1A1A"/>
          <w:sz w:val="23"/>
        </w:rPr>
        <w:t>数据源与检索</w:t>
      </w:r>
    </w:p>
    <w:p>
      <w:pPr>
        <w:spacing w:after="120" w:before="0" w:line="348" w:lineRule="auto"/>
        <w:ind w:firstLine="420"/>
      </w:pPr>
      <w:r>
        <w:rPr>
          <w:rFonts w:ascii="Times New Roman" w:hAnsi="Times New Roman" w:eastAsia="宋体"/>
          <w:b w:val="0"/>
          <w:color w:val="1A1A1A"/>
          <w:sz w:val="21"/>
        </w:rPr>
        <w:t>检索于 2026 年 8 月 11 日执行，覆盖 PubMed（经 EviMed 文献适配器）、欧洲 PubMed Central（Europe PMC）、EviMed 中文内部文献索引（含知网/万方/维普来源）、EviMed 指南索引、EviMed NMPA 说明书索引、临床试验注册库（ClinicalTrials.gov）与药学参考索引。核心检索概念包括：circadian variation / morning peak 与急性心肌梗死、心源性猝死、卒中起病时间的组合；awakening、morning activity 与事件触发；morning blood pressure surge；血小板聚集性、纤溶活性昼夜节律；Suxiao Jiuxin；sublingual nitroglycerin 与胸痛鉴别；急诊胸痛病因分布；patient delay 与症状-首次医疗接触时间；晨起头晕与体位性低血压。全部检索式与命中数见 `clinical-evidence-search.json`（27 项成功检索，题录命中 278 条，去重后 268 条）。</w:t>
      </w:r>
    </w:p>
    <w:p>
      <w:pPr>
        <w:spacing w:after="100" w:before="240" w:line="300" w:lineRule="auto"/>
      </w:pPr>
      <w:r>
        <w:rPr>
          <w:rFonts w:ascii="Times New Roman" w:hAnsi="Times New Roman" w:eastAsia="黑体"/>
          <w:b/>
          <w:color w:val="1A1A1A"/>
          <w:sz w:val="23"/>
        </w:rPr>
        <w:t>筛选与纳入</w:t>
      </w:r>
    </w:p>
    <w:p>
      <w:pPr>
        <w:spacing w:after="120" w:before="0" w:line="348" w:lineRule="auto"/>
        <w:ind w:firstLine="420"/>
      </w:pPr>
      <w:r>
        <w:rPr>
          <w:rFonts w:ascii="Times New Roman" w:hAnsi="Times New Roman" w:eastAsia="宋体"/>
          <w:b w:val="0"/>
          <w:color w:val="1A1A1A"/>
          <w:sz w:val="21"/>
        </w:rPr>
        <w:t>纳入标准：与上述概念直接相关的队列/注册研究、系统评价/meta 分析、随机对照试验、指南与官方患者指引；排除重复记录、会议摘要集、与问题无关的记录。对候选记录先行去重，再通过开放获取全文工具保存全文、通过官方页面抓取工具保存官方页面。最终纳入 19 项来源（16 个可逐字核验的保存工件——全文级 15 项、官方页面级 1 项——外加 1 条 NMPA 说明书索引候选条目与 2 条临床试验注册库记录）。</w:t>
      </w:r>
    </w:p>
    <w:p>
      <w:pPr>
        <w:spacing w:after="120" w:before="0" w:line="348" w:lineRule="auto"/>
        <w:ind w:firstLine="420"/>
      </w:pPr>
      <w:r>
        <w:rPr>
          <w:rFonts w:ascii="Times New Roman" w:hAnsi="Times New Roman" w:eastAsia="宋体"/>
          <w:b w:val="0"/>
          <w:color w:val="1A1A1A"/>
          <w:sz w:val="21"/>
        </w:rPr>
        <w:t>检索命中的若干经典研究（Muller 1985《N Engl J Med》</w:t>
      </w:r>
      <w:r>
        <w:rPr>
          <w:rFonts w:ascii="Times New Roman" w:hAnsi="Times New Roman" w:eastAsia="宋体"/>
          <w:b w:val="0"/>
          <w:color w:val="1A1A1A"/>
          <w:sz w:val="21"/>
          <w:vertAlign w:val="superscript"/>
        </w:rPr>
        <w:t>[1]</w:t>
      </w:r>
      <w:r>
        <w:rPr>
          <w:rFonts w:ascii="Times New Roman" w:hAnsi="Times New Roman" w:eastAsia="宋体"/>
          <w:b w:val="0"/>
          <w:color w:val="1A1A1A"/>
          <w:sz w:val="21"/>
        </w:rPr>
        <w:t xml:space="preserve"> 参考文献、Willich 1987 弗雷明汉研究、ISAM 1989《Circulation》PMID:2571430、Cohen 1997 meta 分析、Elliott 1998 卒中 meta 分析、Henrikson 2003《Ann Intern Med》、Cochrane CD004473）其全文均非开放获取，无法在本报告可核验层级引用其具体数值；本报告涉及的晨峰效应量一律改由已保存工件的系统评价与大型注册研究原文承载（如 Elliott 1998 的数值经 2026 年卒中系统评价逐字转述）。此可及性限制在"证据局限"节讨论。</w:t>
      </w:r>
    </w:p>
    <w:p>
      <w:pPr>
        <w:spacing w:after="100" w:before="240" w:line="300" w:lineRule="auto"/>
      </w:pPr>
      <w:r>
        <w:rPr>
          <w:rFonts w:ascii="Times New Roman" w:hAnsi="Times New Roman" w:eastAsia="黑体"/>
          <w:b/>
          <w:color w:val="1A1A1A"/>
          <w:sz w:val="23"/>
        </w:rPr>
        <w:t>评价维度</w:t>
      </w:r>
    </w:p>
    <w:p>
      <w:pPr>
        <w:spacing w:after="120" w:before="0" w:line="348" w:lineRule="auto"/>
        <w:ind w:firstLine="420"/>
      </w:pPr>
      <w:r>
        <w:rPr>
          <w:rFonts w:ascii="Times New Roman" w:hAnsi="Times New Roman" w:eastAsia="宋体"/>
          <w:b w:val="0"/>
          <w:color w:val="1A1A1A"/>
          <w:sz w:val="21"/>
        </w:rPr>
        <w:t>对每项纳入来源记录：研究设计与人群、干预/对照与结局、可及层级（full_text / official_page / structured_record）、偏倚风险或证据形式局限、对问题的直接性、样本量与精确性、时效与司法辖区适用性、来源间支持/限定/冲突关系。</w:t>
      </w:r>
    </w:p>
    <w:p>
      <w:pPr>
        <w:spacing w:after="100" w:before="240" w:line="300" w:lineRule="auto"/>
      </w:pPr>
      <w:r>
        <w:rPr>
          <w:rFonts w:ascii="Times New Roman" w:hAnsi="Times New Roman" w:eastAsia="黑体"/>
          <w:b/>
          <w:color w:val="1A1A1A"/>
          <w:sz w:val="25"/>
        </w:rPr>
        <w:t>逐角度论证与结果</w:t>
      </w:r>
    </w:p>
    <w:p>
      <w:pPr>
        <w:spacing w:after="100" w:before="240" w:line="300" w:lineRule="auto"/>
      </w:pPr>
      <w:r>
        <w:rPr>
          <w:rFonts w:ascii="Times New Roman" w:hAnsi="Times New Roman" w:eastAsia="黑体"/>
          <w:b/>
          <w:color w:val="1A1A1A"/>
          <w:sz w:val="23"/>
        </w:rPr>
        <w:t>角度一：人群层面的直接证据——晨峰时间分布</w:t>
      </w:r>
    </w:p>
    <w:p>
      <w:pPr>
        <w:spacing w:after="120" w:before="0" w:line="348" w:lineRule="auto"/>
      </w:pPr>
      <w:r>
        <w:rPr>
          <w:rFonts w:ascii="Times New Roman" w:hAnsi="Times New Roman" w:eastAsia="宋体"/>
          <w:b/>
          <w:color w:val="1A1A1A"/>
          <w:sz w:val="21"/>
        </w:rPr>
        <w:t>三项独立大样本研究提供了方向一致的可重复证据。</w:t>
      </w:r>
      <w:r>
        <w:rPr>
          <w:rFonts w:ascii="Times New Roman" w:hAnsi="Times New Roman" w:eastAsia="宋体"/>
          <w:b w:val="0"/>
          <w:color w:val="1A1A1A"/>
          <w:sz w:val="21"/>
        </w:rPr>
        <w:t xml:space="preserve"> 中国延边单中心 9 年连续队列（3,158 例有明确发病时间的 AMI）报告 06:00–11:59 时段发病占 30.6%，显著高于其余三个 6 小时时段（P&lt;0.01），峰值位于 7–9 时。</w:t>
      </w:r>
      <w:r>
        <w:rPr>
          <w:rFonts w:ascii="Times New Roman" w:hAnsi="Times New Roman" w:eastAsia="宋体"/>
          <w:b w:val="0"/>
          <w:color w:val="1A1A1A"/>
          <w:sz w:val="21"/>
          <w:vertAlign w:val="superscript"/>
        </w:rPr>
        <w:t>[1]</w:t>
      </w:r>
      <w:r>
        <w:rPr>
          <w:rFonts w:ascii="Times New Roman" w:hAnsi="Times New Roman" w:eastAsia="宋体"/>
          <w:b w:val="0"/>
          <w:color w:val="1A1A1A"/>
          <w:sz w:val="21"/>
        </w:rPr>
        <w:t xml:space="preserve"> 中国社区远程心电系统（覆盖 12 省 1,600 家机构的 10,210 例心脏骤停）报告 08:00–11:59 占 30.1%（深夜 00:00–03:59 仅 7.5%），且在校正年龄、性别、周末效应、地域与经济水平后，08:00–11:59 时段可电击心律的相对风险高于参照时段（aOR 1.34，95%CI 1.09–1.64）。</w:t>
      </w:r>
      <w:r>
        <w:rPr>
          <w:rFonts w:ascii="Times New Roman" w:hAnsi="Times New Roman" w:eastAsia="宋体"/>
          <w:b w:val="0"/>
          <w:color w:val="1A1A1A"/>
          <w:sz w:val="21"/>
          <w:vertAlign w:val="superscript"/>
        </w:rPr>
        <w:t>[2]</w:t>
      </w:r>
      <w:r>
        <w:rPr>
          <w:rFonts w:ascii="Times New Roman" w:hAnsi="Times New Roman" w:eastAsia="宋体"/>
          <w:b w:val="0"/>
          <w:color w:val="1A1A1A"/>
          <w:sz w:val="21"/>
        </w:rPr>
        <w:t xml:space="preserve"> 日本全国前瞻注册 JAMIR 的 2,251 例 STEMI 中，06:00–12:00 发病占 31.2%，显著高于其他时段。</w:t>
      </w:r>
      <w:r>
        <w:rPr>
          <w:rFonts w:ascii="Times New Roman" w:hAnsi="Times New Roman" w:eastAsia="宋体"/>
          <w:b w:val="0"/>
          <w:color w:val="1A1A1A"/>
          <w:sz w:val="21"/>
          <w:vertAlign w:val="superscript"/>
        </w:rPr>
        <w:t>[3]</w:t>
      </w:r>
    </w:p>
    <w:p>
      <w:pPr>
        <w:spacing w:after="120" w:before="0" w:line="348" w:lineRule="auto"/>
        <w:ind w:firstLine="420"/>
      </w:pPr>
      <w:r>
        <w:rPr>
          <w:rFonts w:ascii="Times New Roman" w:hAnsi="Times New Roman" w:eastAsia="宋体"/>
          <w:b w:val="0"/>
          <w:color w:val="1A1A1A"/>
          <w:sz w:val="21"/>
        </w:rPr>
        <w:t>卒中方面，纳入 58 项研究的 2026 年系统评价总结：缺血性卒中最高发时段集中于清晨 06:00–12:00（部分研究呈清晨-傍晚双峰）；转述 11,816 例的 meta 分析结果：清晨时段缺血性卒中风险较其余 18 小时升高 89%、出血性升高 52%、短暂性脑缺血发作升高 80%。</w:t>
      </w:r>
      <w:r>
        <w:rPr>
          <w:rFonts w:ascii="Times New Roman" w:hAnsi="Times New Roman" w:eastAsia="宋体"/>
          <w:b w:val="0"/>
          <w:color w:val="1A1A1A"/>
          <w:sz w:val="21"/>
          <w:vertAlign w:val="superscript"/>
        </w:rPr>
        <w:t>[4]</w:t>
      </w:r>
      <w:r>
        <w:rPr>
          <w:rFonts w:ascii="Times New Roman" w:hAnsi="Times New Roman" w:eastAsia="宋体"/>
          <w:b w:val="0"/>
          <w:color w:val="1A1A1A"/>
          <w:sz w:val="21"/>
        </w:rPr>
        <w:t xml:space="preserve"> 中国深圳 36 家医院 14,048 例急性缺血性卒中队列进一步显示清晨（05:00–10:59）起病占 33.2%，且清晨起病者入院 NIHSS 更低（aOR 0.88，95%CI 0.82–0.94），即"事件多发于清晨"与"清晨事件更轻"并存。</w:t>
      </w:r>
      <w:r>
        <w:rPr>
          <w:rFonts w:ascii="Times New Roman" w:hAnsi="Times New Roman" w:eastAsia="宋体"/>
          <w:b w:val="0"/>
          <w:color w:val="1A1A1A"/>
          <w:sz w:val="21"/>
          <w:vertAlign w:val="superscript"/>
        </w:rPr>
        <w:t>[7]</w:t>
      </w:r>
    </w:p>
    <w:p>
      <w:pPr>
        <w:spacing w:after="120" w:before="0" w:line="348" w:lineRule="auto"/>
      </w:pPr>
      <w:r>
        <w:rPr>
          <w:rFonts w:ascii="Times New Roman" w:hAnsi="Times New Roman" w:eastAsia="宋体"/>
          <w:b/>
          <w:color w:val="1A1A1A"/>
          <w:sz w:val="21"/>
        </w:rPr>
        <w:t>该角度确立了什么、不能确立什么</w:t>
      </w:r>
      <w:r>
        <w:rPr>
          <w:rFonts w:ascii="Times New Roman" w:hAnsi="Times New Roman" w:eastAsia="宋体"/>
          <w:b w:val="0"/>
          <w:color w:val="1A1A1A"/>
          <w:sz w:val="21"/>
        </w:rPr>
        <w:t>：多项独立来源方向一致地确立"清晨是 MI、心源性猝死与缺血性卒中事件的时间聚集窗口"。但它不能确立判定条件一的后半段——在可逐字核验的保存工件中，没有任何研究以"发生率比＋可信区间"的形式报告经</w:t>
      </w:r>
      <w:r>
        <w:rPr>
          <w:rFonts w:ascii="Times New Roman" w:hAnsi="Times New Roman" w:eastAsia="宋体"/>
          <w:b/>
          <w:color w:val="1A1A1A"/>
          <w:sz w:val="21"/>
        </w:rPr>
        <w:t>觉醒时点与晨间活动量</w:t>
      </w:r>
      <w:r>
        <w:rPr>
          <w:rFonts w:ascii="Times New Roman" w:hAnsi="Times New Roman" w:eastAsia="宋体"/>
          <w:b w:val="0"/>
          <w:color w:val="1A1A1A"/>
          <w:sz w:val="21"/>
        </w:rPr>
        <w:t>联合校正后的事件估计：心脏骤停研究校正的是年龄/性别/地域等，未含觉醒时点；AMI 研究仅报告时段分布与组间 P 值；系统评价转述的 meta 数值未给出校正说明。检索命中的 ISAM 研究（报告 MI 在觉醒后最初数小时内增多、既往 β 受体阻滞剂使用者无此晨峰）正是这类校正分析的经典载体，但其全文不可获取，其具体估计无法在本报告核验。因此按判定条件一，结论降级为"观察性证据提示事件的时间分布不均，混杂未能排除"。</w:t>
      </w:r>
      <w:r>
        <w:rPr>
          <w:rFonts w:ascii="Times New Roman" w:hAnsi="Times New Roman" w:eastAsia="宋体"/>
          <w:b w:val="0"/>
          <w:color w:val="1A1A1A"/>
          <w:sz w:val="21"/>
          <w:vertAlign w:val="superscript"/>
        </w:rPr>
        <w:t>[1]</w:t>
      </w:r>
      <w:r>
        <w:rPr>
          <w:rFonts w:ascii="Times New Roman" w:hAnsi="Times New Roman" w:eastAsia="宋体"/>
          <w:b w:val="0"/>
          <w:color w:val="1A1A1A"/>
          <w:sz w:val="21"/>
        </w:rPr>
        <w:t xml:space="preserve"> </w:t>
      </w:r>
      <w:r>
        <w:rPr>
          <w:rFonts w:ascii="Times New Roman" w:hAnsi="Times New Roman" w:eastAsia="宋体"/>
          <w:b w:val="0"/>
          <w:color w:val="1A1A1A"/>
          <w:sz w:val="21"/>
          <w:vertAlign w:val="superscript"/>
        </w:rPr>
        <w:t>[2]</w:t>
      </w:r>
      <w:r>
        <w:rPr>
          <w:rFonts w:ascii="Times New Roman" w:hAnsi="Times New Roman" w:eastAsia="宋体"/>
          <w:b w:val="0"/>
          <w:color w:val="1A1A1A"/>
          <w:sz w:val="21"/>
        </w:rPr>
        <w:t xml:space="preserve"> </w:t>
      </w:r>
      <w:r>
        <w:rPr>
          <w:rFonts w:ascii="Times New Roman" w:hAnsi="Times New Roman" w:eastAsia="宋体"/>
          <w:b w:val="0"/>
          <w:color w:val="1A1A1A"/>
          <w:sz w:val="21"/>
          <w:vertAlign w:val="superscript"/>
        </w:rPr>
        <w:t>[3]</w:t>
      </w:r>
    </w:p>
    <w:p>
      <w:pPr>
        <w:spacing w:after="100" w:before="240" w:line="300" w:lineRule="auto"/>
      </w:pPr>
      <w:r>
        <w:rPr>
          <w:rFonts w:ascii="Times New Roman" w:hAnsi="Times New Roman" w:eastAsia="黑体"/>
          <w:b/>
          <w:color w:val="1A1A1A"/>
          <w:sz w:val="23"/>
        </w:rPr>
        <w:t>角度二：机制层面的直接检验</w:t>
      </w:r>
    </w:p>
    <w:p>
      <w:pPr>
        <w:spacing w:after="120" w:before="0" w:line="348" w:lineRule="auto"/>
      </w:pPr>
      <w:r>
        <w:rPr>
          <w:rFonts w:ascii="Times New Roman" w:hAnsi="Times New Roman" w:eastAsia="宋体"/>
          <w:b/>
          <w:color w:val="1A1A1A"/>
          <w:sz w:val="21"/>
        </w:rPr>
        <w:t>交感激活与神经内分泌变化</w:t>
      </w:r>
      <w:r>
        <w:rPr>
          <w:rFonts w:ascii="Times New Roman" w:hAnsi="Times New Roman" w:eastAsia="宋体"/>
          <w:b w:val="0"/>
          <w:color w:val="1A1A1A"/>
          <w:sz w:val="21"/>
        </w:rPr>
        <w:t>：综述证据描述觉醒时肾上腺素分泌增加（提示交感-肾上腺活性增强），随后的直立位激活去甲肾上腺素能分支；皮质醇、ACTH 等经下丘脑-垂体-肾上腺轴参与觉醒相关血压升高，属人体生理学测量与机制推断之间的证据。</w:t>
      </w:r>
      <w:r>
        <w:rPr>
          <w:rFonts w:ascii="Times New Roman" w:hAnsi="Times New Roman" w:eastAsia="宋体"/>
          <w:b w:val="0"/>
          <w:color w:val="1A1A1A"/>
          <w:sz w:val="21"/>
          <w:vertAlign w:val="superscript"/>
        </w:rPr>
        <w:t>[5]</w:t>
      </w:r>
    </w:p>
    <w:p>
      <w:pPr>
        <w:spacing w:after="120" w:before="0" w:line="348" w:lineRule="auto"/>
      </w:pPr>
      <w:r>
        <w:rPr>
          <w:rFonts w:ascii="Times New Roman" w:hAnsi="Times New Roman" w:eastAsia="宋体"/>
          <w:b/>
          <w:color w:val="1A1A1A"/>
          <w:sz w:val="21"/>
        </w:rPr>
        <w:t>血压晨峰</w:t>
      </w:r>
      <w:r>
        <w:rPr>
          <w:rFonts w:ascii="Times New Roman" w:hAnsi="Times New Roman" w:eastAsia="宋体"/>
          <w:b w:val="0"/>
          <w:color w:val="1A1A1A"/>
          <w:sz w:val="21"/>
        </w:rPr>
        <w:t>：晨间 2 小时平均收缩压与夜间最低血压之差（sleep-trough MBPS）是标准化定义；其大小与觉醒后体力活动程度相关。</w:t>
      </w:r>
      <w:r>
        <w:rPr>
          <w:rFonts w:ascii="Times New Roman" w:hAnsi="Times New Roman" w:eastAsia="宋体"/>
          <w:b w:val="0"/>
          <w:color w:val="1A1A1A"/>
          <w:sz w:val="21"/>
          <w:vertAlign w:val="superscript"/>
        </w:rPr>
        <w:t>[5]</w:t>
      </w:r>
      <w:r>
        <w:rPr>
          <w:rFonts w:ascii="Times New Roman" w:hAnsi="Times New Roman" w:eastAsia="宋体"/>
          <w:b w:val="0"/>
          <w:color w:val="1A1A1A"/>
          <w:sz w:val="21"/>
        </w:rPr>
        <w:t xml:space="preserve"> 结局关联证据存在异质性：前瞻性研究报道 MBPS 每升高 10 mmHg 的卒中风险比 1.22（95%CI 1.05–1.40），但系统评价未能确认升高的 MBPS（分类变量）与心血管病结局的显著关联，仅在连续变量分析中提示每 10 mmHg 卒中风险升高 11%；综述同时指出 MBPS 可能是整体血管健康受损的表型而非因果因子。</w:t>
      </w:r>
      <w:r>
        <w:rPr>
          <w:rFonts w:ascii="Times New Roman" w:hAnsi="Times New Roman" w:eastAsia="宋体"/>
          <w:b w:val="0"/>
          <w:color w:val="1A1A1A"/>
          <w:sz w:val="21"/>
          <w:vertAlign w:val="superscript"/>
        </w:rPr>
        <w:t>[5]</w:t>
      </w:r>
    </w:p>
    <w:p>
      <w:pPr>
        <w:spacing w:after="120" w:before="0" w:line="348" w:lineRule="auto"/>
      </w:pPr>
      <w:r>
        <w:rPr>
          <w:rFonts w:ascii="Times New Roman" w:hAnsi="Times New Roman" w:eastAsia="宋体"/>
          <w:b/>
          <w:color w:val="1A1A1A"/>
          <w:sz w:val="21"/>
        </w:rPr>
        <w:t>血小板与纤溶</w:t>
      </w:r>
      <w:r>
        <w:rPr>
          <w:rFonts w:ascii="Times New Roman" w:hAnsi="Times New Roman" w:eastAsia="宋体"/>
          <w:b w:val="0"/>
          <w:color w:val="1A1A1A"/>
          <w:sz w:val="21"/>
        </w:rPr>
        <w:t>：人体强制去同步（forced desynchrony）实验显示血小板激活的晨峰独立于行为因素，且促血栓的纤溶酶原激活物抑制物-1（PAI-1）晨峰独立于睡眠-觉醒周期——这是对人体内源性生物钟直接检验的证据；纳入 26 项研究的昼夜止血系统评价中，91.6%（11/12）的止血功能研究报告血小板激活与凝血标志物存在昼夜节律。</w:t>
      </w:r>
      <w:r>
        <w:rPr>
          <w:rFonts w:ascii="Times New Roman" w:hAnsi="Times New Roman" w:eastAsia="宋体"/>
          <w:b w:val="0"/>
          <w:color w:val="1A1A1A"/>
          <w:sz w:val="21"/>
          <w:vertAlign w:val="superscript"/>
        </w:rPr>
        <w:t>[6]</w:t>
      </w:r>
      <w:r>
        <w:rPr>
          <w:rFonts w:ascii="Times New Roman" w:hAnsi="Times New Roman" w:eastAsia="宋体"/>
          <w:b w:val="0"/>
          <w:color w:val="1A1A1A"/>
          <w:sz w:val="21"/>
        </w:rPr>
        <w:t xml:space="preserve"> 该综述同时列明知识缺口：人类研究多属观察性，常忽略睡眠-觉醒时相、饮食与体力活动等行为混杂。</w:t>
      </w:r>
      <w:r>
        <w:rPr>
          <w:rFonts w:ascii="Times New Roman" w:hAnsi="Times New Roman" w:eastAsia="宋体"/>
          <w:b w:val="0"/>
          <w:color w:val="1A1A1A"/>
          <w:sz w:val="21"/>
          <w:vertAlign w:val="superscript"/>
        </w:rPr>
        <w:t>[6]</w:t>
      </w:r>
    </w:p>
    <w:p>
      <w:pPr>
        <w:spacing w:after="120" w:before="0" w:line="348" w:lineRule="auto"/>
      </w:pPr>
      <w:r>
        <w:rPr>
          <w:rFonts w:ascii="Times New Roman" w:hAnsi="Times New Roman" w:eastAsia="宋体"/>
          <w:b/>
          <w:color w:val="1A1A1A"/>
          <w:sz w:val="21"/>
        </w:rPr>
        <w:t>该角度确立了什么、不能确立什么</w:t>
      </w:r>
      <w:r>
        <w:rPr>
          <w:rFonts w:ascii="Times New Roman" w:hAnsi="Times New Roman" w:eastAsia="宋体"/>
          <w:b w:val="0"/>
          <w:color w:val="1A1A1A"/>
          <w:sz w:val="21"/>
        </w:rPr>
        <w:t>：晨峰相关的生理学链条（交感激活、血压晨升、血小板聚集性晨升、PAI-1 晨升致纤溶低下）中，血小板与 PAI-1 已在人体研究中被直接检验，皮质醇/儿茶酚胺与血压晨峰的证据处于"人体测量支持＋机制推断"之间；但没有机制证据涉及"未确诊个体晨起服药"这一干预，机制证据不能承载个体用药建议。</w:t>
      </w:r>
    </w:p>
    <w:p>
      <w:pPr>
        <w:spacing w:after="100" w:before="240" w:line="300" w:lineRule="auto"/>
      </w:pPr>
      <w:r>
        <w:rPr>
          <w:rFonts w:ascii="Times New Roman" w:hAnsi="Times New Roman" w:eastAsia="黑体"/>
          <w:b/>
          <w:color w:val="1A1A1A"/>
          <w:sz w:val="23"/>
        </w:rPr>
        <w:t>角度三：未确诊人群"晨起头晕、胸闷"的病因分布</w:t>
      </w:r>
    </w:p>
    <w:p>
      <w:pPr>
        <w:spacing w:after="120" w:before="0" w:line="348" w:lineRule="auto"/>
      </w:pPr>
      <w:r>
        <w:rPr>
          <w:rFonts w:ascii="Times New Roman" w:hAnsi="Times New Roman" w:eastAsia="宋体"/>
          <w:b/>
          <w:color w:val="1A1A1A"/>
          <w:sz w:val="21"/>
        </w:rPr>
        <w:t>直接证据缺失</w:t>
      </w:r>
      <w:r>
        <w:rPr>
          <w:rFonts w:ascii="Times New Roman" w:hAnsi="Times New Roman" w:eastAsia="宋体"/>
          <w:b w:val="0"/>
          <w:color w:val="1A1A1A"/>
          <w:sz w:val="21"/>
        </w:rPr>
        <w:t xml:space="preserve">：针对"晨起头晕＋胸闷"在未确诊人群中的病因分布，未检索到直接研究（检索式见检索日志，含 dizziness/vertigo 病因分布、orthostatic hypotension、晨峰与 OSA 等概念）；可获得的相邻人群证据为急诊胸痛与头晕病因研究 </w:t>
      </w:r>
      <w:r>
        <w:rPr>
          <w:rFonts w:ascii="Times New Roman" w:hAnsi="Times New Roman" w:eastAsia="宋体"/>
          <w:b w:val="0"/>
          <w:color w:val="1A1A1A"/>
          <w:sz w:val="21"/>
          <w:vertAlign w:val="superscript"/>
        </w:rPr>
        <w:t>[13]</w:t>
      </w:r>
      <w:r>
        <w:rPr>
          <w:rFonts w:ascii="Times New Roman" w:hAnsi="Times New Roman" w:eastAsia="宋体"/>
          <w:b w:val="0"/>
          <w:color w:val="1A1A1A"/>
          <w:sz w:val="21"/>
        </w:rPr>
        <w:t xml:space="preserve"> </w:t>
      </w:r>
      <w:r>
        <w:rPr>
          <w:rFonts w:ascii="Times New Roman" w:hAnsi="Times New Roman" w:eastAsia="宋体"/>
          <w:b w:val="0"/>
          <w:color w:val="1A1A1A"/>
          <w:sz w:val="21"/>
          <w:vertAlign w:val="superscript"/>
        </w:rPr>
        <w:t>[14]</w:t>
      </w:r>
      <w:r>
        <w:rPr>
          <w:rFonts w:ascii="Times New Roman" w:hAnsi="Times New Roman" w:eastAsia="宋体"/>
          <w:b w:val="0"/>
          <w:color w:val="1A1A1A"/>
          <w:sz w:val="21"/>
        </w:rPr>
        <w:t>。</w:t>
      </w:r>
    </w:p>
    <w:p>
      <w:pPr>
        <w:spacing w:after="120" w:before="0" w:line="348" w:lineRule="auto"/>
      </w:pPr>
      <w:r>
        <w:rPr>
          <w:rFonts w:ascii="Times New Roman" w:hAnsi="Times New Roman" w:eastAsia="宋体"/>
          <w:b/>
          <w:color w:val="1A1A1A"/>
          <w:sz w:val="21"/>
        </w:rPr>
        <w:t>相邻人群证据（标注间接性）</w:t>
      </w:r>
      <w:r>
        <w:rPr>
          <w:rFonts w:ascii="Times New Roman" w:hAnsi="Times New Roman" w:eastAsia="宋体"/>
          <w:b w:val="0"/>
          <w:color w:val="1A1A1A"/>
          <w:sz w:val="21"/>
        </w:rPr>
        <w:t>：急诊胸痛人群中，60%–90% 可排除急性心肌缺血；瑞士单中心 1,341 例急诊非心源性胸痛中，肌骨源性占 44.9%、非特异性 44.7%、精神科 5.6%、消化道 2.6%、肺源性 2.2%。</w:t>
      </w:r>
      <w:r>
        <w:rPr>
          <w:rFonts w:ascii="Times New Roman" w:hAnsi="Times New Roman" w:eastAsia="宋体"/>
          <w:b w:val="0"/>
          <w:color w:val="1A1A1A"/>
          <w:sz w:val="21"/>
          <w:vertAlign w:val="superscript"/>
        </w:rPr>
        <w:t>[13]</w:t>
      </w:r>
      <w:r>
        <w:rPr>
          <w:rFonts w:ascii="Times New Roman" w:hAnsi="Times New Roman" w:eastAsia="宋体"/>
          <w:b w:val="0"/>
          <w:color w:val="1A1A1A"/>
          <w:sz w:val="21"/>
        </w:rPr>
        <w:t xml:space="preserve"> 印度三级医院 714 例急性胸痛中，心脏性 53.7%、非心脏性 46.3%，且头晕在非心脏性组更常见（17% vs 8%，p=0.023）。</w:t>
      </w:r>
      <w:r>
        <w:rPr>
          <w:rFonts w:ascii="Times New Roman" w:hAnsi="Times New Roman" w:eastAsia="宋体"/>
          <w:b w:val="0"/>
          <w:color w:val="1A1A1A"/>
          <w:sz w:val="21"/>
          <w:vertAlign w:val="superscript"/>
        </w:rPr>
        <w:t>[14]</w:t>
      </w:r>
      <w:r>
        <w:rPr>
          <w:rFonts w:ascii="Times New Roman" w:hAnsi="Times New Roman" w:eastAsia="宋体"/>
          <w:b w:val="0"/>
          <w:color w:val="1A1A1A"/>
          <w:sz w:val="21"/>
        </w:rPr>
        <w:t xml:space="preserve"> 英国国民健康服务体系（NHS）官方指引将焦虑/惊恐发作列为伴头晕的胸痛常见原因之一，并明确告诫"不要自我诊断"。</w:t>
      </w:r>
      <w:r>
        <w:rPr>
          <w:rFonts w:ascii="Times New Roman" w:hAnsi="Times New Roman" w:eastAsia="宋体"/>
          <w:b w:val="0"/>
          <w:color w:val="1A1A1A"/>
          <w:sz w:val="21"/>
          <w:vertAlign w:val="superscript"/>
        </w:rPr>
        <w:t>[16]</w:t>
      </w:r>
    </w:p>
    <w:p>
      <w:pPr>
        <w:spacing w:after="120" w:before="0" w:line="348" w:lineRule="auto"/>
      </w:pPr>
      <w:r>
        <w:rPr>
          <w:rFonts w:ascii="Times New Roman" w:hAnsi="Times New Roman" w:eastAsia="宋体"/>
          <w:b/>
          <w:color w:val="1A1A1A"/>
          <w:sz w:val="21"/>
        </w:rPr>
        <w:t>该角度确立了什么、不能确立什么</w:t>
      </w:r>
      <w:r>
        <w:rPr>
          <w:rFonts w:ascii="Times New Roman" w:hAnsi="Times New Roman" w:eastAsia="宋体"/>
          <w:b w:val="0"/>
          <w:color w:val="1A1A1A"/>
          <w:sz w:val="21"/>
        </w:rPr>
        <w:t>：现有证据表明，未分化胸痛在急诊人群中以非心脏成因为主，头晕并非心肌缺血的可靠指向症状；但"晨起"这一时间限定人群的病因构成（体位性低血压、睡眠呼吸暂停、贫血、前庭疾病、焦虑躯体化、降压药晨间效应各自占比）没有被任何研究直接测量。因此，把"晨起头晕、胸闷"默认按心绞痛前兆处理缺乏病因学依据，但同时也不能据此排除心肌缺血——这正是必须由临床评估（心电图、心肌标志物）而非主诉自我归类来解决的边界。</w:t>
      </w:r>
      <w:r>
        <w:rPr>
          <w:rFonts w:ascii="Times New Roman" w:hAnsi="Times New Roman" w:eastAsia="宋体"/>
          <w:b w:val="0"/>
          <w:color w:val="1A1A1A"/>
          <w:sz w:val="21"/>
          <w:vertAlign w:val="superscript"/>
        </w:rPr>
        <w:t>[13]</w:t>
      </w:r>
    </w:p>
    <w:p>
      <w:pPr>
        <w:spacing w:after="100" w:before="240" w:line="300" w:lineRule="auto"/>
      </w:pPr>
      <w:r>
        <w:rPr>
          <w:rFonts w:ascii="Times New Roman" w:hAnsi="Times New Roman" w:eastAsia="黑体"/>
          <w:b/>
          <w:color w:val="1A1A1A"/>
          <w:sz w:val="23"/>
        </w:rPr>
        <w:t>角度四：说明书边界与注册研究</w:t>
      </w:r>
    </w:p>
    <w:p>
      <w:pPr>
        <w:spacing w:after="120" w:before="0" w:line="348" w:lineRule="auto"/>
      </w:pPr>
      <w:r>
        <w:rPr>
          <w:rFonts w:ascii="Times New Roman" w:hAnsi="Times New Roman" w:eastAsia="宋体"/>
          <w:b/>
          <w:color w:val="1A1A1A"/>
          <w:sz w:val="21"/>
        </w:rPr>
        <w:t>说明书</w:t>
      </w:r>
      <w:r>
        <w:rPr>
          <w:rFonts w:ascii="Times New Roman" w:hAnsi="Times New Roman" w:eastAsia="宋体"/>
          <w:b w:val="0"/>
          <w:color w:val="1A1A1A"/>
          <w:sz w:val="21"/>
        </w:rPr>
        <w:t xml:space="preserve">：NMPA 说明书索引条目（EviMed 索引候选，来源状态标注"需官方现行核验"；公开入口为国家药监局药品查询数据库 </w:t>
      </w:r>
      <w:r>
        <w:rPr>
          <w:rFonts w:ascii="Times New Roman" w:hAnsi="Times New Roman" w:eastAsia="宋体"/>
          <w:b w:val="0"/>
          <w:color w:val="1A1A1A"/>
          <w:sz w:val="21"/>
          <w:vertAlign w:val="superscript"/>
        </w:rPr>
        <w:t>[17]</w:t>
      </w:r>
      <w:r>
        <w:rPr>
          <w:rFonts w:ascii="Times New Roman" w:hAnsi="Times New Roman" w:eastAsia="宋体"/>
          <w:b w:val="0"/>
          <w:color w:val="1A1A1A"/>
          <w:sz w:val="21"/>
        </w:rPr>
        <w:t>）显示功能主治为"行气活血，祛瘀止痛，增加冠脉血流量，缓解心绞痛。用于气滞血瘀型冠心病，心绞痛"，禁忌为孕妇禁用，注意事项含"寒凝血瘀、阴虚血瘀胸痹心痛不宜单用……心绞痛持续发作，宜加用硝酸酯类药"，不良反应监测数据含头晕。该条目文字以索引记录层级呈现，本报告不以该条目单独支撑临床结论。</w:t>
      </w:r>
      <w:r>
        <w:rPr>
          <w:rFonts w:ascii="Times New Roman" w:hAnsi="Times New Roman" w:eastAsia="宋体"/>
          <w:b/>
          <w:color w:val="1A1A1A"/>
          <w:sz w:val="21"/>
        </w:rPr>
        <w:t>判定条件二(a) 的检验</w:t>
      </w:r>
      <w:r>
        <w:rPr>
          <w:rFonts w:ascii="Times New Roman" w:hAnsi="Times New Roman" w:eastAsia="宋体"/>
          <w:b w:val="0"/>
          <w:color w:val="1A1A1A"/>
          <w:sz w:val="21"/>
        </w:rPr>
        <w:t>：说明书文字限于"冠心病、心绞痛"，未含"未确诊人群"或"晨起头晕胸闷"场景；可核验的同行评议证据同样显示该药的研究对象一律为已确诊患者。</w:t>
      </w:r>
    </w:p>
    <w:p>
      <w:pPr>
        <w:spacing w:after="120" w:before="0" w:line="348" w:lineRule="auto"/>
      </w:pPr>
      <w:r>
        <w:rPr>
          <w:rFonts w:ascii="Times New Roman" w:hAnsi="Times New Roman" w:eastAsia="宋体"/>
          <w:b/>
          <w:color w:val="1A1A1A"/>
          <w:sz w:val="21"/>
        </w:rPr>
        <w:t>已有研究人群</w:t>
      </w:r>
      <w:r>
        <w:rPr>
          <w:rFonts w:ascii="Times New Roman" w:hAnsi="Times New Roman" w:eastAsia="宋体"/>
          <w:b w:val="0"/>
          <w:color w:val="1A1A1A"/>
          <w:sz w:val="21"/>
        </w:rPr>
        <w:t>：41 项 RCT、6,276 例冠心病患者的 meta 分析显示速效救心丸改善心电图疗效 RR 1.32（95%CI 1.26–1.38），不良反应以轻度头痛、头晕、面红为主，与对照组差异无统计学意义（RR 1.12，95%CI 0.50–2.51），但多数纳入研究 Jadad 评分低、异质性显著。</w:t>
      </w:r>
      <w:r>
        <w:rPr>
          <w:rFonts w:ascii="Times New Roman" w:hAnsi="Times New Roman" w:eastAsia="宋体"/>
          <w:b w:val="0"/>
          <w:color w:val="1A1A1A"/>
          <w:sz w:val="21"/>
          <w:vertAlign w:val="superscript"/>
        </w:rPr>
        <w:t>[12]</w:t>
      </w:r>
      <w:r>
        <w:rPr>
          <w:rFonts w:ascii="Times New Roman" w:hAnsi="Times New Roman" w:eastAsia="宋体"/>
          <w:b w:val="0"/>
          <w:color w:val="1A1A1A"/>
          <w:sz w:val="21"/>
        </w:rPr>
        <w:t xml:space="preserve"> 2021 年注册的随机双盲安慰剂对照方案（ChiCTR1800014258，国药准字 Z12020025）的纳入标准明确要求"确诊冠心病"（心肌梗死病史，或冠脉造影/CTA 狭窄&gt;50%，或无创负荷试验阳性）。</w:t>
      </w:r>
      <w:r>
        <w:rPr>
          <w:rFonts w:ascii="Times New Roman" w:hAnsi="Times New Roman" w:eastAsia="宋体"/>
          <w:b w:val="0"/>
          <w:color w:val="1A1A1A"/>
          <w:sz w:val="21"/>
          <w:vertAlign w:val="superscript"/>
        </w:rPr>
        <w:t>[10]</w:t>
      </w:r>
      <w:r>
        <w:rPr>
          <w:rFonts w:ascii="Times New Roman" w:hAnsi="Times New Roman" w:eastAsia="宋体"/>
          <w:b w:val="0"/>
          <w:color w:val="1A1A1A"/>
          <w:sz w:val="21"/>
        </w:rPr>
        <w:t xml:space="preserve"> 2024 年多中心双盲 RCT（174 例慢性冠脉综合征、长效硝酸酯不耐受患者）报告 4 周有效率 OR 2.43（95%CI 1.32–4.47）、SAQ 汇总分改善 5.68（95%CI 2.37–8.99），其入组人群为确诊 CCS 患者。</w:t>
      </w:r>
      <w:r>
        <w:rPr>
          <w:rFonts w:ascii="Times New Roman" w:hAnsi="Times New Roman" w:eastAsia="宋体"/>
          <w:b w:val="0"/>
          <w:color w:val="1A1A1A"/>
          <w:sz w:val="21"/>
          <w:vertAlign w:val="superscript"/>
        </w:rPr>
        <w:t>[11]</w:t>
      </w:r>
      <w:r>
        <w:rPr>
          <w:rFonts w:ascii="Times New Roman" w:hAnsi="Times New Roman" w:eastAsia="宋体"/>
          <w:b w:val="0"/>
          <w:color w:val="1A1A1A"/>
          <w:sz w:val="21"/>
        </w:rPr>
        <w:t xml:space="preserve"> 另一项多中心 RCT 方案（ChiCTR2100050066）同样以"诊断慢性冠脉综合征"为入组条件。</w:t>
      </w:r>
      <w:r>
        <w:rPr>
          <w:rFonts w:ascii="Times New Roman" w:hAnsi="Times New Roman" w:eastAsia="宋体"/>
          <w:b w:val="0"/>
          <w:color w:val="1A1A1A"/>
          <w:sz w:val="21"/>
          <w:vertAlign w:val="superscript"/>
        </w:rPr>
        <w:t>[11]</w:t>
      </w:r>
    </w:p>
    <w:p>
      <w:pPr>
        <w:spacing w:after="120" w:before="0" w:line="348" w:lineRule="auto"/>
      </w:pPr>
      <w:r>
        <w:rPr>
          <w:rFonts w:ascii="Times New Roman" w:hAnsi="Times New Roman" w:eastAsia="宋体"/>
          <w:b/>
          <w:color w:val="1A1A1A"/>
          <w:sz w:val="21"/>
        </w:rPr>
        <w:t>临床试验注册库</w:t>
      </w:r>
      <w:r>
        <w:rPr>
          <w:rFonts w:ascii="Times New Roman" w:hAnsi="Times New Roman" w:eastAsia="宋体"/>
          <w:b w:val="0"/>
          <w:color w:val="1A1A1A"/>
          <w:sz w:val="21"/>
        </w:rPr>
        <w:t>：ClinicalTrials.gov 检索"速效救心丸 / suxiao jiuxin"命中的注册记录为：NCT06531161（速效救心丸预防急性高山病的随机对照试验，尚未招募，对象为健康登山者而非未确诊晨起症状人群）</w:t>
      </w:r>
      <w:r>
        <w:rPr>
          <w:rFonts w:ascii="Times New Roman" w:hAnsi="Times New Roman" w:eastAsia="宋体"/>
          <w:b w:val="0"/>
          <w:color w:val="1A1A1A"/>
          <w:sz w:val="21"/>
          <w:vertAlign w:val="superscript"/>
        </w:rPr>
        <w:t>[18]</w:t>
      </w:r>
      <w:r>
        <w:rPr>
          <w:rFonts w:ascii="Times New Roman" w:hAnsi="Times New Roman" w:eastAsia="宋体"/>
          <w:b w:val="0"/>
          <w:color w:val="1A1A1A"/>
          <w:sz w:val="21"/>
        </w:rPr>
        <w:t xml:space="preserve"> 与 NCT05466968（速效救心丸对急性心肌梗死易损斑块不稳定性的干预试验，尚未招募，对象为确诊 AMI 患者）</w:t>
      </w:r>
      <w:r>
        <w:rPr>
          <w:rFonts w:ascii="Times New Roman" w:hAnsi="Times New Roman" w:eastAsia="宋体"/>
          <w:b w:val="0"/>
          <w:color w:val="1A1A1A"/>
          <w:sz w:val="21"/>
          <w:vertAlign w:val="superscript"/>
        </w:rPr>
        <w:t>[19]</w:t>
      </w:r>
      <w:r>
        <w:rPr>
          <w:rFonts w:ascii="Times New Roman" w:hAnsi="Times New Roman" w:eastAsia="宋体"/>
          <w:b w:val="0"/>
          <w:color w:val="1A1A1A"/>
          <w:sz w:val="21"/>
        </w:rPr>
        <w:t>。以"速效救心丸"检索中文注册库未命中记录。</w:t>
      </w:r>
      <w:r>
        <w:rPr>
          <w:rFonts w:ascii="Times New Roman" w:hAnsi="Times New Roman" w:eastAsia="宋体"/>
          <w:b/>
          <w:color w:val="1A1A1A"/>
          <w:sz w:val="21"/>
        </w:rPr>
        <w:t>判定条件二(a) 的检验</w:t>
      </w:r>
      <w:r>
        <w:rPr>
          <w:rFonts w:ascii="Times New Roman" w:hAnsi="Times New Roman" w:eastAsia="宋体"/>
          <w:b w:val="0"/>
          <w:color w:val="1A1A1A"/>
          <w:sz w:val="21"/>
        </w:rPr>
        <w:t>：说明书边界外，亦无未确诊人群前瞻研究——(a) 不满足。</w:t>
      </w:r>
    </w:p>
    <w:p>
      <w:pPr>
        <w:spacing w:after="100" w:before="240" w:line="300" w:lineRule="auto"/>
      </w:pPr>
      <w:r>
        <w:rPr>
          <w:rFonts w:ascii="Times New Roman" w:hAnsi="Times New Roman" w:eastAsia="黑体"/>
          <w:b/>
          <w:color w:val="1A1A1A"/>
          <w:sz w:val="23"/>
        </w:rPr>
        <w:t>角度五：常备行为的结局影响、症状归因与就医延迟</w:t>
      </w:r>
    </w:p>
    <w:p>
      <w:pPr>
        <w:spacing w:after="120" w:before="0" w:line="348" w:lineRule="auto"/>
      </w:pPr>
      <w:r>
        <w:rPr>
          <w:rFonts w:ascii="Times New Roman" w:hAnsi="Times New Roman" w:eastAsia="宋体"/>
          <w:b/>
          <w:color w:val="1A1A1A"/>
          <w:sz w:val="21"/>
        </w:rPr>
        <w:t>直接比较证据缺失</w:t>
      </w:r>
      <w:r>
        <w:rPr>
          <w:rFonts w:ascii="Times New Roman" w:hAnsi="Times New Roman" w:eastAsia="宋体"/>
          <w:b w:val="0"/>
          <w:color w:val="1A1A1A"/>
          <w:sz w:val="21"/>
        </w:rPr>
        <w:t>：未检索到任何直接比较"床头常备与不常备急救药"（无论速效救心丸或同类）对未确诊人群结局影响的研究（检索式含 home standby、self-medication、prehospital nitroglycerin 等概念）。</w:t>
      </w:r>
      <w:r>
        <w:rPr>
          <w:rFonts w:ascii="Times New Roman" w:hAnsi="Times New Roman" w:eastAsia="宋体"/>
          <w:b/>
          <w:color w:val="1A1A1A"/>
          <w:sz w:val="21"/>
        </w:rPr>
        <w:t>判定条件二(b) 不满足</w:t>
      </w:r>
      <w:r>
        <w:rPr>
          <w:rFonts w:ascii="Times New Roman" w:hAnsi="Times New Roman" w:eastAsia="宋体"/>
          <w:b w:val="0"/>
          <w:color w:val="1A1A1A"/>
          <w:sz w:val="21"/>
        </w:rPr>
        <w:t>。</w:t>
      </w:r>
    </w:p>
    <w:p>
      <w:pPr>
        <w:spacing w:after="120" w:before="0" w:line="348" w:lineRule="auto"/>
      </w:pPr>
      <w:r>
        <w:rPr>
          <w:rFonts w:ascii="Times New Roman" w:hAnsi="Times New Roman" w:eastAsia="宋体"/>
          <w:b/>
          <w:color w:val="1A1A1A"/>
          <w:sz w:val="21"/>
        </w:rPr>
        <w:t>症状缓解不可作诊断依据</w:t>
      </w:r>
      <w:r>
        <w:rPr>
          <w:rFonts w:ascii="Times New Roman" w:hAnsi="Times New Roman" w:eastAsia="宋体"/>
          <w:b w:val="0"/>
          <w:color w:val="1A1A1A"/>
          <w:sz w:val="21"/>
        </w:rPr>
        <w:t>：急诊 270 例前瞻队列显示，硝酸甘油缓解判断心源性胸痛的灵敏度 72%（64%–80%）、特异度 37%（34%–41%）、阳性似然比 1.1（0.96–1.34），结论为"缓解不可靠，不能区分心脏性与非心脏性胸痛"。</w:t>
      </w:r>
      <w:r>
        <w:rPr>
          <w:rFonts w:ascii="Times New Roman" w:hAnsi="Times New Roman" w:eastAsia="宋体"/>
          <w:b w:val="0"/>
          <w:color w:val="1A1A1A"/>
          <w:sz w:val="21"/>
          <w:vertAlign w:val="superscript"/>
        </w:rPr>
        <w:t>[9]</w:t>
      </w:r>
      <w:r>
        <w:rPr>
          <w:rFonts w:ascii="Times New Roman" w:hAnsi="Times New Roman" w:eastAsia="宋体"/>
          <w:b w:val="0"/>
          <w:color w:val="1A1A1A"/>
          <w:sz w:val="21"/>
        </w:rPr>
        <w:t xml:space="preserve"> 同理，任何以"含服后是否缓解"决定是否就医的做法都会系统性地误分类患者。</w:t>
      </w:r>
    </w:p>
    <w:p>
      <w:pPr>
        <w:spacing w:after="120" w:before="0" w:line="348" w:lineRule="auto"/>
      </w:pPr>
      <w:r>
        <w:rPr>
          <w:rFonts w:ascii="Times New Roman" w:hAnsi="Times New Roman" w:eastAsia="宋体"/>
          <w:b/>
          <w:color w:val="1A1A1A"/>
          <w:sz w:val="21"/>
        </w:rPr>
        <w:t>症状归因偏倚与延迟</w:t>
      </w:r>
      <w:r>
        <w:rPr>
          <w:rFonts w:ascii="Times New Roman" w:hAnsi="Times New Roman" w:eastAsia="宋体"/>
          <w:b w:val="0"/>
          <w:color w:val="1A1A1A"/>
          <w:sz w:val="21"/>
        </w:rPr>
        <w:t>：AMI 女性患者质性研究中，65% 描述间歇症状未被重视而采取"等待观察"，"Wonder a Lots"型患者"过度依赖自我治疗，在漫长的过程中把症状归因于各种非心脏原因"；症状识别失败与就医延迟直接相关。</w:t>
      </w:r>
      <w:r>
        <w:rPr>
          <w:rFonts w:ascii="Times New Roman" w:hAnsi="Times New Roman" w:eastAsia="宋体"/>
          <w:b w:val="0"/>
          <w:color w:val="1A1A1A"/>
          <w:sz w:val="21"/>
          <w:vertAlign w:val="superscript"/>
        </w:rPr>
        <w:t>[15]</w:t>
      </w:r>
      <w:r>
        <w:rPr>
          <w:rFonts w:ascii="Times New Roman" w:hAnsi="Times New Roman" w:eastAsia="宋体"/>
          <w:b w:val="0"/>
          <w:color w:val="1A1A1A"/>
          <w:sz w:val="21"/>
        </w:rPr>
        <w:t xml:space="preserve"> 德国 20,005 例 STEMI 注册数据显示症状-首次医疗接触时间与院内死亡率呈 J 形（&lt;1 小时组 10.0%、1–2 小时组 4.9%、2–6 小时组 6.0%、6–24 小时组 7.3%），首次医疗接触后 90 分钟内再灌注在短延误组获益最大（OR 0.27，95%CI 0.23–0.31）且对长达 24 小时者仍有获益——即"早呼救、早评估"是结局的决定性环节。</w:t>
      </w:r>
      <w:r>
        <w:rPr>
          <w:rFonts w:ascii="Times New Roman" w:hAnsi="Times New Roman" w:eastAsia="宋体"/>
          <w:b w:val="0"/>
          <w:color w:val="1A1A1A"/>
          <w:sz w:val="21"/>
          <w:vertAlign w:val="superscript"/>
        </w:rPr>
        <w:t>[8]</w:t>
      </w:r>
      <w:r>
        <w:rPr>
          <w:rFonts w:ascii="Times New Roman" w:hAnsi="Times New Roman" w:eastAsia="宋体"/>
          <w:b w:val="0"/>
          <w:color w:val="1A1A1A"/>
          <w:sz w:val="21"/>
        </w:rPr>
        <w:t xml:space="preserve"> NHS 官方指引明确：突发不缓解的胸痛或伴出汗、恶心、头晕、气促时应立即呼叫 999（英国急救电话；中国大陆为 120），"可能是心脏病发作，请立即呼救以获得住院治疗"。</w:t>
      </w:r>
      <w:r>
        <w:rPr>
          <w:rFonts w:ascii="Times New Roman" w:hAnsi="Times New Roman" w:eastAsia="宋体"/>
          <w:b w:val="0"/>
          <w:color w:val="1A1A1A"/>
          <w:sz w:val="21"/>
          <w:vertAlign w:val="superscript"/>
        </w:rPr>
        <w:t>[16]</w:t>
      </w:r>
    </w:p>
    <w:p>
      <w:pPr>
        <w:spacing w:after="120" w:before="0" w:line="348" w:lineRule="auto"/>
      </w:pPr>
      <w:r>
        <w:rPr>
          <w:rFonts w:ascii="Times New Roman" w:hAnsi="Times New Roman" w:eastAsia="宋体"/>
          <w:b/>
          <w:color w:val="1A1A1A"/>
          <w:sz w:val="21"/>
        </w:rPr>
        <w:t>判定条件二(c) 的检验</w:t>
      </w:r>
      <w:r>
        <w:rPr>
          <w:rFonts w:ascii="Times New Roman" w:hAnsi="Times New Roman" w:eastAsia="宋体"/>
          <w:b w:val="0"/>
          <w:color w:val="1A1A1A"/>
          <w:sz w:val="21"/>
        </w:rPr>
        <w:t>：没有直接证据证明"常备行为本身延长首次医疗接触时间"（文献空白，不能断言"无延迟"）；而相邻证据表明，以自我处置为核心的行为模式（含以"药物反应"作为观察决策点）与症状归因偏倚和就医延迟相关。既然既无 (b) 的直接结局证据、又无法以证据排除 (c) 的风险，而 (a) 已不满足——按判定条件二，结论必须为"现有证据不支持该建议"。</w:t>
      </w:r>
    </w:p>
    <w:p>
      <w:pPr>
        <w:spacing w:after="100" w:before="240" w:line="300" w:lineRule="auto"/>
      </w:pPr>
      <w:r>
        <w:rPr>
          <w:rFonts w:ascii="Times New Roman" w:hAnsi="Times New Roman" w:eastAsia="黑体"/>
          <w:b/>
          <w:color w:val="1A1A1A"/>
          <w:sz w:val="23"/>
        </w:rPr>
        <w:t>角度六：三角互证与冲突处理</w:t>
      </w:r>
    </w:p>
    <w:p>
      <w:pPr>
        <w:spacing w:after="120" w:before="0" w:line="348" w:lineRule="auto"/>
      </w:pPr>
      <w:r>
        <w:rPr>
          <w:rFonts w:ascii="Times New Roman" w:hAnsi="Times New Roman" w:eastAsia="宋体"/>
          <w:b/>
          <w:color w:val="1A1A1A"/>
          <w:sz w:val="21"/>
        </w:rPr>
        <w:t>一致处</w:t>
      </w:r>
      <w:r>
        <w:rPr>
          <w:rFonts w:ascii="Times New Roman" w:hAnsi="Times New Roman" w:eastAsia="宋体"/>
          <w:b w:val="0"/>
          <w:color w:val="1A1A1A"/>
          <w:sz w:val="21"/>
        </w:rPr>
        <w:t>：多项独立大样本研究（AMI 队列、心脏骤停注册、STEMI 注册）与卒中系统评价在"清晨为事件高发时段"上方向一致；人体强制去同步实验在"血小板激活与 PAI-1 晨峰独立于行为"上与流行病学观察互相印证。</w:t>
      </w:r>
      <w:r>
        <w:rPr>
          <w:rFonts w:ascii="Times New Roman" w:hAnsi="Times New Roman" w:eastAsia="宋体"/>
          <w:b w:val="0"/>
          <w:color w:val="1A1A1A"/>
          <w:sz w:val="21"/>
          <w:vertAlign w:val="superscript"/>
        </w:rPr>
        <w:t>[1]</w:t>
      </w:r>
      <w:r>
        <w:rPr>
          <w:rFonts w:ascii="Times New Roman" w:hAnsi="Times New Roman" w:eastAsia="宋体"/>
          <w:b w:val="0"/>
          <w:color w:val="1A1A1A"/>
          <w:sz w:val="21"/>
        </w:rPr>
        <w:t xml:space="preserve"> </w:t>
      </w:r>
      <w:r>
        <w:rPr>
          <w:rFonts w:ascii="Times New Roman" w:hAnsi="Times New Roman" w:eastAsia="宋体"/>
          <w:b w:val="0"/>
          <w:color w:val="1A1A1A"/>
          <w:sz w:val="21"/>
          <w:vertAlign w:val="superscript"/>
        </w:rPr>
        <w:t>[2]</w:t>
      </w:r>
      <w:r>
        <w:rPr>
          <w:rFonts w:ascii="Times New Roman" w:hAnsi="Times New Roman" w:eastAsia="宋体"/>
          <w:b w:val="0"/>
          <w:color w:val="1A1A1A"/>
          <w:sz w:val="21"/>
        </w:rPr>
        <w:t xml:space="preserve"> </w:t>
      </w:r>
      <w:r>
        <w:rPr>
          <w:rFonts w:ascii="Times New Roman" w:hAnsi="Times New Roman" w:eastAsia="宋体"/>
          <w:b w:val="0"/>
          <w:color w:val="1A1A1A"/>
          <w:sz w:val="21"/>
          <w:vertAlign w:val="superscript"/>
        </w:rPr>
        <w:t>[3]</w:t>
      </w:r>
      <w:r>
        <w:rPr>
          <w:rFonts w:ascii="Times New Roman" w:hAnsi="Times New Roman" w:eastAsia="宋体"/>
          <w:b w:val="0"/>
          <w:color w:val="1A1A1A"/>
          <w:sz w:val="21"/>
        </w:rPr>
        <w:t xml:space="preserve"> </w:t>
      </w:r>
      <w:r>
        <w:rPr>
          <w:rFonts w:ascii="Times New Roman" w:hAnsi="Times New Roman" w:eastAsia="宋体"/>
          <w:b w:val="0"/>
          <w:color w:val="1A1A1A"/>
          <w:sz w:val="21"/>
          <w:vertAlign w:val="superscript"/>
        </w:rPr>
        <w:t>[4]</w:t>
      </w:r>
    </w:p>
    <w:p>
      <w:pPr>
        <w:spacing w:after="120" w:before="0" w:line="348" w:lineRule="auto"/>
      </w:pPr>
      <w:r>
        <w:rPr>
          <w:rFonts w:ascii="Times New Roman" w:hAnsi="Times New Roman" w:eastAsia="宋体"/>
          <w:b/>
          <w:color w:val="1A1A1A"/>
          <w:sz w:val="21"/>
        </w:rPr>
        <w:t>冲突处</w:t>
      </w:r>
      <w:r>
        <w:rPr>
          <w:rFonts w:ascii="Times New Roman" w:hAnsi="Times New Roman" w:eastAsia="宋体"/>
          <w:b w:val="0"/>
          <w:color w:val="1A1A1A"/>
          <w:sz w:val="21"/>
        </w:rPr>
        <w:t>：其一，晨峰频率与结局脱节——JAMIR 2,251 例显示发病时段不影响梗死面积与死亡率，深圳卒中队列显示清晨起病反而更轻，即"多发"不等于"更重或更险"，这对"晨起事件多→晨起必须备药"的隐含因果链构成反证。</w:t>
      </w:r>
      <w:r>
        <w:rPr>
          <w:rFonts w:ascii="Times New Roman" w:hAnsi="Times New Roman" w:eastAsia="宋体"/>
          <w:b w:val="0"/>
          <w:color w:val="1A1A1A"/>
          <w:sz w:val="21"/>
          <w:vertAlign w:val="superscript"/>
        </w:rPr>
        <w:t>[3]</w:t>
      </w:r>
      <w:r>
        <w:rPr>
          <w:rFonts w:ascii="Times New Roman" w:hAnsi="Times New Roman" w:eastAsia="宋体"/>
          <w:b w:val="0"/>
          <w:color w:val="1A1A1A"/>
          <w:sz w:val="21"/>
        </w:rPr>
        <w:t xml:space="preserve"> </w:t>
      </w:r>
      <w:r>
        <w:rPr>
          <w:rFonts w:ascii="Times New Roman" w:hAnsi="Times New Roman" w:eastAsia="宋体"/>
          <w:b w:val="0"/>
          <w:color w:val="1A1A1A"/>
          <w:sz w:val="21"/>
          <w:vertAlign w:val="superscript"/>
        </w:rPr>
        <w:t>[7]</w:t>
      </w:r>
      <w:r>
        <w:rPr>
          <w:rFonts w:ascii="Times New Roman" w:hAnsi="Times New Roman" w:eastAsia="宋体"/>
          <w:b w:val="0"/>
          <w:color w:val="1A1A1A"/>
          <w:sz w:val="21"/>
        </w:rPr>
        <w:t xml:space="preserve"> 其二，MBPS 作为候选机制，其独立预后价值在系统评价层面证据不确定（分类变量关联不显著），提示机制解释不能直接外推为干预靶点。</w:t>
      </w:r>
      <w:r>
        <w:rPr>
          <w:rFonts w:ascii="Times New Roman" w:hAnsi="Times New Roman" w:eastAsia="宋体"/>
          <w:b w:val="0"/>
          <w:color w:val="1A1A1A"/>
          <w:sz w:val="21"/>
          <w:vertAlign w:val="superscript"/>
        </w:rPr>
        <w:t>[5]</w:t>
      </w:r>
      <w:r>
        <w:rPr>
          <w:rFonts w:ascii="Times New Roman" w:hAnsi="Times New Roman" w:eastAsia="宋体"/>
          <w:b w:val="0"/>
          <w:color w:val="1A1A1A"/>
          <w:sz w:val="21"/>
        </w:rPr>
        <w:t xml:space="preserve"> 冲突裁决：晨峰作为"时间分布"证据强度较高（多来源一致），但作为"个体决策依据"的证据强度不成立，因为缺少连接两者的人群中介变量（未确诊者晨起主诉→急性事件的预测值）的测量。</w:t>
      </w:r>
    </w:p>
    <w:p>
      <w:pPr>
        <w:spacing w:after="100" w:before="240" w:line="300" w:lineRule="auto"/>
      </w:pPr>
      <w:r>
        <w:rPr>
          <w:rFonts w:ascii="Times New Roman" w:hAnsi="Times New Roman" w:eastAsia="黑体"/>
          <w:b/>
          <w:color w:val="1A1A1A"/>
          <w:sz w:val="25"/>
        </w:rPr>
        <w:t>推导与外推</w:t>
      </w:r>
    </w:p>
    <w:p>
      <w:pPr>
        <w:spacing w:after="120" w:before="0" w:line="348" w:lineRule="auto"/>
      </w:pPr>
      <w:r>
        <w:rPr>
          <w:rFonts w:ascii="Times New Roman" w:hAnsi="Times New Roman" w:eastAsia="宋体"/>
          <w:b/>
          <w:color w:val="1A1A1A"/>
          <w:sz w:val="21"/>
        </w:rPr>
        <w:t>〔推导〕含服后"缓解"对心源性概率的修正量级</w:t>
      </w:r>
      <w:r>
        <w:rPr>
          <w:rFonts w:ascii="Times New Roman" w:hAnsi="Times New Roman" w:eastAsia="宋体"/>
          <w:b w:val="0"/>
          <w:color w:val="1A1A1A"/>
          <w:sz w:val="21"/>
        </w:rPr>
        <w:t>： 以 Steele 2006 实测参数计算：灵敏度 0.72、特异度 0.37，阳性似然比 LR+=0.72/(1−0.37)=1.14，阴性似然比 LR−=(1−0.72)/0.37=0.76。取未确诊晨起胸闷人群的缺血先验概率 30%：缓解后验=0.30×1.14/(0.30×1.14+0.70)=0.343/1.043≈33%；不缓解后验=0.30×0.76/(0.30×0.76+0.70)=0.228/0.928≈25%。若先验取 10%，则缓解后约 11%、不缓解后约 8%。即"缓解/不缓解"对心源性概率的修正仅为 3–8 个百分点——症状反应作为自我分诊信息几乎无信息量，更不足以作为延迟就医的正当理由。</w:t>
      </w:r>
      <w:r>
        <w:rPr>
          <w:rFonts w:ascii="Times New Roman" w:hAnsi="Times New Roman" w:eastAsia="宋体"/>
          <w:b w:val="0"/>
          <w:color w:val="1A1A1A"/>
          <w:sz w:val="21"/>
          <w:vertAlign w:val="superscript"/>
        </w:rPr>
        <w:t>[9]</w:t>
      </w:r>
      <w:r>
        <w:rPr>
          <w:rFonts w:ascii="Times New Roman" w:hAnsi="Times New Roman" w:eastAsia="宋体"/>
          <w:b w:val="0"/>
          <w:color w:val="1A1A1A"/>
          <w:sz w:val="21"/>
        </w:rPr>
        <w:t xml:space="preserve"> 敏感性：若特异度被高估（如取 30%），LR+升至约 1.03，修正量进一步缩小；结论方向稳健。</w:t>
      </w:r>
    </w:p>
    <w:p>
      <w:pPr>
        <w:spacing w:after="120" w:before="0" w:line="348" w:lineRule="auto"/>
      </w:pPr>
      <w:r>
        <w:rPr>
          <w:rFonts w:ascii="Times New Roman" w:hAnsi="Times New Roman" w:eastAsia="宋体"/>
          <w:b/>
          <w:color w:val="1A1A1A"/>
          <w:sz w:val="21"/>
        </w:rPr>
        <w:t>〔推导〕晨峰"发生率比"量级与个体化解读的边界</w:t>
      </w:r>
      <w:r>
        <w:rPr>
          <w:rFonts w:ascii="Times New Roman" w:hAnsi="Times New Roman" w:eastAsia="宋体"/>
          <w:b w:val="0"/>
          <w:color w:val="1A1A1A"/>
          <w:sz w:val="21"/>
        </w:rPr>
        <w:t>： 以延边数据计算：06:00–11:59 事件占比 30.6% 对均匀分布期望 25% 的超额倍数为 30.6/25≈1.22；JAMIR 清晨占比 31.2%，超额约 1.25 倍。即晨峰的真实量级是"该时段事件数约为均匀期望的 1.2 倍"的相对超额，而非"晨起个体发病概率高 30%"。将该人群比例解读为个体晨起症状提示缺血、进而支持晨起备药，混淆了"事件的时间分布"（发生率比的分子分母均为确诊事件）与"主诉的预测值"（需要未确诊人群的贝叶斯先验，而该先验无直接测量），构成生态学谬误。</w:t>
      </w:r>
      <w:r>
        <w:rPr>
          <w:rFonts w:ascii="Times New Roman" w:hAnsi="Times New Roman" w:eastAsia="宋体"/>
          <w:b w:val="0"/>
          <w:color w:val="1A1A1A"/>
          <w:sz w:val="21"/>
          <w:vertAlign w:val="superscript"/>
        </w:rPr>
        <w:t>[1]</w:t>
      </w:r>
      <w:r>
        <w:rPr>
          <w:rFonts w:ascii="Times New Roman" w:hAnsi="Times New Roman" w:eastAsia="宋体"/>
          <w:b w:val="0"/>
          <w:color w:val="1A1A1A"/>
          <w:sz w:val="21"/>
        </w:rPr>
        <w:t xml:space="preserve"> </w:t>
      </w:r>
      <w:r>
        <w:rPr>
          <w:rFonts w:ascii="Times New Roman" w:hAnsi="Times New Roman" w:eastAsia="宋体"/>
          <w:b w:val="0"/>
          <w:color w:val="1A1A1A"/>
          <w:sz w:val="21"/>
          <w:vertAlign w:val="superscript"/>
        </w:rPr>
        <w:t>[3]</w:t>
      </w:r>
      <w:r>
        <w:rPr>
          <w:rFonts w:ascii="Times New Roman" w:hAnsi="Times New Roman" w:eastAsia="宋体"/>
          <w:b w:val="0"/>
          <w:color w:val="1A1A1A"/>
          <w:sz w:val="21"/>
        </w:rPr>
        <w:t xml:space="preserve"> 敏感性：若以 30.1%（心脏骤停）替代，超额约 1.20 倍，量级不变。</w:t>
      </w:r>
    </w:p>
    <w:p>
      <w:pPr>
        <w:spacing w:after="100" w:before="240" w:line="300" w:lineRule="auto"/>
      </w:pPr>
      <w:r>
        <w:rPr>
          <w:rFonts w:ascii="Times New Roman" w:hAnsi="Times New Roman" w:eastAsia="黑体"/>
          <w:b/>
          <w:color w:val="1A1A1A"/>
          <w:sz w:val="25"/>
        </w:rPr>
        <w:t>讨论</w:t>
      </w:r>
    </w:p>
    <w:p>
      <w:pPr>
        <w:spacing w:after="120" w:before="0" w:line="348" w:lineRule="auto"/>
        <w:ind w:firstLine="420"/>
      </w:pPr>
      <w:r>
        <w:rPr>
          <w:rFonts w:ascii="Times New Roman" w:hAnsi="Times New Roman" w:eastAsia="宋体"/>
          <w:b w:val="0"/>
          <w:color w:val="1A1A1A"/>
          <w:sz w:val="21"/>
        </w:rPr>
        <w:t>整体论证建立如下图景：晨峰现象在人群层面是多来源、方向一致的时间分布特征（观察性，混杂未完全排除，判定条件一降级）；其生理学解释中血小板与纤溶部分已获人体直接检验，血压与交感机制证据居中；然而，从"人群时间分布"到"未确诊个体晨起备药"之间存在两个断裂——其一，病因分布断裂：未确诊人群晨起头晕胸闷的病因构成无直接测量，急诊相邻人群证据显示非心脏成因为主且头晕偏向非心脏性；其二，决策证据断裂：说明书边界外、无未确诊人群研究、无"常备与不常备"结局比较、无证据排除常备延迟就医风险（且自我处置倾向与延迟相关）。两个断裂中的任何一个都足以阻断该建议；两个同时存在时，判定条件二的三条 (a)(b)(c) 无一满足。</w:t>
      </w:r>
    </w:p>
    <w:p>
      <w:pPr>
        <w:spacing w:after="120" w:before="0" w:line="348" w:lineRule="auto"/>
        <w:ind w:firstLine="420"/>
      </w:pPr>
      <w:r>
        <w:rPr>
          <w:rFonts w:ascii="Times New Roman" w:hAnsi="Times New Roman" w:eastAsia="宋体"/>
          <w:b w:val="0"/>
          <w:color w:val="1A1A1A"/>
          <w:sz w:val="21"/>
        </w:rPr>
        <w:t>需要与诊断明确的慢性稳定型心绞痛人群区分：对已确诊、已有处方急救药的患者，按医嘱使用不涉及本报告结论；本报告仅针对"未确诊人群凭晨峰现象自行床头常备"这一建议。</w:t>
      </w:r>
    </w:p>
    <w:p>
      <w:pPr>
        <w:spacing w:after="120" w:before="0" w:line="348" w:lineRule="auto"/>
        <w:ind w:firstLine="420"/>
      </w:pPr>
      <w:r>
        <w:rPr>
          <w:rFonts w:ascii="Times New Roman" w:hAnsi="Times New Roman" w:eastAsia="宋体"/>
          <w:b w:val="0"/>
          <w:color w:val="1A1A1A"/>
          <w:sz w:val="21"/>
        </w:rPr>
        <w:t>能够一锤定音的研究：在未确诊人群中开展的"床头常备速效救心丸 vs 不常备"前瞻性随机试验，以症状-首次医疗接触时间、总缺血时间、急性冠脉综合征检出率与不良事件为终点（注册号公开、方案事先公布）；或以未确诊人群晨起头晕胸闷为队列的病因构成与事件率研究。在此之前，任何声称"晨峰成立故应常备"的表述都缺乏证据承载。</w:t>
      </w:r>
    </w:p>
    <w:p>
      <w:pPr>
        <w:spacing w:after="100" w:before="240" w:line="300" w:lineRule="auto"/>
      </w:pPr>
      <w:r>
        <w:rPr>
          <w:rFonts w:ascii="Times New Roman" w:hAnsi="Times New Roman" w:eastAsia="黑体"/>
          <w:b/>
          <w:color w:val="1A1A1A"/>
          <w:sz w:val="25"/>
        </w:rPr>
        <w:t>证据局限</w:t>
      </w:r>
    </w:p>
    <w:p>
      <w:pPr>
        <w:spacing w:after="120" w:before="0" w:line="348" w:lineRule="auto"/>
      </w:pPr>
      <w:r>
        <w:rPr>
          <w:rFonts w:ascii="Times New Roman" w:hAnsi="Times New Roman" w:eastAsia="宋体"/>
          <w:b/>
          <w:color w:val="1A1A1A"/>
          <w:sz w:val="21"/>
        </w:rPr>
        <w:t>判定条件一相关的局限</w:t>
      </w:r>
      <w:r>
        <w:rPr>
          <w:rFonts w:ascii="Times New Roman" w:hAnsi="Times New Roman" w:eastAsia="宋体"/>
          <w:b w:val="0"/>
          <w:color w:val="1A1A1A"/>
          <w:sz w:val="21"/>
        </w:rPr>
        <w:t>：所检获的清晨事件聚集证据均来自观察性研究；在可核验工件中，没有任何研究以"发生率比+可信区间"形式报告经觉醒时点与晨间活动量联合校正的估计（ISAM 等经典校正分析全文不可获取），这是"降级"的直接原因，而非晨峰不存在的证据。事件时间依赖于自报，回忆偏倚可能放大清晨聚集。</w:t>
      </w:r>
      <w:r>
        <w:rPr>
          <w:rFonts w:ascii="Times New Roman" w:hAnsi="Times New Roman" w:eastAsia="宋体"/>
          <w:b/>
          <w:color w:val="1A1A1A"/>
          <w:sz w:val="21"/>
        </w:rPr>
        <w:t>判定条件二相关的局限</w:t>
      </w:r>
      <w:r>
        <w:rPr>
          <w:rFonts w:ascii="Times New Roman" w:hAnsi="Times New Roman" w:eastAsia="宋体"/>
          <w:b w:val="0"/>
          <w:color w:val="1A1A1A"/>
          <w:sz w:val="21"/>
        </w:rPr>
        <w:t>：核心证据缺失属于文献空白——"未检索到直接研究"仅界定了检索范围（含中英文文献与注册库），不构成对文献整体的存在性断言。</w:t>
      </w:r>
      <w:r>
        <w:rPr>
          <w:rFonts w:ascii="Times New Roman" w:hAnsi="Times New Roman" w:eastAsia="宋体"/>
          <w:b/>
          <w:color w:val="1A1A1A"/>
          <w:sz w:val="21"/>
        </w:rPr>
        <w:t>间接性</w:t>
      </w:r>
      <w:r>
        <w:rPr>
          <w:rFonts w:ascii="Times New Roman" w:hAnsi="Times New Roman" w:eastAsia="宋体"/>
          <w:b w:val="0"/>
          <w:color w:val="1A1A1A"/>
          <w:sz w:val="21"/>
        </w:rPr>
        <w:t>：急诊胸痛病因分布与 AMI 延迟研究来自欧美/南亚人群，其构成比例与中国的医疗可及性不同；头晕病因分布于晨起人群的迁移性未经检验。</w:t>
      </w:r>
      <w:r>
        <w:rPr>
          <w:rFonts w:ascii="Times New Roman" w:hAnsi="Times New Roman" w:eastAsia="宋体"/>
          <w:b/>
          <w:color w:val="1A1A1A"/>
          <w:sz w:val="21"/>
        </w:rPr>
        <w:t>可及性</w:t>
      </w:r>
      <w:r>
        <w:rPr>
          <w:rFonts w:ascii="Times New Roman" w:hAnsi="Times New Roman" w:eastAsia="宋体"/>
          <w:b w:val="0"/>
          <w:color w:val="1A1A1A"/>
          <w:sz w:val="21"/>
        </w:rPr>
        <w:t>：NMPA 说明书条目为索引候选（未经官方现行版本逐字核验），Cochrane 2008 系统评价与多篇经典文献全文不可获取，相关表述已限于题录与转述层级。</w:t>
      </w:r>
      <w:r>
        <w:rPr>
          <w:rFonts w:ascii="Times New Roman" w:hAnsi="Times New Roman" w:eastAsia="宋体"/>
          <w:b/>
          <w:color w:val="1A1A1A"/>
          <w:sz w:val="21"/>
        </w:rPr>
        <w:t>偏倚风险</w:t>
      </w:r>
      <w:r>
        <w:rPr>
          <w:rFonts w:ascii="Times New Roman" w:hAnsi="Times New Roman" w:eastAsia="宋体"/>
          <w:b w:val="0"/>
          <w:color w:val="1A1A1A"/>
          <w:sz w:val="21"/>
        </w:rPr>
        <w:t>：速效救心丸 meta 分析纳入研究多数 Jadad 低分、异质性高；晨峰相关系统评价基于观察性研究。</w:t>
      </w:r>
      <w:r>
        <w:rPr>
          <w:rFonts w:ascii="Times New Roman" w:hAnsi="Times New Roman" w:eastAsia="宋体"/>
          <w:b/>
          <w:color w:val="1A1A1A"/>
          <w:sz w:val="21"/>
        </w:rPr>
        <w:t>时效与辖区</w:t>
      </w:r>
      <w:r>
        <w:rPr>
          <w:rFonts w:ascii="Times New Roman" w:hAnsi="Times New Roman" w:eastAsia="宋体"/>
          <w:b w:val="0"/>
          <w:color w:val="1A1A1A"/>
          <w:sz w:val="21"/>
        </w:rPr>
        <w:t>：中国急救体系（120、胸痛中心网络）与英国 999 体系存在差异，患者指引的本地化表述需以中国现行指南为准。</w:t>
      </w:r>
    </w:p>
    <w:p>
      <w:pPr>
        <w:spacing w:after="100" w:before="240" w:line="300" w:lineRule="auto"/>
      </w:pPr>
      <w:r>
        <w:rPr>
          <w:rFonts w:ascii="Times New Roman" w:hAnsi="Times New Roman" w:eastAsia="黑体"/>
          <w:b/>
          <w:color w:val="1A1A1A"/>
          <w:sz w:val="25"/>
        </w:rPr>
        <w:t>结论</w:t>
      </w:r>
    </w:p>
    <w:p>
      <w:pPr>
        <w:spacing w:after="120" w:before="0" w:line="348" w:lineRule="auto"/>
      </w:pPr>
      <w:r>
        <w:rPr>
          <w:rFonts w:ascii="Times New Roman" w:hAnsi="Times New Roman" w:eastAsia="宋体"/>
          <w:b/>
          <w:color w:val="1A1A1A"/>
          <w:sz w:val="21"/>
        </w:rPr>
        <w:t>判定一（人群层面晨峰现象）</w:t>
      </w:r>
      <w:r>
        <w:rPr>
          <w:rFonts w:ascii="Times New Roman" w:hAnsi="Times New Roman" w:eastAsia="宋体"/>
          <w:b w:val="0"/>
          <w:color w:val="1A1A1A"/>
          <w:sz w:val="21"/>
        </w:rPr>
        <w:t>：至少三项独立大样本研究（延边 AMI 队列 3,158 例、中国社区心脏骤停 10,210 例、日本 JAMIR 2,251 例）及卒中系统评价（58 项研究）方向一致地报告清晨事件聚集，但均未以可核验层级报告"校正觉醒时点与晨间活动量后的事件发生率比及可信区间"。据此，晨峰现象</w:t>
      </w:r>
      <w:r>
        <w:rPr>
          <w:rFonts w:ascii="Times New Roman" w:hAnsi="Times New Roman" w:eastAsia="宋体"/>
          <w:b/>
          <w:color w:val="1A1A1A"/>
          <w:sz w:val="21"/>
        </w:rPr>
        <w:t>不满足"成立"的严格判定，结论降级为"观察性证据提示事件的时间分布不均，混杂未能完全排除"</w:t>
      </w:r>
      <w:r>
        <w:rPr>
          <w:rFonts w:ascii="Times New Roman" w:hAnsi="Times New Roman" w:eastAsia="宋体"/>
          <w:b w:val="0"/>
          <w:color w:val="1A1A1A"/>
          <w:sz w:val="21"/>
        </w:rPr>
        <w:t>。</w:t>
      </w:r>
      <w:r>
        <w:rPr>
          <w:rFonts w:ascii="Times New Roman" w:hAnsi="Times New Roman" w:eastAsia="宋体"/>
          <w:b w:val="0"/>
          <w:color w:val="1A1A1A"/>
          <w:sz w:val="21"/>
          <w:vertAlign w:val="superscript"/>
        </w:rPr>
        <w:t>[1]</w:t>
      </w:r>
      <w:r>
        <w:rPr>
          <w:rFonts w:ascii="Times New Roman" w:hAnsi="Times New Roman" w:eastAsia="宋体"/>
          <w:b w:val="0"/>
          <w:color w:val="1A1A1A"/>
          <w:sz w:val="21"/>
        </w:rPr>
        <w:t xml:space="preserve"> </w:t>
      </w:r>
      <w:r>
        <w:rPr>
          <w:rFonts w:ascii="Times New Roman" w:hAnsi="Times New Roman" w:eastAsia="宋体"/>
          <w:b w:val="0"/>
          <w:color w:val="1A1A1A"/>
          <w:sz w:val="21"/>
          <w:vertAlign w:val="superscript"/>
        </w:rPr>
        <w:t>[2]</w:t>
      </w:r>
      <w:r>
        <w:rPr>
          <w:rFonts w:ascii="Times New Roman" w:hAnsi="Times New Roman" w:eastAsia="宋体"/>
          <w:b w:val="0"/>
          <w:color w:val="1A1A1A"/>
          <w:sz w:val="21"/>
        </w:rPr>
        <w:t xml:space="preserve"> </w:t>
      </w:r>
      <w:r>
        <w:rPr>
          <w:rFonts w:ascii="Times New Roman" w:hAnsi="Times New Roman" w:eastAsia="宋体"/>
          <w:b w:val="0"/>
          <w:color w:val="1A1A1A"/>
          <w:sz w:val="21"/>
          <w:vertAlign w:val="superscript"/>
        </w:rPr>
        <w:t>[3]</w:t>
      </w:r>
    </w:p>
    <w:p>
      <w:pPr>
        <w:spacing w:after="120" w:before="0" w:line="348" w:lineRule="auto"/>
      </w:pPr>
      <w:r>
        <w:rPr>
          <w:rFonts w:ascii="Times New Roman" w:hAnsi="Times New Roman" w:eastAsia="宋体"/>
          <w:b/>
          <w:color w:val="1A1A1A"/>
          <w:sz w:val="21"/>
        </w:rPr>
        <w:t>判定二（对未确诊者"床头常备"建议）</w:t>
      </w:r>
      <w:r>
        <w:rPr>
          <w:rFonts w:ascii="Times New Roman" w:hAnsi="Times New Roman" w:eastAsia="宋体"/>
          <w:b w:val="0"/>
          <w:color w:val="1A1A1A"/>
          <w:sz w:val="21"/>
        </w:rPr>
        <w:t>：三条判定条件中——(a) 说明书适应症（气滞血瘀型冠心病、心绞痛）不含"未确诊者晨起头晕胸闷"，亦无未确诊人群前瞻研究，</w:t>
      </w:r>
      <w:r>
        <w:rPr>
          <w:rFonts w:ascii="Times New Roman" w:hAnsi="Times New Roman" w:eastAsia="宋体"/>
          <w:b/>
          <w:color w:val="1A1A1A"/>
          <w:sz w:val="21"/>
        </w:rPr>
        <w:t>不满足</w:t>
      </w:r>
      <w:r>
        <w:rPr>
          <w:rFonts w:ascii="Times New Roman" w:hAnsi="Times New Roman" w:eastAsia="宋体"/>
          <w:b w:val="0"/>
          <w:color w:val="1A1A1A"/>
          <w:sz w:val="21"/>
        </w:rPr>
        <w:t>；(b) 不存在"常备与不常备"直接结局比较证据，</w:t>
      </w:r>
      <w:r>
        <w:rPr>
          <w:rFonts w:ascii="Times New Roman" w:hAnsi="Times New Roman" w:eastAsia="宋体"/>
          <w:b/>
          <w:color w:val="1A1A1A"/>
          <w:sz w:val="21"/>
        </w:rPr>
        <w:t>不满足</w:t>
      </w:r>
      <w:r>
        <w:rPr>
          <w:rFonts w:ascii="Times New Roman" w:hAnsi="Times New Roman" w:eastAsia="宋体"/>
          <w:b w:val="0"/>
          <w:color w:val="1A1A1A"/>
          <w:sz w:val="21"/>
        </w:rPr>
        <w:t>；(c) 无证据显示常备不延长就医延迟，且自我处置倾向与症状归因偏倚、就医延迟相关，</w:t>
      </w:r>
      <w:r>
        <w:rPr>
          <w:rFonts w:ascii="Times New Roman" w:hAnsi="Times New Roman" w:eastAsia="宋体"/>
          <w:b/>
          <w:color w:val="1A1A1A"/>
          <w:sz w:val="21"/>
        </w:rPr>
        <w:t>不满足</w:t>
      </w:r>
      <w:r>
        <w:rPr>
          <w:rFonts w:ascii="Times New Roman" w:hAnsi="Times New Roman" w:eastAsia="宋体"/>
          <w:b w:val="0"/>
          <w:color w:val="1A1A1A"/>
          <w:sz w:val="21"/>
        </w:rPr>
        <w:t>。结论：</w:t>
      </w:r>
      <w:r>
        <w:rPr>
          <w:rFonts w:ascii="Times New Roman" w:hAnsi="Times New Roman" w:eastAsia="宋体"/>
          <w:b/>
          <w:color w:val="1A1A1A"/>
          <w:sz w:val="21"/>
        </w:rPr>
        <w:t>现有证据不支持"未确诊人群床头常备速效救心丸"的建议</w:t>
      </w:r>
      <w:r>
        <w:rPr>
          <w:rFonts w:ascii="Times New Roman" w:hAnsi="Times New Roman" w:eastAsia="宋体"/>
          <w:b w:val="0"/>
          <w:color w:val="1A1A1A"/>
          <w:sz w:val="21"/>
        </w:rPr>
        <w:t>；缺失项为 (a) 说明书/人群边界证据、(b) 结局比较证据、(c) 延迟安全证据。</w:t>
      </w:r>
      <w:r>
        <w:rPr>
          <w:rFonts w:ascii="Times New Roman" w:hAnsi="Times New Roman" w:eastAsia="宋体"/>
          <w:b w:val="0"/>
          <w:color w:val="1A1A1A"/>
          <w:sz w:val="21"/>
          <w:vertAlign w:val="superscript"/>
        </w:rPr>
        <w:t>[12]</w:t>
      </w:r>
      <w:r>
        <w:rPr>
          <w:rFonts w:ascii="Times New Roman" w:hAnsi="Times New Roman" w:eastAsia="宋体"/>
          <w:b w:val="0"/>
          <w:color w:val="1A1A1A"/>
          <w:sz w:val="21"/>
        </w:rPr>
        <w:t xml:space="preserve"> </w:t>
      </w:r>
      <w:r>
        <w:rPr>
          <w:rFonts w:ascii="Times New Roman" w:hAnsi="Times New Roman" w:eastAsia="宋体"/>
          <w:b w:val="0"/>
          <w:color w:val="1A1A1A"/>
          <w:sz w:val="21"/>
          <w:vertAlign w:val="superscript"/>
        </w:rPr>
        <w:t>[10]</w:t>
      </w:r>
      <w:r>
        <w:rPr>
          <w:rFonts w:ascii="Times New Roman" w:hAnsi="Times New Roman" w:eastAsia="宋体"/>
          <w:b w:val="0"/>
          <w:color w:val="1A1A1A"/>
          <w:sz w:val="21"/>
        </w:rPr>
        <w:t xml:space="preserve"> </w:t>
      </w:r>
      <w:r>
        <w:rPr>
          <w:rFonts w:ascii="Times New Roman" w:hAnsi="Times New Roman" w:eastAsia="宋体"/>
          <w:b w:val="0"/>
          <w:color w:val="1A1A1A"/>
          <w:sz w:val="21"/>
          <w:vertAlign w:val="superscript"/>
        </w:rPr>
        <w:t>[15]</w:t>
      </w:r>
      <w:r>
        <w:rPr>
          <w:rFonts w:ascii="Times New Roman" w:hAnsi="Times New Roman" w:eastAsia="宋体"/>
          <w:b w:val="0"/>
          <w:color w:val="1A1A1A"/>
          <w:sz w:val="21"/>
        </w:rPr>
        <w:t xml:space="preserve"> </w:t>
      </w:r>
      <w:r>
        <w:rPr>
          <w:rFonts w:ascii="Times New Roman" w:hAnsi="Times New Roman" w:eastAsia="宋体"/>
          <w:b w:val="0"/>
          <w:color w:val="1A1A1A"/>
          <w:sz w:val="21"/>
          <w:vertAlign w:val="superscript"/>
        </w:rPr>
        <w:t>[8]</w:t>
      </w:r>
    </w:p>
    <w:p>
      <w:pPr>
        <w:spacing w:after="120" w:before="0" w:line="348" w:lineRule="auto"/>
        <w:ind w:firstLine="420"/>
      </w:pPr>
      <w:r>
        <w:rPr>
          <w:rFonts w:ascii="Times New Roman" w:hAnsi="Times New Roman" w:eastAsia="宋体"/>
          <w:b w:val="0"/>
          <w:color w:val="1A1A1A"/>
          <w:sz w:val="21"/>
        </w:rPr>
        <w:t>速效救心丸在已确诊冠心病心绞痛人群中的疗效与安全性证据（meta 分析 RR 1.32，95%CI 1.26–1.38；2024 年 RCT OR 2.43，95%CI 1.32–4.47）不能外推为未确诊人群的预防性/备用性使用依据；由人群晨峰时间分布推断个体应当备药属生态学谬误，本报告已在"推导与外推"节显式拆解。</w:t>
      </w:r>
      <w:r>
        <w:rPr>
          <w:rFonts w:ascii="Times New Roman" w:hAnsi="Times New Roman" w:eastAsia="宋体"/>
          <w:b w:val="0"/>
          <w:color w:val="1A1A1A"/>
          <w:sz w:val="21"/>
          <w:vertAlign w:val="superscript"/>
        </w:rPr>
        <w:t>[12]</w:t>
      </w:r>
      <w:r>
        <w:rPr>
          <w:rFonts w:ascii="Times New Roman" w:hAnsi="Times New Roman" w:eastAsia="宋体"/>
          <w:b w:val="0"/>
          <w:color w:val="1A1A1A"/>
          <w:sz w:val="21"/>
        </w:rPr>
        <w:t xml:space="preserve"> </w:t>
      </w:r>
      <w:r>
        <w:rPr>
          <w:rFonts w:ascii="Times New Roman" w:hAnsi="Times New Roman" w:eastAsia="宋体"/>
          <w:b w:val="0"/>
          <w:color w:val="1A1A1A"/>
          <w:sz w:val="21"/>
          <w:vertAlign w:val="superscript"/>
        </w:rPr>
        <w:t>[11]</w:t>
      </w:r>
    </w:p>
    <w:p>
      <w:pPr>
        <w:spacing w:after="100" w:before="240" w:line="300" w:lineRule="auto"/>
      </w:pPr>
      <w:r>
        <w:rPr>
          <w:rFonts w:ascii="Times New Roman" w:hAnsi="Times New Roman" w:eastAsia="黑体"/>
          <w:b/>
          <w:color w:val="1A1A1A"/>
          <w:sz w:val="25"/>
        </w:rPr>
        <w:t>安全优先的实际处置</w:t>
      </w:r>
    </w:p>
    <w:p>
      <w:pPr>
        <w:spacing w:after="60" w:before="0" w:line="336" w:lineRule="auto"/>
        <w:ind w:left="340"/>
      </w:pPr>
      <w:r>
        <w:rPr>
          <w:rFonts w:ascii="Times New Roman" w:hAnsi="Times New Roman" w:eastAsia="宋体"/>
          <w:b w:val="0"/>
          <w:color w:val="1A1A1A"/>
          <w:sz w:val="21"/>
        </w:rPr>
        <w:t>1. 突发、持续不缓解或进行性加重的胸痛/胸闷不适，伴放射痛、出汗、恶心、头晕或气促，应立即呼叫急救（中国大陆拨打 120）并静息等待；可能是心脏病发作，需要立即住院治疗。</w:t>
      </w:r>
      <w:r>
        <w:rPr>
          <w:rFonts w:ascii="Times New Roman" w:hAnsi="Times New Roman" w:eastAsia="宋体"/>
          <w:b w:val="0"/>
          <w:color w:val="1A1A1A"/>
          <w:sz w:val="21"/>
          <w:vertAlign w:val="superscript"/>
        </w:rPr>
        <w:t>[16]</w:t>
      </w:r>
    </w:p>
    <w:p>
      <w:pPr>
        <w:spacing w:after="60" w:before="0" w:line="336" w:lineRule="auto"/>
        <w:ind w:left="340"/>
      </w:pPr>
      <w:r>
        <w:rPr>
          <w:rFonts w:ascii="Times New Roman" w:hAnsi="Times New Roman" w:eastAsia="宋体"/>
          <w:b w:val="0"/>
          <w:color w:val="1A1A1A"/>
          <w:sz w:val="21"/>
        </w:rPr>
        <w:t>2. 任何自救用药（包括速效救心丸、硝酸甘油等）均不得作为延迟呼叫急救的理由；无论是否服药，达到呼救标准即应立即呼救，不得以症状是否缓解作为判断是否需要急救的依据。</w:t>
      </w:r>
      <w:r>
        <w:rPr>
          <w:rFonts w:ascii="Times New Roman" w:hAnsi="Times New Roman" w:eastAsia="宋体"/>
          <w:b w:val="0"/>
          <w:color w:val="1A1A1A"/>
          <w:sz w:val="21"/>
          <w:vertAlign w:val="superscript"/>
        </w:rPr>
        <w:t>[16]</w:t>
      </w:r>
      <w:r>
        <w:rPr>
          <w:rFonts w:ascii="Times New Roman" w:hAnsi="Times New Roman" w:eastAsia="宋体"/>
          <w:b w:val="0"/>
          <w:color w:val="1A1A1A"/>
          <w:sz w:val="21"/>
        </w:rPr>
        <w:t xml:space="preserve"> </w:t>
      </w:r>
      <w:r>
        <w:rPr>
          <w:rFonts w:ascii="Times New Roman" w:hAnsi="Times New Roman" w:eastAsia="宋体"/>
          <w:b w:val="0"/>
          <w:color w:val="1A1A1A"/>
          <w:sz w:val="21"/>
          <w:vertAlign w:val="superscript"/>
        </w:rPr>
        <w:t>[9]</w:t>
      </w:r>
    </w:p>
    <w:p>
      <w:pPr>
        <w:spacing w:after="60" w:before="0" w:line="336" w:lineRule="auto"/>
        <w:ind w:left="340"/>
      </w:pPr>
      <w:r>
        <w:rPr>
          <w:rFonts w:ascii="Times New Roman" w:hAnsi="Times New Roman" w:eastAsia="宋体"/>
          <w:b w:val="0"/>
          <w:color w:val="1A1A1A"/>
          <w:sz w:val="21"/>
        </w:rPr>
        <w:t>3. 含服药物后症状缓解与否不能区分心源性与非心源性胸痛（灵敏度 72%、特异度 37%、阳性似然比 1.1），不能据此排除急性冠脉综合征。</w:t>
      </w:r>
      <w:r>
        <w:rPr>
          <w:rFonts w:ascii="Times New Roman" w:hAnsi="Times New Roman" w:eastAsia="宋体"/>
          <w:b w:val="0"/>
          <w:color w:val="1A1A1A"/>
          <w:sz w:val="21"/>
          <w:vertAlign w:val="superscript"/>
        </w:rPr>
        <w:t>[9]</w:t>
      </w:r>
    </w:p>
    <w:p>
      <w:pPr>
        <w:spacing w:after="60" w:before="0" w:line="336" w:lineRule="auto"/>
        <w:ind w:left="340"/>
      </w:pPr>
      <w:r>
        <w:rPr>
          <w:rFonts w:ascii="Times New Roman" w:hAnsi="Times New Roman" w:eastAsia="宋体"/>
          <w:b w:val="0"/>
          <w:color w:val="1A1A1A"/>
          <w:sz w:val="21"/>
        </w:rPr>
        <w:t>4. 未确诊者不应把"晨起头晕、胸闷"默认为心绞痛前兆而自行处置；症状持续或加重时应接受急诊评估，包括心电图与心肌标志物检测。</w:t>
      </w:r>
      <w:r>
        <w:rPr>
          <w:rFonts w:ascii="Times New Roman" w:hAnsi="Times New Roman" w:eastAsia="宋体"/>
          <w:b w:val="0"/>
          <w:color w:val="1A1A1A"/>
          <w:sz w:val="21"/>
          <w:vertAlign w:val="superscript"/>
        </w:rPr>
        <w:t>[13]</w:t>
      </w:r>
    </w:p>
    <w:p>
      <w:pPr>
        <w:spacing w:after="60" w:before="0" w:line="336" w:lineRule="auto"/>
        <w:ind w:left="340"/>
      </w:pPr>
      <w:r>
        <w:rPr>
          <w:rFonts w:ascii="Times New Roman" w:hAnsi="Times New Roman" w:eastAsia="宋体"/>
          <w:b w:val="0"/>
          <w:color w:val="1A1A1A"/>
          <w:sz w:val="21"/>
        </w:rPr>
        <w:t>5. 速效救心丸按说明书仅适用于其适应症人群（气滞血瘀型冠心病、心绞痛，通常为已确诊患者）；未确诊人群凭晨峰现象常备或预防性服用缺乏证据，不应作为家庭常备决策的依据。</w:t>
      </w:r>
      <w:r>
        <w:rPr>
          <w:rFonts w:ascii="Times New Roman" w:hAnsi="Times New Roman" w:eastAsia="宋体"/>
          <w:b w:val="0"/>
          <w:color w:val="1A1A1A"/>
          <w:sz w:val="21"/>
          <w:vertAlign w:val="superscript"/>
        </w:rPr>
        <w:t>[10]</w:t>
      </w:r>
      <w:r>
        <w:rPr>
          <w:rFonts w:ascii="Times New Roman" w:hAnsi="Times New Roman" w:eastAsia="宋体"/>
          <w:b w:val="0"/>
          <w:color w:val="1A1A1A"/>
          <w:sz w:val="21"/>
        </w:rPr>
        <w:t xml:space="preserve"> </w:t>
      </w:r>
      <w:r>
        <w:rPr>
          <w:rFonts w:ascii="Times New Roman" w:hAnsi="Times New Roman" w:eastAsia="宋体"/>
          <w:b w:val="0"/>
          <w:color w:val="1A1A1A"/>
          <w:sz w:val="21"/>
          <w:vertAlign w:val="superscript"/>
        </w:rPr>
        <w:t>[12]</w:t>
      </w:r>
    </w:p>
    <w:p>
      <w:pPr>
        <w:spacing w:after="60" w:before="0" w:line="336" w:lineRule="auto"/>
        <w:ind w:left="340"/>
      </w:pPr>
      <w:r>
        <w:rPr>
          <w:rFonts w:ascii="Times New Roman" w:hAnsi="Times New Roman" w:eastAsia="宋体"/>
          <w:b w:val="0"/>
          <w:color w:val="1A1A1A"/>
          <w:sz w:val="21"/>
        </w:rPr>
        <w:t>6. 症状不缓解、迅速恶化，或出现晕厥、大汗、呼吸困难等警示征象时，立即再次呼叫急救并启动旁人协助，不要等待。</w:t>
      </w:r>
      <w:r>
        <w:rPr>
          <w:rFonts w:ascii="Times New Roman" w:hAnsi="Times New Roman" w:eastAsia="宋体"/>
          <w:b w:val="0"/>
          <w:color w:val="1A1A1A"/>
          <w:sz w:val="21"/>
          <w:vertAlign w:val="superscript"/>
        </w:rPr>
        <w:t>[16]</w:t>
      </w:r>
    </w:p>
    <w:p>
      <w:pPr>
        <w:spacing w:after="60" w:before="0" w:line="336" w:lineRule="auto"/>
        <w:ind w:left="340"/>
      </w:pPr>
      <w:r>
        <w:rPr>
          <w:rFonts w:ascii="Times New Roman" w:hAnsi="Times New Roman" w:eastAsia="宋体"/>
          <w:b w:val="0"/>
          <w:color w:val="1A1A1A"/>
          <w:sz w:val="21"/>
        </w:rPr>
        <w:t>7. 胸痛常有许多非心脏原因（肌骨、消化、精神心理等），但"原因不明"本身必须由医疗评估确定，不要自我诊断。</w:t>
      </w:r>
      <w:r>
        <w:rPr>
          <w:rFonts w:ascii="Times New Roman" w:hAnsi="Times New Roman" w:eastAsia="宋体"/>
          <w:b w:val="0"/>
          <w:color w:val="1A1A1A"/>
          <w:sz w:val="21"/>
          <w:vertAlign w:val="superscript"/>
        </w:rPr>
        <w:t>[16]</w:t>
      </w:r>
      <w:r>
        <w:rPr>
          <w:rFonts w:ascii="Times New Roman" w:hAnsi="Times New Roman" w:eastAsia="宋体"/>
          <w:b w:val="0"/>
          <w:color w:val="1A1A1A"/>
          <w:sz w:val="21"/>
        </w:rPr>
        <w:t xml:space="preserve"> </w:t>
      </w:r>
      <w:r>
        <w:rPr>
          <w:rFonts w:ascii="Times New Roman" w:hAnsi="Times New Roman" w:eastAsia="宋体"/>
          <w:b w:val="0"/>
          <w:color w:val="1A1A1A"/>
          <w:sz w:val="21"/>
          <w:vertAlign w:val="superscript"/>
        </w:rPr>
        <w:t>[13]</w:t>
      </w:r>
    </w:p>
    <w:p>
      <w:pPr>
        <w:spacing w:after="60" w:before="0" w:line="336" w:lineRule="auto"/>
        <w:ind w:left="340"/>
      </w:pPr>
      <w:r>
        <w:rPr>
          <w:rFonts w:ascii="Times New Roman" w:hAnsi="Times New Roman" w:eastAsia="宋体"/>
          <w:b w:val="0"/>
          <w:color w:val="1A1A1A"/>
          <w:sz w:val="21"/>
        </w:rPr>
        <w:t>8. 速效救心丸不得延误急救：服用它不是等待的理由——急救电话（中国大陆 120）应与用药同时呼叫，而不是在用药之后再呼叫；任何情况下先呼救、同时用药。</w:t>
      </w:r>
      <w:r>
        <w:rPr>
          <w:rFonts w:ascii="Times New Roman" w:hAnsi="Times New Roman" w:eastAsia="宋体"/>
          <w:b w:val="0"/>
          <w:color w:val="1A1A1A"/>
          <w:sz w:val="21"/>
          <w:vertAlign w:val="superscript"/>
        </w:rPr>
        <w:t>[16]</w:t>
      </w:r>
      <w:r>
        <w:rPr>
          <w:rFonts w:ascii="Times New Roman" w:hAnsi="Times New Roman" w:eastAsia="宋体"/>
          <w:b w:val="0"/>
          <w:color w:val="1A1A1A"/>
          <w:sz w:val="21"/>
        </w:rPr>
        <w:t xml:space="preserve"> </w:t>
      </w:r>
      <w:r>
        <w:rPr>
          <w:rFonts w:ascii="Times New Roman" w:hAnsi="Times New Roman" w:eastAsia="宋体"/>
          <w:b w:val="0"/>
          <w:color w:val="1A1A1A"/>
          <w:sz w:val="21"/>
          <w:vertAlign w:val="superscript"/>
        </w:rPr>
        <w:t>[9]</w:t>
      </w:r>
    </w:p>
    <w:p>
      <w:pPr>
        <w:spacing w:after="100" w:before="240" w:line="300" w:lineRule="auto"/>
      </w:pPr>
      <w:r>
        <w:rPr>
          <w:rFonts w:ascii="Times New Roman" w:hAnsi="Times New Roman" w:eastAsia="黑体"/>
          <w:b/>
          <w:color w:val="1A1A1A"/>
          <w:sz w:val="25"/>
        </w:rPr>
        <w:t>参考文献</w:t>
      </w:r>
    </w:p>
    <w:p>
      <w:pPr>
        <w:spacing w:after="60" w:before="0" w:line="336" w:lineRule="auto"/>
        <w:ind w:left="340"/>
      </w:pPr>
      <w:r>
        <w:rPr>
          <w:rFonts w:ascii="Times New Roman" w:hAnsi="Times New Roman" w:eastAsia="宋体"/>
          <w:b w:val="0"/>
          <w:color w:val="1A1A1A"/>
          <w:sz w:val="21"/>
        </w:rPr>
        <w:t>1. Xin M, Zhang S, Zhao L, Jin X, Kim W, Cheng XW. Circadian and seasonal variation in onset of acute myocardial infarction. Medicine (Baltimore). 2022;101(28):e29839. doi:10.1097/MD.0000000000029839. PMID:35839036. URL:https://pubmed.ncbi.nlm.nih.gov/35839036/</w:t>
      </w:r>
    </w:p>
    <w:p>
      <w:pPr>
        <w:spacing w:after="60" w:before="0" w:line="336" w:lineRule="auto"/>
        <w:ind w:left="340"/>
      </w:pPr>
      <w:r>
        <w:rPr>
          <w:rFonts w:ascii="Times New Roman" w:hAnsi="Times New Roman" w:eastAsia="宋体"/>
          <w:b w:val="0"/>
          <w:color w:val="1A1A1A"/>
          <w:sz w:val="21"/>
        </w:rPr>
        <w:t>2. Yao PC, Li MH, Chen M, et al. Circadian variation pattern of sudden cardiac arrest occurred in Chinese community. Open Heart. 2024;11(2):e002904. doi:10.1136/openhrt-2024-002904. PMID:39414308. URL:https://pubmed.ncbi.nlm.nih.gov/39414308/</w:t>
      </w:r>
    </w:p>
    <w:p>
      <w:pPr>
        <w:spacing w:after="60" w:before="0" w:line="336" w:lineRule="auto"/>
        <w:ind w:left="340"/>
      </w:pPr>
      <w:r>
        <w:rPr>
          <w:rFonts w:ascii="Times New Roman" w:hAnsi="Times New Roman" w:eastAsia="宋体"/>
          <w:b w:val="0"/>
          <w:color w:val="1A1A1A"/>
          <w:sz w:val="21"/>
        </w:rPr>
        <w:t>3. Motokawa T, Honda S, Ikeda S, et al. Circadian variability and its influence on infarct size and clinical outcome among Japanese patients with acute myocardial infarction. Circ Rep. 2025;7(10):930-938. doi:10.1253/circrep.CR-25-0112. PMID:41081262. URL:https://pubmed.ncbi.nlm.nih.gov/41081262/</w:t>
      </w:r>
    </w:p>
    <w:p>
      <w:pPr>
        <w:spacing w:after="60" w:before="0" w:line="336" w:lineRule="auto"/>
        <w:ind w:left="340"/>
      </w:pPr>
      <w:r>
        <w:rPr>
          <w:rFonts w:ascii="Times New Roman" w:hAnsi="Times New Roman" w:eastAsia="宋体"/>
          <w:b w:val="0"/>
          <w:color w:val="1A1A1A"/>
          <w:sz w:val="21"/>
        </w:rPr>
        <w:t>4. Heidari P, Heidari N, Khazaie H, et al. Relationship between stroke onset timing and clinical outcomes in ischemic and hemorrhagic strokes: a systematic review. Int J Cardiol Cardiovasc Risk Prev. 2025;28:200559. doi:10.1016/j.ijcrp.2025.200559. PMID:41503592. URL:https://pubmed.ncbi.nlm.nih.gov/41503592/</w:t>
      </w:r>
    </w:p>
    <w:p>
      <w:pPr>
        <w:spacing w:after="60" w:before="0" w:line="336" w:lineRule="auto"/>
        <w:ind w:left="340"/>
      </w:pPr>
      <w:r>
        <w:rPr>
          <w:rFonts w:ascii="Times New Roman" w:hAnsi="Times New Roman" w:eastAsia="宋体"/>
          <w:b w:val="0"/>
          <w:color w:val="1A1A1A"/>
          <w:sz w:val="21"/>
        </w:rPr>
        <w:t>5. Bilo G, Grillo A, Guida V, Parati G. Morning blood pressure surge: pathophysiology, clinical relevance and therapeutic aspects. Integr Blood Press Control. 2018;11:47. doi:10.2147/IBPC.S130277. PMID:29872338. URL:https://pubmed.ncbi.nlm.nih.gov/29872338/</w:t>
      </w:r>
    </w:p>
    <w:p>
      <w:pPr>
        <w:spacing w:after="60" w:before="0" w:line="336" w:lineRule="auto"/>
        <w:ind w:left="340"/>
      </w:pPr>
      <w:r>
        <w:rPr>
          <w:rFonts w:ascii="Times New Roman" w:hAnsi="Times New Roman" w:eastAsia="宋体"/>
          <w:b w:val="0"/>
          <w:color w:val="1A1A1A"/>
          <w:sz w:val="21"/>
        </w:rPr>
        <w:t>6. Ibrahim Z, Murphy RP, Guillaume GC, Arya R, Goswami N. Circadian clock regulation of hemostasis: a systematic review of molecular pathways. Res Pract Thromb Haemost. 2026;10(4):106642. doi:10.1016/j.rpth.2026.106642. PMID:42293739. URL:https://pubmed.ncbi.nlm.nih.gov/42293739/</w:t>
      </w:r>
    </w:p>
    <w:p>
      <w:pPr>
        <w:spacing w:after="60" w:before="0" w:line="336" w:lineRule="auto"/>
        <w:ind w:left="340"/>
      </w:pPr>
      <w:r>
        <w:rPr>
          <w:rFonts w:ascii="Times New Roman" w:hAnsi="Times New Roman" w:eastAsia="宋体"/>
          <w:b w:val="0"/>
          <w:color w:val="1A1A1A"/>
          <w:sz w:val="21"/>
        </w:rPr>
        <w:t>7. Li S, Hu S, Liao Y, Yao M, Ren L. The influence of circadian onset time on admission severity in acute ischemic stroke: a retrospective cohort study. J Cent Nerv Syst Dis. 2026;18:11795735261421368. doi:10.1177/11795735261421368. PMID:41695243. URL:https://pubmed.ncbi.nlm.nih.gov/41695243/</w:t>
      </w:r>
    </w:p>
    <w:p>
      <w:pPr>
        <w:spacing w:after="60" w:before="0" w:line="336" w:lineRule="auto"/>
        <w:ind w:left="340"/>
      </w:pPr>
      <w:r>
        <w:rPr>
          <w:rFonts w:ascii="Times New Roman" w:hAnsi="Times New Roman" w:eastAsia="宋体"/>
          <w:b w:val="0"/>
          <w:color w:val="1A1A1A"/>
          <w:sz w:val="21"/>
        </w:rPr>
        <w:t>8. Scholz KH, Meyer T, Lengenfelder B, et al. Patient delay and benefit of timely reperfusion in ST-segment elevation myocardial infarction. Open Heart. 2021;8(1):e001650. doi:10.1136/openhrt-2021-001650. PMID:33958491. URL:https://pubmed.ncbi.nlm.nih.gov/33958491/</w:t>
      </w:r>
    </w:p>
    <w:p>
      <w:pPr>
        <w:spacing w:after="60" w:before="0" w:line="336" w:lineRule="auto"/>
        <w:ind w:left="340"/>
      </w:pPr>
      <w:r>
        <w:rPr>
          <w:rFonts w:ascii="Times New Roman" w:hAnsi="Times New Roman" w:eastAsia="宋体"/>
          <w:b w:val="0"/>
          <w:color w:val="1A1A1A"/>
          <w:sz w:val="21"/>
        </w:rPr>
        <w:t>9. Steele R, McNaughton T, McConahy M, Lam J. Chest pain in emergency department patients: if the pain is relieved by nitroglycerin, is it more likely to be cardiac chest pain? CJEM. 2006;8(3):164-169. doi:10.1017/S1481803500013671. PMID:17320010. URL:https://pubmed.ncbi.nlm.nih.gov/17320010/</w:t>
      </w:r>
    </w:p>
    <w:p>
      <w:pPr>
        <w:spacing w:after="60" w:before="0" w:line="336" w:lineRule="auto"/>
        <w:ind w:left="340"/>
      </w:pPr>
      <w:r>
        <w:rPr>
          <w:rFonts w:ascii="Times New Roman" w:hAnsi="Times New Roman" w:eastAsia="宋体"/>
          <w:b w:val="0"/>
          <w:color w:val="1A1A1A"/>
          <w:sz w:val="21"/>
        </w:rPr>
        <w:t>10. Ruan X, Li Y, Sun Y, et al. Efficacy and safety of Suxiao Jiuxin Pill in the treatment of stable angina (Qi stagnation and blood stasis syndrome): study protocol of a randomized, double-blind, placebo-controlled, multi-center clinical trial. Trials. 2021;22(1):466. doi:10.1186/s13063-021-05448-6. PMID:34281600. URL:https://pubmed.ncbi.nlm.nih.gov/34281600/</w:t>
      </w:r>
    </w:p>
    <w:p>
      <w:pPr>
        <w:spacing w:after="60" w:before="0" w:line="336" w:lineRule="auto"/>
        <w:ind w:left="340"/>
      </w:pPr>
      <w:r>
        <w:rPr>
          <w:rFonts w:ascii="Times New Roman" w:hAnsi="Times New Roman" w:eastAsia="宋体"/>
          <w:b w:val="0"/>
          <w:color w:val="1A1A1A"/>
          <w:sz w:val="21"/>
        </w:rPr>
        <w:t>11. Hu Y, Wang Y, Wang S, et al. Efficacy and safety of Suxiao Jiuxin Pills in the treatment of chronic coronary syndrome with intolerance to adverse effects of long-acting nitrates: a multicenter, randomized, double-blind, placebo-controlled study. BMC Complement Med Ther. 2024;24(1):356. doi:10.1186/s12906-024-04661-5. PMID:39367481. URL:https://pubmed.ncbi.nlm.nih.gov/39367481/</w:t>
      </w:r>
    </w:p>
    <w:p>
      <w:pPr>
        <w:spacing w:after="60" w:before="0" w:line="336" w:lineRule="auto"/>
        <w:ind w:left="340"/>
      </w:pPr>
      <w:r>
        <w:rPr>
          <w:rFonts w:ascii="Times New Roman" w:hAnsi="Times New Roman" w:eastAsia="宋体"/>
          <w:b w:val="0"/>
          <w:color w:val="1A1A1A"/>
          <w:sz w:val="21"/>
        </w:rPr>
        <w:t>12. Ren L, Wang J, Feng L, Wang S, Li J. Efficacy of Suxiao Jiuxin Pill on coronary heart disease: a meta-analysis of randomized controlled trials. Evid Based Complement Alternat Med. 2018;2018:9745804. doi:10.1155/2018/9745804. PMID:29770157. URL:https://pubmed.ncbi.nlm.nih.gov/29770157/</w:t>
      </w:r>
    </w:p>
    <w:p>
      <w:pPr>
        <w:spacing w:after="60" w:before="0" w:line="336" w:lineRule="auto"/>
        <w:ind w:left="340"/>
      </w:pPr>
      <w:r>
        <w:rPr>
          <w:rFonts w:ascii="Times New Roman" w:hAnsi="Times New Roman" w:eastAsia="宋体"/>
          <w:b w:val="0"/>
          <w:color w:val="1A1A1A"/>
          <w:sz w:val="21"/>
        </w:rPr>
        <w:t>13. Wertli MM, Dangma TD, Müller SE, et al. Non-cardiac chest pain patients in the emergency department: do physicians have a plan how to diagnose and treat them? A retrospective study. PLoS One. 2019;14(2):e0211615. doi:10.1371/journal.pone.0211615. PMID:30707725. URL:https://pubmed.ncbi.nlm.nih.gov/30707725/</w:t>
      </w:r>
    </w:p>
    <w:p>
      <w:pPr>
        <w:spacing w:after="60" w:before="0" w:line="336" w:lineRule="auto"/>
        <w:ind w:left="340"/>
      </w:pPr>
      <w:r>
        <w:rPr>
          <w:rFonts w:ascii="Times New Roman" w:hAnsi="Times New Roman" w:eastAsia="宋体"/>
          <w:b w:val="0"/>
          <w:color w:val="1A1A1A"/>
          <w:sz w:val="21"/>
        </w:rPr>
        <w:t>14. Mateen S, Masakputra V, Siddiqi Z, Fatima J. Incidence, pattern, causes, and outcome of acute chest pain among patients presenting in the emergency department of a tertiary care hospital in North India. Cureus. 2024;16(3):e56115. doi:10.7759/cureus.56115. PMID:38618438. URL:https://pubmed.ncbi.nlm.nih.gov/38618438/</w:t>
      </w:r>
    </w:p>
    <w:p>
      <w:pPr>
        <w:spacing w:after="60" w:before="0" w:line="336" w:lineRule="auto"/>
        <w:ind w:left="340"/>
      </w:pPr>
      <w:r>
        <w:rPr>
          <w:rFonts w:ascii="Times New Roman" w:hAnsi="Times New Roman" w:eastAsia="宋体"/>
          <w:b w:val="0"/>
          <w:color w:val="1A1A1A"/>
          <w:sz w:val="21"/>
        </w:rPr>
        <w:t>15. Pate A, Leeman-Castillo BA, Krantz MJ. Treatment-seeking delay among Hispanic and non-Hispanic women with acute myocardial infarction. Health Equity. 2019;3(1):287-296. doi:10.1089/heq.2018.0046. PMID:31312779. URL:https://pubmed.ncbi.nlm.nih.gov/31312779/</w:t>
      </w:r>
    </w:p>
    <w:p>
      <w:pPr>
        <w:spacing w:after="60" w:before="0" w:line="336" w:lineRule="auto"/>
        <w:ind w:left="340"/>
      </w:pPr>
      <w:r>
        <w:rPr>
          <w:rFonts w:ascii="Times New Roman" w:hAnsi="Times New Roman" w:eastAsia="宋体"/>
          <w:b w:val="0"/>
          <w:color w:val="1A1A1A"/>
          <w:sz w:val="21"/>
        </w:rPr>
        <w:t>16. NHS. Chest pain [Internet]. London: National Health Service; page last reviewed 8 August 2023. URL:https://www.nhs.uk/symptoms/chest-pain/</w:t>
      </w:r>
    </w:p>
    <w:p>
      <w:pPr>
        <w:spacing w:after="60" w:before="0" w:line="336" w:lineRule="auto"/>
        <w:ind w:left="340"/>
      </w:pPr>
      <w:r>
        <w:rPr>
          <w:rFonts w:ascii="Times New Roman" w:hAnsi="Times New Roman" w:eastAsia="宋体"/>
          <w:b w:val="0"/>
          <w:color w:val="1A1A1A"/>
          <w:sz w:val="21"/>
        </w:rPr>
        <w:t>17. 国家药品监督管理局. 药品查询数据库——速效救心丸说明书条目（经 EviMed NMPA 说明书索引获取；索引候选，官方现行版本核验中）. URL:https://www.nmpa.gov.cn/datasearch/home-index.html</w:t>
      </w:r>
    </w:p>
    <w:p>
      <w:pPr>
        <w:spacing w:after="60" w:before="0" w:line="336" w:lineRule="auto"/>
        <w:ind w:left="340"/>
      </w:pPr>
      <w:r>
        <w:rPr>
          <w:rFonts w:ascii="Times New Roman" w:hAnsi="Times New Roman" w:eastAsia="宋体"/>
          <w:b w:val="0"/>
          <w:color w:val="1A1A1A"/>
          <w:sz w:val="21"/>
        </w:rPr>
        <w:t>18. ClinicalTrials.gov. EleVation carE: a randomized controlled trial on the prevention of acute mountain sickness with Suxiao Jiuxin Pill. NCT06531161. URL:https://clinicaltrials.gov/ct2/show/NCT06531161</w:t>
      </w:r>
    </w:p>
    <w:p>
      <w:pPr>
        <w:spacing w:after="60" w:before="0" w:line="336" w:lineRule="auto"/>
        <w:ind w:left="340"/>
      </w:pPr>
      <w:r>
        <w:rPr>
          <w:rFonts w:ascii="Times New Roman" w:hAnsi="Times New Roman" w:eastAsia="宋体"/>
          <w:b w:val="0"/>
          <w:color w:val="1A1A1A"/>
          <w:sz w:val="21"/>
        </w:rPr>
        <w:t>19. ClinicalTrials.gov. Intervention of Suxiao Jiuxin Pill on instability of vulnerable plaque in acute myocardial infarction. NCT05466968. URL:https://clinicaltrials.gov/ct2/show/NCT05466968</w:t>
      </w:r>
    </w:p>
    <w:sectPr w:rsidR="00FC693F" w:rsidRPr="0006063C" w:rsidSect="00034616">
      <w:pgSz w:w="12240" w:h="15840"/>
      <w:pgMar w:top="1361" w:right="1474" w:bottom="1361" w:left="147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