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心源性与非心源性胸痛鉴别要素的判别效能及指南分诊路径的一致性：症状学特征能否替代客观检查完成院外风险分层的证据评价</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结论（底线先行）</w:t>
      </w:r>
      <w:r>
        <w:rPr>
          <w:rFonts w:ascii="Times New Roman" w:hAnsi="Times New Roman" w:eastAsia="宋体"/>
          <w:b w:val="0"/>
          <w:color w:val="1A1A1A"/>
          <w:sz w:val="21"/>
        </w:rPr>
        <w:t>：症状学特征能够改变心源性与非心源性胸痛的概率判断，但没有任何单项特征或组合特征、也没有任何以症状为基础的评分工具，达到"可接受漏诊率 ≤1%"的院外安全排除阈值；现行指南分诊路径在"先完成心源性排查（心电图＋序贯高敏肌钙蛋白）再进行消化系统病因评估"的次序上高度一致，且不认可把含服硝酸酯或抑酸药后的症状缓解作为病因归属或排除心源性的依据。</w:t>
      </w:r>
      <w:r>
        <w:rPr>
          <w:rFonts w:ascii="Times New Roman" w:hAnsi="Times New Roman" w:eastAsia="宋体"/>
          <w:b w:val="0"/>
          <w:color w:val="1A1A1A"/>
          <w:sz w:val="21"/>
          <w:vertAlign w:val="superscript"/>
        </w:rPr>
        <w:t>[7]</w:t>
      </w:r>
    </w:p>
    <w:p>
      <w:pPr>
        <w:spacing w:after="120" w:before="0" w:line="348" w:lineRule="auto"/>
        <w:ind w:firstLine="420"/>
      </w:pPr>
      <w:r>
        <w:rPr>
          <w:rFonts w:ascii="Times New Roman" w:hAnsi="Times New Roman" w:eastAsia="宋体"/>
          <w:b w:val="0"/>
          <w:color w:val="1A1A1A"/>
          <w:sz w:val="21"/>
        </w:rPr>
        <w:t>基层医疗机构中，因胸痛就诊者最终诊断为急性冠脉综合征（ACS）的比例仅为 1.5% 至 3.6%。</w:t>
      </w:r>
      <w:r>
        <w:rPr>
          <w:rFonts w:ascii="Times New Roman" w:hAnsi="Times New Roman" w:eastAsia="宋体"/>
          <w:b w:val="0"/>
          <w:color w:val="1A1A1A"/>
          <w:sz w:val="21"/>
          <w:vertAlign w:val="superscript"/>
        </w:rPr>
        <w:t>[3]</w:t>
      </w:r>
    </w:p>
    <w:p>
      <w:pPr>
        <w:spacing w:after="120" w:before="0" w:line="348" w:lineRule="auto"/>
        <w:ind w:firstLine="420"/>
      </w:pPr>
      <w:r>
        <w:rPr>
          <w:rFonts w:ascii="Times New Roman" w:hAnsi="Times New Roman" w:eastAsia="宋体"/>
          <w:b w:val="0"/>
          <w:color w:val="1A1A1A"/>
          <w:sz w:val="21"/>
        </w:rPr>
        <w:t>急诊就诊的胸痛患者中，ACS 约占美国病例的 5.1%、挪威病例的 12%；因胸痛住院者中仅约 25% 最终确诊 ACS。</w:t>
      </w:r>
      <w:r>
        <w:rPr>
          <w:rFonts w:ascii="Times New Roman" w:hAnsi="Times New Roman" w:eastAsia="宋体"/>
          <w:b w:val="0"/>
          <w:color w:val="1A1A1A"/>
          <w:sz w:val="21"/>
          <w:vertAlign w:val="superscript"/>
        </w:rPr>
        <w:t>[6]</w:t>
      </w:r>
    </w:p>
    <w:p>
      <w:pPr>
        <w:spacing w:after="120" w:before="0" w:line="348" w:lineRule="auto"/>
        <w:ind w:firstLine="420"/>
      </w:pPr>
      <w:r>
        <w:rPr>
          <w:rFonts w:ascii="Times New Roman" w:hAnsi="Times New Roman" w:eastAsia="宋体"/>
          <w:b w:val="0"/>
          <w:color w:val="1A1A1A"/>
          <w:sz w:val="21"/>
        </w:rPr>
        <w:t>急诊胸痛患者中非心源性诊断占绝大多数：北爱尔兰一家综合医院三年数据中，58.7% 的胸痛就诊最终获得"焦虑、惊恐发作或原因不明胸痛"等非心脏性诊断，文献综述汇总的无明确诊断离院比例达 52% 至 77%。</w:t>
      </w:r>
      <w:r>
        <w:rPr>
          <w:rFonts w:ascii="Times New Roman" w:hAnsi="Times New Roman" w:eastAsia="宋体"/>
          <w:b w:val="0"/>
          <w:color w:val="1A1A1A"/>
          <w:sz w:val="21"/>
          <w:vertAlign w:val="superscript"/>
        </w:rPr>
        <w:t>[8]</w:t>
      </w:r>
    </w:p>
    <w:p>
      <w:pPr>
        <w:spacing w:after="120" w:before="0" w:line="348" w:lineRule="auto"/>
        <w:ind w:firstLine="420"/>
      </w:pPr>
      <w:r>
        <w:rPr>
          <w:rFonts w:ascii="Times New Roman" w:hAnsi="Times New Roman" w:eastAsia="宋体"/>
          <w:b w:val="0"/>
          <w:color w:val="1A1A1A"/>
          <w:sz w:val="21"/>
        </w:rPr>
        <w:t>在基层医疗机构，目前没有任何临床决策工具能够安全地排除 ACS；针对 ACS 的预测规则均未达到足够的敏感度。</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单项症状学特征与复合评分的判别效能有限：Marburg Heart Score 在基层的敏感度为 86%–91%、特异度 61%–81%，但仅适用于间歇性胸痛的冠心病（CAD）排除，无数据支持其排除 ACS。</w:t>
      </w:r>
      <w:r>
        <w:rPr>
          <w:rFonts w:ascii="Times New Roman" w:hAnsi="Times New Roman" w:eastAsia="宋体"/>
          <w:b w:val="0"/>
          <w:color w:val="1A1A1A"/>
          <w:sz w:val="21"/>
          <w:vertAlign w:val="superscript"/>
        </w:rPr>
        <w:t>[4]</w:t>
      </w:r>
    </w:p>
    <w:p>
      <w:pPr>
        <w:spacing w:after="120" w:before="0" w:line="348" w:lineRule="auto"/>
        <w:ind w:firstLine="420"/>
      </w:pPr>
      <w:r>
        <w:rPr>
          <w:rFonts w:ascii="Times New Roman" w:hAnsi="Times New Roman" w:eastAsia="宋体"/>
          <w:b w:val="0"/>
          <w:color w:val="1A1A1A"/>
          <w:sz w:val="21"/>
        </w:rPr>
        <w:t>评分工具在急诊的阴性预测值未达安全阈值：Marburg Heart Score 以 ≤2 分判定"低风险"时，对 ACS 的阴性预测值（NPV）为 95.6%（95%CI 94.0–97.2）；假阴性 28 例中包括 6 例 ST 段抬高型心肌梗死。</w:t>
      </w:r>
      <w:r>
        <w:rPr>
          <w:rFonts w:ascii="Times New Roman" w:hAnsi="Times New Roman" w:eastAsia="宋体"/>
          <w:b w:val="0"/>
          <w:color w:val="1A1A1A"/>
          <w:sz w:val="21"/>
          <w:vertAlign w:val="superscript"/>
        </w:rPr>
        <w:t>[6]</w:t>
      </w:r>
    </w:p>
    <w:p>
      <w:pPr>
        <w:spacing w:after="120" w:before="0" w:line="348" w:lineRule="auto"/>
        <w:ind w:firstLine="420"/>
      </w:pPr>
      <w:r>
        <w:rPr>
          <w:rFonts w:ascii="Times New Roman" w:hAnsi="Times New Roman" w:eastAsia="宋体"/>
          <w:b w:val="0"/>
          <w:color w:val="1A1A1A"/>
          <w:sz w:val="21"/>
        </w:rPr>
        <w:t>单次高敏肌钙蛋白不足以排除急性心肌梗死：以 14 ng/L 为界值时合并敏感度 89.5%（95%CI 86.3% 至 92.1%）、特异度 77.1%（95%CI 68.7% 至 83.7%）、阴性似然比 0.14。</w:t>
      </w:r>
      <w:r>
        <w:rPr>
          <w:rFonts w:ascii="Times New Roman" w:hAnsi="Times New Roman" w:eastAsia="宋体"/>
          <w:b w:val="0"/>
          <w:color w:val="1A1A1A"/>
          <w:sz w:val="21"/>
          <w:vertAlign w:val="superscript"/>
        </w:rPr>
        <w:t>[9]</w:t>
      </w:r>
    </w:p>
    <w:p>
      <w:pPr>
        <w:spacing w:after="120" w:before="0" w:line="348" w:lineRule="auto"/>
        <w:ind w:firstLine="420"/>
      </w:pPr>
      <w:r>
        <w:rPr>
          <w:rFonts w:ascii="Times New Roman" w:hAnsi="Times New Roman" w:eastAsia="宋体"/>
          <w:b w:val="0"/>
          <w:color w:val="1A1A1A"/>
          <w:sz w:val="21"/>
        </w:rPr>
        <w:t>在 21% 的患病率下，以 14 ng/L 为界值的单次 hs-cTnT 将漏诊 21 例心梗患者中的 2 至 3 例。</w:t>
      </w:r>
      <w:r>
        <w:rPr>
          <w:rFonts w:ascii="Times New Roman" w:hAnsi="Times New Roman" w:eastAsia="宋体"/>
          <w:b w:val="0"/>
          <w:color w:val="1A1A1A"/>
          <w:sz w:val="21"/>
          <w:vertAlign w:val="superscript"/>
        </w:rPr>
        <w:t>[9]</w:t>
      </w:r>
    </w:p>
    <w:p>
      <w:pPr>
        <w:spacing w:after="120" w:before="0" w:line="348" w:lineRule="auto"/>
        <w:ind w:firstLine="420"/>
      </w:pPr>
      <w:r>
        <w:rPr>
          <w:rFonts w:ascii="Times New Roman" w:hAnsi="Times New Roman" w:eastAsia="宋体"/>
          <w:b w:val="0"/>
          <w:color w:val="1A1A1A"/>
          <w:sz w:val="21"/>
        </w:rPr>
        <w:t>纳入序贯检测后可显著提高安全性：ESC 0/1 小时流程的合并敏感度为 99.3%（hs-cTnI 与 hs-cTnT 分别 98.5–99.7% 与 96.9–99.9%），在 30% 患病率下假阴性率约 2/1000；但该流程本身即以 0 小时和 1 小时两次高敏肌钙蛋白为要件，不含此要件时仍需 0/3 小时等序贯方案。</w:t>
      </w:r>
      <w:r>
        <w:rPr>
          <w:rFonts w:ascii="Times New Roman" w:hAnsi="Times New Roman" w:eastAsia="宋体"/>
          <w:b w:val="0"/>
          <w:color w:val="1A1A1A"/>
          <w:sz w:val="21"/>
          <w:vertAlign w:val="superscript"/>
        </w:rPr>
        <w:t>[10]</w:t>
      </w:r>
    </w:p>
    <w:p>
      <w:pPr>
        <w:spacing w:after="120" w:before="0" w:line="348" w:lineRule="auto"/>
        <w:ind w:firstLine="420"/>
      </w:pPr>
      <w:r>
        <w:rPr>
          <w:rFonts w:ascii="Times New Roman" w:hAnsi="Times New Roman" w:eastAsia="宋体"/>
          <w:b w:val="0"/>
          <w:color w:val="1A1A1A"/>
          <w:sz w:val="21"/>
        </w:rPr>
        <w:t>以漏诊率为终点的研究显示，即使纳入心电图与肌钙蛋白，仅含单次肌钙蛋白的 HEART 评分 30 天 MACE 漏诊率仍为 1.5%（超出 ≤1% 阈值），而纳入 0/1 小时动态肌钙蛋白的 D-HEART 为 1.0%、T-MACS 为 0.7%。</w:t>
      </w:r>
      <w:r>
        <w:rPr>
          <w:rFonts w:ascii="Times New Roman" w:hAnsi="Times New Roman" w:eastAsia="宋体"/>
          <w:b w:val="0"/>
          <w:color w:val="1A1A1A"/>
          <w:sz w:val="21"/>
          <w:vertAlign w:val="superscript"/>
        </w:rPr>
        <w:t>[13]</w:t>
      </w:r>
    </w:p>
    <w:p>
      <w:pPr>
        <w:spacing w:after="120" w:before="0" w:line="348" w:lineRule="auto"/>
        <w:ind w:firstLine="420"/>
      </w:pPr>
      <w:r>
        <w:rPr>
          <w:rFonts w:ascii="Times New Roman" w:hAnsi="Times New Roman" w:eastAsia="宋体"/>
          <w:b w:val="0"/>
          <w:color w:val="1A1A1A"/>
          <w:sz w:val="21"/>
        </w:rPr>
        <w:t>诊断性治疗试验不能作为病因归属依据：抑酸（PPI/P-CAB）试验的判别效能有限（PPI 试验在 GERD 中敏感度约 71%、特异度仅 44%；P-CAB 一周试验以症状缓解 &gt;75% 为界时敏感度 77.5%、特异度 51.9%），且此类试验的适应证研究均将"以胸痛为主诉"的患者排除在外。</w:t>
      </w:r>
      <w:r>
        <w:rPr>
          <w:rFonts w:ascii="Times New Roman" w:hAnsi="Times New Roman" w:eastAsia="宋体"/>
          <w:b w:val="0"/>
          <w:color w:val="1A1A1A"/>
          <w:sz w:val="21"/>
          <w:vertAlign w:val="superscript"/>
        </w:rPr>
        <w:t>[14]</w:t>
      </w:r>
    </w:p>
    <w:p>
      <w:pPr>
        <w:spacing w:after="120" w:before="0" w:line="348" w:lineRule="auto"/>
        <w:ind w:firstLine="420"/>
      </w:pPr>
      <w:r>
        <w:rPr>
          <w:rFonts w:ascii="Times New Roman" w:hAnsi="Times New Roman" w:eastAsia="宋体"/>
          <w:b w:val="0"/>
          <w:color w:val="1A1A1A"/>
          <w:sz w:val="21"/>
        </w:rPr>
        <w:t>对健康信息与症状自查工具的实证评价均以"内容正确性"为终点（正确诊断、正确分诊等级），而非"是否提及某内容"的提及率指标：23 个症状自查工具在 45 个标准化患者情景中的正确诊断率仅 34%（95%CI 31% 至 37%）、正确分诊率 57%（95%CI 52% 至 61%），急症情景的正确分诊率 80%（95%CI 75% 至 86%）。</w:t>
      </w:r>
      <w:r>
        <w:rPr>
          <w:rFonts w:ascii="Times New Roman" w:hAnsi="Times New Roman" w:eastAsia="宋体"/>
          <w:b w:val="0"/>
          <w:color w:val="1A1A1A"/>
          <w:sz w:val="21"/>
          <w:vertAlign w:val="superscript"/>
        </w:rPr>
        <w:t>[16]</w:t>
      </w:r>
    </w:p>
    <w:p>
      <w:pPr>
        <w:spacing w:after="120" w:before="0" w:line="348" w:lineRule="auto"/>
      </w:pPr>
      <w:r>
        <w:rPr>
          <w:rFonts w:ascii="Times New Roman" w:hAnsi="Times New Roman" w:eastAsia="宋体"/>
          <w:b/>
          <w:color w:val="1A1A1A"/>
          <w:sz w:val="21"/>
        </w:rPr>
        <w:t>证据强度</w:t>
      </w:r>
      <w:r>
        <w:rPr>
          <w:rFonts w:ascii="Times New Roman" w:hAnsi="Times New Roman" w:eastAsia="宋体"/>
          <w:b w:val="0"/>
          <w:color w:val="1A1A1A"/>
          <w:sz w:val="21"/>
        </w:rPr>
        <w:t>：中等。核心结论由多项前瞻性诊断准确性研究、系统评价/荟萃分析与权威指南交叉支撑；但高级别证据主要来自欧美基层与急诊场景，中国人群的直接证据（中国共识全文、中国急诊队列）在本研究环境中不可及，构成外推不确定性。</w:t>
      </w:r>
    </w:p>
    <w:p>
      <w:pPr>
        <w:spacing w:after="100" w:before="240" w:line="300" w:lineRule="auto"/>
      </w:pPr>
      <w:r>
        <w:rPr>
          <w:rFonts w:ascii="Times New Roman" w:hAnsi="Times New Roman" w:eastAsia="黑体"/>
          <w:b/>
          <w:color w:val="1A1A1A"/>
          <w:sz w:val="25"/>
        </w:rPr>
        <w:t>临床问题与判定条件</w:t>
      </w:r>
    </w:p>
    <w:p>
      <w:pPr>
        <w:spacing w:after="120" w:before="0" w:line="348" w:lineRule="auto"/>
        <w:ind w:firstLine="420"/>
      </w:pPr>
      <w:r>
        <w:rPr>
          <w:rFonts w:ascii="Times New Roman" w:hAnsi="Times New Roman" w:eastAsia="宋体"/>
          <w:b w:val="0"/>
          <w:color w:val="1A1A1A"/>
          <w:sz w:val="21"/>
        </w:rPr>
        <w:t>本报告回答题库语义问题"胸口疼（心口疼）的病因鉴别（心源性 vs. 胃源性等）"转化出的五个子问题：① 未选择胸痛人群的心源性/非心源性病因构成比及其场景差异；② 单项症状学特征与复合评分（HEART、Marburg Heart Score、EDACS 等）对 ACS 的判别效能，以及"与进食相关""针刺样、数秒即止""按压可复现"等特征能否在无心电图与肌钙蛋白时排除 ACS；③ "心电图正常即可排除心脏问题"的证据状态与单次心电图、单次肌钙蛋白的阴性预测值、现行连续检测与快速排除流程的界定；④ 现行指南（2021 AHA/ACC 胸痛评估与诊断指南、ESC 急性冠脉综合征指南、《急性胸痛急诊诊疗专家共识》及胃食管反流病相关指南）分诊路径的步骤、节点与时间阈值及其次序一致性，以及诊断性治疗试验（PPI 试验、含服硝酸酯后缓解）能否作为病因归属依据；⑤ 以内容正确性为终点（指南符合度、误分诊率、漏诊 ACS 比例）评价健康信息或分诊建议质量的方法学与实证，以及"鉴别引导率""就医优先率"这类提及率/强调率指标与内容正确性之间是否存在已发表的实证关联。</w:t>
      </w:r>
    </w:p>
    <w:p>
      <w:pPr>
        <w:spacing w:after="120" w:before="0" w:line="348" w:lineRule="auto"/>
      </w:pPr>
      <w:r>
        <w:rPr>
          <w:rFonts w:ascii="Times New Roman" w:hAnsi="Times New Roman" w:eastAsia="宋体"/>
          <w:b/>
          <w:color w:val="1A1A1A"/>
          <w:sz w:val="21"/>
        </w:rPr>
        <w:t>本报告的判定条件</w:t>
      </w:r>
      <w:r>
        <w:rPr>
          <w:rFonts w:ascii="Times New Roman" w:hAnsi="Times New Roman" w:eastAsia="宋体"/>
          <w:b w:val="0"/>
          <w:color w:val="1A1A1A"/>
          <w:sz w:val="21"/>
        </w:rPr>
        <w:t>（与任务书一致，内容正确性为唯一交付判据）：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A（症状学特征可区分心源性与非心源性胸痛）</w:t>
      </w:r>
      <w:r>
        <w:rPr>
          <w:rFonts w:ascii="Times New Roman" w:hAnsi="Times New Roman" w:eastAsia="宋体"/>
          <w:b w:val="0"/>
          <w:color w:val="1A1A1A"/>
          <w:sz w:val="21"/>
        </w:rPr>
        <w:t>：需该特征在以最终诊断为金标准的诊断准确性研究中给出敏感度/特异度或似然比及区间估计，且人群、场景与特征定义可复现。仅有叙述性综述或特征对照表时，判定降级为"经验性表述，无判别效能数据"。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B（症状学鉴别可在院外替代客观检查完成风险分层）</w:t>
      </w:r>
      <w:r>
        <w:rPr>
          <w:rFonts w:ascii="Times New Roman" w:hAnsi="Times New Roman" w:eastAsia="宋体"/>
          <w:b w:val="0"/>
          <w:color w:val="1A1A1A"/>
          <w:sz w:val="21"/>
        </w:rPr>
        <w:t xml:space="preserve">：需有前瞻性研究以漏诊 ACS 率或不良事件为终点，显示其阴性预测值达到可接受阈值（本文采纳的阈值来源见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，即漏诊率 ≤1%、NPV ≥99%），并说明阈值来源与场景限定。</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C（用药或治疗试验后症状缓解可作为病因归属依据）</w:t>
      </w:r>
      <w:r>
        <w:rPr>
          <w:rFonts w:ascii="Times New Roman" w:hAnsi="Times New Roman" w:eastAsia="宋体"/>
          <w:b w:val="0"/>
          <w:color w:val="1A1A1A"/>
          <w:sz w:val="21"/>
        </w:rPr>
        <w:t>：需有以最终诊断为金标准、直接检验该推断诊断效能的研究；检索为阴性时只能写"未检索到支持该诊断性推断的证据"，不得以扩冠或抑酸机制推理代替诊断效能数据。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D（"鉴别引导率""就医优先率"百分比指标可作为本语义群的交付判据）</w:t>
      </w:r>
      <w:r>
        <w:rPr>
          <w:rFonts w:ascii="Times New Roman" w:hAnsi="Times New Roman" w:eastAsia="宋体"/>
          <w:b w:val="0"/>
          <w:color w:val="1A1A1A"/>
          <w:sz w:val="21"/>
        </w:rPr>
        <w:t>：除非检索到以内容正确性为终点、并显示该类指标与内容正确性存在实证关联的研究，否则判定为"指标不能替代内容判据"。</w:t>
      </w:r>
    </w:p>
    <w:p>
      <w:pPr>
        <w:spacing w:after="120" w:before="0" w:line="348" w:lineRule="auto"/>
      </w:pPr>
      <w:r>
        <w:rPr>
          <w:rFonts w:ascii="Times New Roman" w:hAnsi="Times New Roman" w:eastAsia="宋体"/>
          <w:b/>
          <w:color w:val="1A1A1A"/>
          <w:sz w:val="21"/>
        </w:rPr>
        <w:t>三级命题的严格区分</w:t>
      </w:r>
      <w:r>
        <w:rPr>
          <w:rFonts w:ascii="Times New Roman" w:hAnsi="Times New Roman" w:eastAsia="宋体"/>
          <w:b w:val="0"/>
          <w:color w:val="1A1A1A"/>
          <w:sz w:val="21"/>
        </w:rPr>
        <w:t>（贯穿全文）：机制或经验上可解释的表述、有诊断准确性研究支持的表述、有以临床结局（漏诊率、不良事件）为终点的验证表述，三者不得互相替代；本报告对每条鉴别要素注明其所属层级，无判别效能数据的要素只表述为"经验性特征，未检索到判别效能数据"。</w:t>
      </w:r>
    </w:p>
    <w:p>
      <w:pPr>
        <w:spacing w:after="120" w:before="0" w:line="348" w:lineRule="auto"/>
      </w:pPr>
      <w:r>
        <w:rPr>
          <w:rFonts w:ascii="Times New Roman" w:hAnsi="Times New Roman" w:eastAsia="宋体"/>
          <w:b/>
          <w:color w:val="1A1A1A"/>
          <w:sz w:val="21"/>
        </w:rPr>
        <w:t>安全底线</w:t>
      </w:r>
      <w:r>
        <w:rPr>
          <w:rFonts w:ascii="Times New Roman" w:hAnsi="Times New Roman" w:eastAsia="宋体"/>
          <w:b w:val="0"/>
          <w:color w:val="1A1A1A"/>
          <w:sz w:val="21"/>
        </w:rPr>
        <w:t>（任何证据状态下成立）：不得输出"先按胃病处理观察、无效再排查心脏"的表述；出现 ACS 警示特征时，路径为立即呼叫 120 并接受急诊评估（心电图、高敏肌钙蛋白），自救用药不得被表述为可延迟该路径的理由；若检索不足以支撑独立的判定节点或时间阈值，回到指南既有阈值并标注其来源与推荐强度。</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pPr>
      <w:r>
        <w:rPr>
          <w:rFonts w:ascii="Times New Roman" w:hAnsi="Times New Roman" w:eastAsia="宋体"/>
          <w:b/>
          <w:color w:val="1A1A1A"/>
          <w:sz w:val="21"/>
        </w:rPr>
        <w:t>检索范围与来源类别</w:t>
      </w:r>
      <w:r>
        <w:rPr>
          <w:rFonts w:ascii="Times New Roman" w:hAnsi="Times New Roman" w:eastAsia="宋体"/>
          <w:b w:val="0"/>
          <w:color w:val="1A1A1A"/>
          <w:sz w:val="21"/>
        </w:rPr>
        <w:t>：本证据综合于 2026-08-11 完成，覆盖四类来源：① PubMed 文献索引；② Europe PMC 与 PMC 开放获取全文库；③ 临床指南索引；④ 官方卫生机构页面（NHS 胸痛官方页）。开放获取全文与官方机构页面均取得原始文本，纳入引证的全部数字均以原文逐字核对。</w:t>
      </w:r>
    </w:p>
    <w:p>
      <w:pPr>
        <w:spacing w:after="120" w:before="0" w:line="348" w:lineRule="auto"/>
      </w:pPr>
      <w:r>
        <w:rPr>
          <w:rFonts w:ascii="Times New Roman" w:hAnsi="Times New Roman" w:eastAsia="宋体"/>
          <w:b/>
          <w:color w:val="1A1A1A"/>
          <w:sz w:val="21"/>
        </w:rPr>
        <w:t>检索式概念</w:t>
      </w:r>
      <w:r>
        <w:rPr>
          <w:rFonts w:ascii="Times New Roman" w:hAnsi="Times New Roman" w:eastAsia="宋体"/>
          <w:b w:val="0"/>
          <w:color w:val="1A1A1A"/>
          <w:sz w:val="21"/>
        </w:rPr>
        <w:t>（每类问题多个查询变体，中英文并用）：胸痛病因构成（causes of chest pain emergency department prevalence；Marburg Heart Score primary care validation 等）；单项症状特征判别效能（chest pain history diagnostic accuracy sensitivity specificity likelihood ratio；chest pain history physical examination likelihood ratio acute coronary syndrome）；复合评分（HEART score validation emergency department；0/1 hour algorithm high-sensitivity cardiac troponin；EDACS-ADP）；排除性检测（normal ECG missed ACS；single baseline troponin acute myocardial infarction）；诊断性治疗试验（proton pump inhibitor test diagnostic accuracy；nitroglycerin chest pain relief coronary disease）；健康信息质量评价（symptom checkers triage accuracy audit；quality of online health information DISCERN）；指南（chest pain evaluation diagnosis；急性胸痛急诊诊疗专家共识）。</w:t>
      </w:r>
    </w:p>
    <w:p>
      <w:pPr>
        <w:spacing w:after="120" w:before="0" w:line="348" w:lineRule="auto"/>
      </w:pPr>
      <w:r>
        <w:rPr>
          <w:rFonts w:ascii="Times New Roman" w:hAnsi="Times New Roman" w:eastAsia="宋体"/>
          <w:b/>
          <w:color w:val="1A1A1A"/>
          <w:sz w:val="21"/>
        </w:rPr>
        <w:t>纳入与排除</w:t>
      </w:r>
      <w:r>
        <w:rPr>
          <w:rFonts w:ascii="Times New Roman" w:hAnsi="Times New Roman" w:eastAsia="宋体"/>
          <w:b w:val="0"/>
          <w:color w:val="1A1A1A"/>
          <w:sz w:val="21"/>
        </w:rPr>
        <w:t>：纳入以最终诊断为金标准的诊断准确性研究（前瞻性或回顾性）、系统评价与荟萃分析、临床实践指南与权威机构官方页；排除会议摘要（含一项重症医学会议摘要集）、非成人人群研究、仅题录且无法获取任何内容层的记录。语言限定中英文。</w:t>
      </w:r>
    </w:p>
    <w:p>
      <w:pPr>
        <w:spacing w:after="120" w:before="0" w:line="348" w:lineRule="auto"/>
      </w:pPr>
      <w:r>
        <w:rPr>
          <w:rFonts w:ascii="Times New Roman" w:hAnsi="Times New Roman" w:eastAsia="宋体"/>
          <w:b/>
          <w:color w:val="1A1A1A"/>
          <w:sz w:val="21"/>
        </w:rPr>
        <w:t>筛选与去重</w:t>
      </w:r>
      <w:r>
        <w:rPr>
          <w:rFonts w:ascii="Times New Roman" w:hAnsi="Times New Roman" w:eastAsia="宋体"/>
          <w:b w:val="0"/>
          <w:color w:val="1A1A1A"/>
          <w:sz w:val="21"/>
        </w:rPr>
        <w:t xml:space="preserve">：27 项检索共返回题录/记录 242 条（含 4 项零命中查询，均以变体查询重跑并记录于检索日志）；按 DOI、PMID 去重（重复出现者如 PMID 27885969、PMID 26547467、PMID 35324483、PMID 23465250、PMID 40432912 等），去重后 200 条进入筛选；17 项来源获得可保藏、可逐字引用的全文或官方页工件并纳入主张矩阵；另有若干以摘要层或索引层可及的关键记录（2021 AHA/ACC 指南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、ESC 2023 ACS 指南 </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、JAMA 2015 理性临床检查系统评价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、Ann Emerg Med 2005 硝酸甘油研究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、《急性胸痛急诊诊疗专家共识》</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、《胸痛基层诊疗指南（2019 年）》</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 等）因全文不可得，仅用于叙述与不确定性说明，不进入主张矩阵。</w:t>
      </w:r>
    </w:p>
    <w:p>
      <w:pPr>
        <w:spacing w:after="120" w:before="0" w:line="348" w:lineRule="auto"/>
      </w:pPr>
      <w:r>
        <w:rPr>
          <w:rFonts w:ascii="Times New Roman" w:hAnsi="Times New Roman" w:eastAsia="宋体"/>
          <w:b/>
          <w:color w:val="1A1A1A"/>
          <w:sz w:val="21"/>
        </w:rPr>
        <w:t>全文保藏</w:t>
      </w:r>
      <w:r>
        <w:rPr>
          <w:rFonts w:ascii="Times New Roman" w:hAnsi="Times New Roman" w:eastAsia="宋体"/>
          <w:b w:val="0"/>
          <w:color w:val="1A1A1A"/>
          <w:sz w:val="21"/>
        </w:rPr>
        <w:t>：纳入引证的 17 项来源均取得可逐字引用的全文或官方页原始文本（含来源身份、检索时间与内容校验信息）；不可开放获取的指南与研究（2021 AHA/ACC 指南、ESC 2023/2020 指南、Bösner 2010 BMJ、PPI 试验系统评价、2022 ACC 急诊胸痛专家共识决策路径等）未纳入引证，仅作叙述与不确定性说明。</w:t>
      </w:r>
    </w:p>
    <w:p>
      <w:pPr>
        <w:spacing w:after="120" w:before="0" w:line="348" w:lineRule="auto"/>
      </w:pPr>
      <w:r>
        <w:rPr>
          <w:rFonts w:ascii="Times New Roman" w:hAnsi="Times New Roman" w:eastAsia="宋体"/>
          <w:b/>
          <w:color w:val="1A1A1A"/>
          <w:sz w:val="21"/>
        </w:rPr>
        <w:t>证据特征</w:t>
      </w:r>
      <w:r>
        <w:rPr>
          <w:rFonts w:ascii="Times New Roman" w:hAnsi="Times New Roman" w:eastAsia="宋体"/>
          <w:b w:val="0"/>
          <w:color w:val="1A1A1A"/>
          <w:sz w:val="21"/>
        </w:rPr>
        <w:t>：纳入来源以系统评价/荟萃分析（</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）、前瞻性诊断准确性研究（</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）、外部验证队列（</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）、官方指南/机构页（</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）与审计研究（</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）为主，均进行了 QUADAS-2 类偏倚维度（患者选择、指标试验、参考标准、流程时间）与适用性审查；基层、院外非工作时间初级保健、急诊三种场景分别呈现。</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角度一：病因构成比——场景差异是理解所有判别数据的前提</w:t>
      </w:r>
    </w:p>
    <w:p>
      <w:pPr>
        <w:spacing w:after="120" w:before="0" w:line="348" w:lineRule="auto"/>
        <w:ind w:firstLine="420"/>
      </w:pPr>
      <w:r>
        <w:rPr>
          <w:rFonts w:ascii="Times New Roman" w:hAnsi="Times New Roman" w:eastAsia="宋体"/>
          <w:b w:val="0"/>
          <w:color w:val="1A1A1A"/>
          <w:sz w:val="21"/>
        </w:rPr>
        <w:t>未选择胸痛人群的病因构成随场景显著变化，这是症状学判别效能"场景限定"的根由。</w:t>
      </w:r>
    </w:p>
    <w:p>
      <w:pPr>
        <w:spacing w:after="120" w:before="0" w:line="348" w:lineRule="auto"/>
      </w:pPr>
      <w:r>
        <w:rPr>
          <w:rFonts w:ascii="Times New Roman" w:hAnsi="Times New Roman" w:eastAsia="宋体"/>
          <w:b/>
          <w:color w:val="1A1A1A"/>
          <w:sz w:val="21"/>
        </w:rPr>
        <w:t>基层</w:t>
      </w:r>
      <w:r>
        <w:rPr>
          <w:rFonts w:ascii="Times New Roman" w:hAnsi="Times New Roman" w:eastAsia="宋体"/>
          <w:b w:val="0"/>
          <w:color w:val="1A1A1A"/>
          <w:sz w:val="21"/>
        </w:rPr>
        <w:t>：因胸痛就诊者中 ACS 仅占 1.5% 至 3.6%。</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基层系统评价同时显示，无肌钙蛋白的临床决策规则敏感度 75.0% 至 97.0%、NPV 82.4% 至 99.7%，无任何规则优于全科医师判断，与常规肌钙蛋白一样不足以排除 ACS、不推荐作为独立工具。</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瑞士 59 家全科诊所 661 例胸痛队列（延迟诊断 12 个月为金标准）中，冠心病（CHD，含心绞痛、不稳定型心绞痛与心梗）占 12.9%（85/661），其中急性心肌梗死仅 0.6%。</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患病率与金标准（随访期专家复核的延迟诊断）密切相关，这是基层判别研究异质性的主要来源。</w:t>
      </w:r>
    </w:p>
    <w:p>
      <w:pPr>
        <w:spacing w:after="120" w:before="0" w:line="348" w:lineRule="auto"/>
      </w:pPr>
      <w:r>
        <w:rPr>
          <w:rFonts w:ascii="Times New Roman" w:hAnsi="Times New Roman" w:eastAsia="宋体"/>
          <w:b/>
          <w:color w:val="1A1A1A"/>
          <w:sz w:val="21"/>
        </w:rPr>
        <w:t>急诊</w:t>
      </w:r>
      <w:r>
        <w:rPr>
          <w:rFonts w:ascii="Times New Roman" w:hAnsi="Times New Roman" w:eastAsia="宋体"/>
          <w:b w:val="0"/>
          <w:color w:val="1A1A1A"/>
          <w:sz w:val="21"/>
        </w:rPr>
        <w:t>：ACS 占急诊胸痛的比例约为美国 5.1%、挪威 12%，因胸痛住院者中约 25% 确诊 ACS。</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法国四家医院 1045 例急诊胸痛前瞻队列中，9.3%（97/1045）最终诊断为 ACS，14.4% 心电图异常、10.5% 肌钙蛋白高于正常上限。</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在非心源性一侧，北爱尔兰一家综合医院三年数据中，58.7% 的胸痛就诊最终获得焦虑、惊恐发作或原因不明胸痛的非心脏性诊断，其中"原因不明胸痛"38%、焦虑 1.6%、惊恐 0.6%。</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 文献综述汇总，52% 至 77% 的急诊胸痛就诊在无明确医疗诊断下离院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，提示"非心源性"是急诊胸痛的主体，但"未能确诊"不等于"无风险"。</w:t>
      </w:r>
    </w:p>
    <w:p>
      <w:pPr>
        <w:spacing w:after="120" w:before="0" w:line="348" w:lineRule="auto"/>
      </w:pPr>
      <w:r>
        <w:rPr>
          <w:rFonts w:ascii="Times New Roman" w:hAnsi="Times New Roman" w:eastAsia="宋体"/>
          <w:b/>
          <w:color w:val="1A1A1A"/>
          <w:sz w:val="21"/>
        </w:rPr>
        <w:t>院外非工作时间初级保健（OOH-PC）</w:t>
      </w:r>
      <w:r>
        <w:rPr>
          <w:rFonts w:ascii="Times New Roman" w:hAnsi="Times New Roman" w:eastAsia="宋体"/>
          <w:b w:val="0"/>
          <w:color w:val="1A1A1A"/>
          <w:sz w:val="21"/>
        </w:rPr>
        <w:t>：荷兰一处 OOH-PC 电话分诊前瞻研究中，纳入分析的患者 6 周内主要事件（死亡及需急诊处理的紧急状况）发生率 12.9%、ACS 4.6%；无主要事件者中以肌肉骨骼原因最常见（39.6%）。</w:t>
      </w:r>
      <w:r>
        <w:rPr>
          <w:rFonts w:ascii="Times New Roman" w:hAnsi="Times New Roman" w:eastAsia="宋体"/>
          <w:b w:val="0"/>
          <w:color w:val="1A1A1A"/>
          <w:sz w:val="21"/>
          <w:vertAlign w:val="superscript"/>
        </w:rPr>
        <w:t>[7]</w:t>
      </w:r>
    </w:p>
    <w:p>
      <w:pPr>
        <w:spacing w:after="120" w:before="0" w:line="348" w:lineRule="auto"/>
        <w:ind w:firstLine="420"/>
      </w:pPr>
      <w:r>
        <w:rPr>
          <w:rFonts w:ascii="Times New Roman" w:hAnsi="Times New Roman" w:eastAsia="宋体"/>
          <w:b w:val="0"/>
          <w:color w:val="1A1A1A"/>
          <w:sz w:val="21"/>
        </w:rPr>
        <w:t>构成比差异的直接推论：同样的症状特征在基层（ACS 患病率低）与急诊（患病率较高）会产生截然不同的后验概率，因此"以症状反推病因"必须绑定场景；中国《胸痛基层诊疗指南（2019 年）》</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 与《急性胸痛急诊诊疗专家共识》</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 的定位与此一致，其具体判定节点与时间阈值未纳入本报告主张（见证据局限）。</w:t>
      </w:r>
    </w:p>
    <w:p>
      <w:pPr>
        <w:spacing w:after="100" w:before="240" w:line="300" w:lineRule="auto"/>
      </w:pPr>
      <w:r>
        <w:rPr>
          <w:rFonts w:ascii="Times New Roman" w:hAnsi="Times New Roman" w:eastAsia="黑体"/>
          <w:b/>
          <w:color w:val="1A1A1A"/>
          <w:sz w:val="23"/>
        </w:rPr>
        <w:t>角度二：单项症状学特征的判别效能——有数据者有限，无数据者只能标注为经验性</w:t>
      </w:r>
    </w:p>
    <w:p>
      <w:pPr>
        <w:spacing w:after="120" w:before="0" w:line="348" w:lineRule="auto"/>
      </w:pPr>
      <w:r>
        <w:rPr>
          <w:rFonts w:ascii="Times New Roman" w:hAnsi="Times New Roman" w:eastAsia="宋体"/>
          <w:b/>
          <w:color w:val="1A1A1A"/>
          <w:sz w:val="21"/>
        </w:rPr>
        <w:t>有判别效能数据的要素（以最终诊断为金标准）</w:t>
      </w:r>
      <w:r>
        <w:rPr>
          <w:rFonts w:ascii="Times New Roman" w:hAnsi="Times New Roman" w:eastAsia="宋体"/>
          <w:b w:val="0"/>
          <w:color w:val="1A1A1A"/>
          <w:sz w:val="21"/>
        </w:rPr>
        <w:t xml:space="preserve">：一项基层 661 例队列显示，胸骨后部位、疼痛持续 1–60 分钟、劳力诱发、按压无压痛等条目以多因素模型组合为"门诊 CHD 评分"（AUC 0.946，外部验证 AUC 0.752）；但作者明确警告"胸痛特征单独不足以可靠排除缺血性心脏病"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，且外部验证队列中低风险组仍有 5.2% 在随后 6 个月内发生 CHD（敏感度 85.6%、特异度 47.2%、阴性似然比 0.305、NPV 94.8%）。</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换言之，即使按"最像心源性"的方向做多条目建模，低风险组仍有约 5.2% 的患者发生 CHD。</w:t>
      </w:r>
    </w:p>
    <w:p>
      <w:pPr>
        <w:spacing w:after="120" w:before="0" w:line="348" w:lineRule="auto"/>
        <w:ind w:firstLine="420"/>
      </w:pPr>
      <w:r>
        <w:rPr>
          <w:rFonts w:ascii="Times New Roman" w:hAnsi="Times New Roman" w:eastAsia="宋体"/>
          <w:b w:val="0"/>
          <w:color w:val="1A1A1A"/>
          <w:sz w:val="21"/>
        </w:rPr>
        <w:t>全科医师未借助工具时的"临床直觉"本身亦不足：基于症状与体征的临床判断对稳定型心绞痛及 ACS 的敏感度 69%、特异度 89%。</w:t>
      </w:r>
      <w:r>
        <w:rPr>
          <w:rFonts w:ascii="Times New Roman" w:hAnsi="Times New Roman" w:eastAsia="宋体"/>
          <w:b w:val="0"/>
          <w:color w:val="1A1A1A"/>
          <w:sz w:val="21"/>
          <w:vertAlign w:val="superscript"/>
        </w:rPr>
        <w:t>[4]</w:t>
      </w:r>
    </w:p>
    <w:p>
      <w:pPr>
        <w:spacing w:after="120" w:before="0" w:line="348" w:lineRule="auto"/>
      </w:pPr>
      <w:r>
        <w:rPr>
          <w:rFonts w:ascii="Times New Roman" w:hAnsi="Times New Roman" w:eastAsia="宋体"/>
          <w:b/>
          <w:color w:val="1A1A1A"/>
          <w:sz w:val="21"/>
        </w:rPr>
        <w:t>被纳入评分并经验证的要素（按压可复现等）</w:t>
      </w:r>
      <w:r>
        <w:rPr>
          <w:rFonts w:ascii="Times New Roman" w:hAnsi="Times New Roman" w:eastAsia="宋体"/>
          <w:b w:val="0"/>
          <w:color w:val="1A1A1A"/>
          <w:sz w:val="21"/>
        </w:rPr>
        <w:t>：Marburg Heart Score 五要素为（女性 ≥65 岁或男性 ≥55 岁、已知心脑血管/外周血管病、劳力加重、按压可否复现、患者自认为心源性），INTERCHEST 将"按压可复现"设为负向赋分（−1 分）。</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即使把"按压可复现"作为反向特征纳入，这些评分在电话分诊中对主要事件的敏感度 88.9%（95%CI 73.9% 至 96.9%）、特异度仅 27.9%（95%CI 22.3% 至 34.0%），对 ACS 的 C 统计量 0.62（95%CI 0.45 至 0.79，下限 ≤0.50 即无判别力）。</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作为对照，现行电话分诊协议以高假阳性换取高敏感度：对主要事件敏感度 97.2%（95%CI 85.5% 至 99.9%）、特异度 19.7%（95%CI 14.9% 至 25.2%），对 ACS 100% 敏感、特异度仅 18.4%（95%CI 13.9% 至 23.5%）。</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在基层，Marburg Heart Score 的敏感度 86%–91%、特异度 61%–81%、NPV 97%–98%，优于临床直觉（敏感度 +8.0%、特异度 +5.8%），但证据仅适用于间歇性胸痛的 CAD 排除，无数据支持将其用作 ACS 排除工具。</w:t>
      </w:r>
      <w:r>
        <w:rPr>
          <w:rFonts w:ascii="Times New Roman" w:hAnsi="Times New Roman" w:eastAsia="宋体"/>
          <w:b w:val="0"/>
          <w:color w:val="1A1A1A"/>
          <w:sz w:val="21"/>
          <w:vertAlign w:val="superscript"/>
        </w:rPr>
        <w:t>[4]</w:t>
      </w:r>
    </w:p>
    <w:p>
      <w:pPr>
        <w:spacing w:after="120" w:before="0" w:line="348" w:lineRule="auto"/>
      </w:pPr>
      <w:r>
        <w:rPr>
          <w:rFonts w:ascii="Times New Roman" w:hAnsi="Times New Roman" w:eastAsia="宋体"/>
          <w:b/>
          <w:color w:val="1A1A1A"/>
          <w:sz w:val="21"/>
        </w:rPr>
        <w:t>无判别效能数据、只能标注为经验性的要素</w:t>
      </w:r>
      <w:r>
        <w:rPr>
          <w:rFonts w:ascii="Times New Roman" w:hAnsi="Times New Roman" w:eastAsia="宋体"/>
          <w:b w:val="0"/>
          <w:color w:val="1A1A1A"/>
          <w:sz w:val="21"/>
        </w:rPr>
        <w:t>："与进食相关""针刺样、数秒即止"这两类常被用于排除心源性的特征，在本检索范围内未检索到以最终诊断为金标准、报告敏感度/特异度或似然比的直接研究。按任务书规则，二者表述为</w:t>
      </w:r>
      <w:r>
        <w:rPr>
          <w:rFonts w:ascii="Times New Roman" w:hAnsi="Times New Roman" w:eastAsia="宋体"/>
          <w:b/>
          <w:color w:val="1A1A1A"/>
          <w:sz w:val="21"/>
        </w:rPr>
        <w:t>经验性特征，未检索到判别效能数据</w:t>
      </w:r>
      <w:r>
        <w:rPr>
          <w:rFonts w:ascii="Times New Roman" w:hAnsi="Times New Roman" w:eastAsia="宋体"/>
          <w:b w:val="0"/>
          <w:color w:val="1A1A1A"/>
          <w:sz w:val="21"/>
        </w:rPr>
        <w:t xml:space="preserve">；它们被普遍写入患者教育材料（如 NHS 将"进食后出现"列为烧心/消化不良的可能线索），但 NHS 官方页同时明确"不要自行诊断" </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 xml:space="preserve"> ，且没有任何指南以"症状像胃病"作为不呼叫急救的理由。</w:t>
      </w:r>
    </w:p>
    <w:p>
      <w:pPr>
        <w:spacing w:after="120" w:before="0" w:line="348" w:lineRule="auto"/>
      </w:pPr>
      <w:r>
        <w:rPr>
          <w:rFonts w:ascii="Times New Roman" w:hAnsi="Times New Roman" w:eastAsia="宋体"/>
          <w:b/>
          <w:color w:val="1A1A1A"/>
          <w:sz w:val="21"/>
        </w:rPr>
        <w:t>复合评分的判别效能与适用场景</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HEART 评分</w:t>
      </w:r>
      <w:r>
        <w:rPr>
          <w:rFonts w:ascii="Times New Roman" w:hAnsi="Times New Roman" w:eastAsia="宋体"/>
          <w:b w:val="0"/>
          <w:color w:val="1A1A1A"/>
          <w:sz w:val="21"/>
        </w:rPr>
        <w:t>（急诊，含心电图与肌钙蛋白）：伊朗两家三级医院 274 例外部验证中，HEART ≤3 分判定低风险时 AUC 0.925、敏感度 97.1%、NPV 98.18%；同队列 EDACS-ADP 的 AUC 为 0.803。</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注意 HEART 的 H 组分是"病史是否符合典型心绞痛（劳力诱发、休息或硝酸酯缓解）"的概率判断，其本身即被验证为评分中判别力最强的组分之一——这再次说明症状特征有价值，但价值在于改变概率，而非单独定论。</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EDACS-ADP</w:t>
      </w:r>
      <w:r>
        <w:rPr>
          <w:rFonts w:ascii="Times New Roman" w:hAnsi="Times New Roman" w:eastAsia="宋体"/>
          <w:b w:val="0"/>
          <w:color w:val="1A1A1A"/>
          <w:sz w:val="21"/>
        </w:rPr>
        <w:t>（急诊）：12 项研究 14290 例的荟萃分析显示合并敏感度 0.97（95%CI 0.95 至 0.99）、特异度 0.58、阴性似然比 0.04；低风险组 30 天 MACE 发生率 0.89%。</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关键限定：EDACS-ADP 的定义包含 </w:t>
      </w:r>
      <w:r>
        <w:rPr>
          <w:rFonts w:ascii="Times New Roman" w:hAnsi="Times New Roman" w:eastAsia="宋体"/>
          <w:b/>
          <w:color w:val="1A1A1A"/>
          <w:sz w:val="21"/>
        </w:rPr>
        <w:t>0 小时与 2 小时两次肌钙蛋白与心电图</w:t>
      </w:r>
      <w:r>
        <w:rPr>
          <w:rFonts w:ascii="Times New Roman" w:hAnsi="Times New Roman" w:eastAsia="宋体"/>
          <w:b w:val="0"/>
          <w:color w:val="1A1A1A"/>
          <w:sz w:val="21"/>
        </w:rPr>
        <w:t>，并非纯症状评分；"低风险"判定后 30 天 MACE 仍达 0.89%，且研究间异质性高。</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医师调查同时显示，低风险人群 MACE 发生率 &gt;1% 对近半数医师不可接受、&gt;2% 对大多数医师不可接受。</w:t>
      </w:r>
      <w:r>
        <w:rPr>
          <w:rFonts w:ascii="Times New Roman" w:hAnsi="Times New Roman" w:eastAsia="宋体"/>
          <w:b w:val="0"/>
          <w:color w:val="1A1A1A"/>
          <w:sz w:val="21"/>
          <w:vertAlign w:val="superscript"/>
        </w:rPr>
        <w:t>[11]</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Marburg Heart Score</w:t>
      </w:r>
      <w:r>
        <w:rPr>
          <w:rFonts w:ascii="Times New Roman" w:hAnsi="Times New Roman" w:eastAsia="宋体"/>
          <w:b w:val="0"/>
          <w:color w:val="1A1A1A"/>
          <w:sz w:val="21"/>
        </w:rPr>
        <w:t xml:space="preserve">（基层/电话分诊）：见上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"排除性特征"的阴性似然比是否足以无检测排除 ACS？</w:t>
      </w:r>
      <w:r>
        <w:rPr>
          <w:rFonts w:ascii="Times New Roman" w:hAnsi="Times New Roman" w:eastAsia="宋体"/>
          <w:b w:val="0"/>
          <w:color w:val="1A1A1A"/>
          <w:sz w:val="21"/>
        </w:rPr>
        <w:t xml:space="preserve"> 综合判定的答案是</w:t>
      </w:r>
      <w:r>
        <w:rPr>
          <w:rFonts w:ascii="Times New Roman" w:hAnsi="Times New Roman" w:eastAsia="宋体"/>
          <w:b/>
          <w:color w:val="1A1A1A"/>
          <w:sz w:val="21"/>
        </w:rPr>
        <w:t>不足</w:t>
      </w:r>
      <w:r>
        <w:rPr>
          <w:rFonts w:ascii="Times New Roman" w:hAnsi="Times New Roman" w:eastAsia="宋体"/>
          <w:b w:val="0"/>
          <w:color w:val="1A1A1A"/>
          <w:sz w:val="21"/>
        </w:rPr>
        <w:t>：把"按压可复现"等反向特征纳入的评分（Marburg、INTERCHEST）对 ACS 的判别力接近零（C 统计量下限 ≤0.50）</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；把症状特征与体检全部纳入的多因素模型，低风险组仍有 5.2% 的 CHD 漏检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。没有任何特征或组合达到"漏诊率 ≤1%"的阈值（阈值来源与场景限定见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在急诊场景，Marburg 评分的 NPV 仅 95.6%——距 ≥99% 阈值相差一个数量级。</w:t>
      </w:r>
      <w:r>
        <w:rPr>
          <w:rFonts w:ascii="Times New Roman" w:hAnsi="Times New Roman" w:eastAsia="宋体"/>
          <w:b w:val="0"/>
          <w:color w:val="1A1A1A"/>
          <w:sz w:val="21"/>
          <w:vertAlign w:val="superscript"/>
        </w:rPr>
        <w:t>[6]</w:t>
      </w:r>
    </w:p>
    <w:p>
      <w:pPr>
        <w:spacing w:after="100" w:before="240" w:line="300" w:lineRule="auto"/>
      </w:pPr>
      <w:r>
        <w:rPr>
          <w:rFonts w:ascii="Times New Roman" w:hAnsi="Times New Roman" w:eastAsia="黑体"/>
          <w:b/>
          <w:color w:val="1A1A1A"/>
          <w:sz w:val="23"/>
        </w:rPr>
        <w:t>角度三：心电图与肌钙蛋白——"正常即可排除"的证据状态</w:t>
      </w:r>
    </w:p>
    <w:p>
      <w:pPr>
        <w:spacing w:after="120" w:before="0" w:line="348" w:lineRule="auto"/>
      </w:pPr>
      <w:r>
        <w:rPr>
          <w:rFonts w:ascii="Times New Roman" w:hAnsi="Times New Roman" w:eastAsia="宋体"/>
          <w:b/>
          <w:color w:val="1A1A1A"/>
          <w:sz w:val="21"/>
        </w:rPr>
        <w:t>单次静息心电图</w:t>
      </w:r>
      <w:r>
        <w:rPr>
          <w:rFonts w:ascii="Times New Roman" w:hAnsi="Times New Roman" w:eastAsia="宋体"/>
          <w:b w:val="0"/>
          <w:color w:val="1A1A1A"/>
          <w:sz w:val="21"/>
        </w:rPr>
        <w:t>：本检索范围内未检索到以"单次正常心电图可排除 ACS"为结论的诊断准确性证据；相反，已保藏的系统评价明确指出，医师既往用于分诊的"临床病史、12 导联心电图与标准肌钙蛋白"工具组合本身"不能早期排除进行中的急性心肌梗死"。</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指南要求的不是"正常心电图即可放心"，而是</w:t>
      </w:r>
      <w:r>
        <w:rPr>
          <w:rFonts w:ascii="Times New Roman" w:hAnsi="Times New Roman" w:eastAsia="宋体"/>
          <w:b/>
          <w:color w:val="1A1A1A"/>
          <w:sz w:val="21"/>
        </w:rPr>
        <w:t>到达后 10 分钟内完成心电图</w:t>
      </w:r>
      <w:r>
        <w:rPr>
          <w:rFonts w:ascii="Times New Roman" w:hAnsi="Times New Roman" w:eastAsia="宋体"/>
          <w:b w:val="0"/>
          <w:color w:val="1A1A1A"/>
          <w:sz w:val="21"/>
        </w:rPr>
        <w:t>（2013 法国急诊医学会与 2020 ESC 指南）</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，并把心电图异常（ST 段压低等）作为判别力最高的客观要素之一。</w:t>
      </w:r>
    </w:p>
    <w:p>
      <w:pPr>
        <w:spacing w:after="120" w:before="0" w:line="348" w:lineRule="auto"/>
      </w:pPr>
      <w:r>
        <w:rPr>
          <w:rFonts w:ascii="Times New Roman" w:hAnsi="Times New Roman" w:eastAsia="宋体"/>
          <w:b/>
          <w:color w:val="1A1A1A"/>
          <w:sz w:val="21"/>
        </w:rPr>
        <w:t>单次高敏肌钙蛋白</w:t>
      </w:r>
      <w:r>
        <w:rPr>
          <w:rFonts w:ascii="Times New Roman" w:hAnsi="Times New Roman" w:eastAsia="宋体"/>
          <w:b w:val="0"/>
          <w:color w:val="1A1A1A"/>
          <w:sz w:val="21"/>
        </w:rPr>
        <w:t>：以 14 ng/L（99 百分位）为界，单次 hs-cTnT 的合并敏感度 89.5%（95%CI 86.3% 至 92.1%）、特异度 77.1%（95%CI 68.7% 至 83.7%）、阴性似然比 0.14（95%CI 0.10 至 0.18）；在 21% 的患病率下，21 例心梗中将漏诊 2 至 3 例。</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降至 3 与 5 ng/L 界值时敏感度升至 97.4%（95%CI 94.9% 至 98.7%）但特异度降至 42.4%（95%CI 31.2% 至 54.5%）。</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 因此单次检测即使采用极低界值也以大量假阳性为代价，而 99 百分位界值下漏诊不可忽视；</w:t>
      </w:r>
      <w:r>
        <w:rPr>
          <w:rFonts w:ascii="Times New Roman" w:hAnsi="Times New Roman" w:eastAsia="宋体"/>
          <w:b/>
          <w:color w:val="1A1A1A"/>
          <w:sz w:val="21"/>
        </w:rPr>
        <w:t>排除 MI 需要序贯检测</w:t>
      </w:r>
      <w:r>
        <w:rPr>
          <w:rFonts w:ascii="Times New Roman" w:hAnsi="Times New Roman" w:eastAsia="宋体"/>
          <w:b w:val="0"/>
          <w:color w:val="1A1A1A"/>
          <w:sz w:val="21"/>
        </w:rPr>
        <w:t>（传统为 3 至 6 小时间隔的连续阴性肌钙蛋白）。</w:t>
      </w:r>
      <w:r>
        <w:rPr>
          <w:rFonts w:ascii="Times New Roman" w:hAnsi="Times New Roman" w:eastAsia="宋体"/>
          <w:b w:val="0"/>
          <w:color w:val="1A1A1A"/>
          <w:sz w:val="21"/>
          <w:vertAlign w:val="superscript"/>
        </w:rPr>
        <w:t>[10]</w:t>
      </w:r>
    </w:p>
    <w:p>
      <w:pPr>
        <w:spacing w:after="120" w:before="0" w:line="348" w:lineRule="auto"/>
      </w:pPr>
      <w:r>
        <w:rPr>
          <w:rFonts w:ascii="Times New Roman" w:hAnsi="Times New Roman" w:eastAsia="宋体"/>
          <w:b/>
          <w:color w:val="1A1A1A"/>
          <w:sz w:val="21"/>
        </w:rPr>
        <w:t>快速排除流程</w:t>
      </w:r>
      <w:r>
        <w:rPr>
          <w:rFonts w:ascii="Times New Roman" w:hAnsi="Times New Roman" w:eastAsia="宋体"/>
          <w:b w:val="0"/>
          <w:color w:val="1A1A1A"/>
          <w:sz w:val="21"/>
        </w:rPr>
        <w:t>：ESC 0/1 小时流程以 0 小时值 + 1 小时变化值三区划分（排除/观察/纳入），hs-cTnI 与 hs-cTnT 的合并敏感度均为 99.3%（95%CI 98.5–99.7 与 96.9–99.9），合并特异度 90.1% 与 91.7%；在假定 30% 患病率下假阴性率约 2/1000。</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0/3 小时流程（NICE 指南推荐的双次采样）亦被现行指南保留为替代方案。</w:t>
      </w:r>
      <w:r>
        <w:rPr>
          <w:rFonts w:ascii="Times New Roman" w:hAnsi="Times New Roman" w:eastAsia="宋体"/>
          <w:b/>
          <w:color w:val="1A1A1A"/>
          <w:sz w:val="21"/>
        </w:rPr>
        <w:t>要点</w:t>
      </w:r>
      <w:r>
        <w:rPr>
          <w:rFonts w:ascii="Times New Roman" w:hAnsi="Times New Roman" w:eastAsia="宋体"/>
          <w:b w:val="0"/>
          <w:color w:val="1A1A1A"/>
          <w:sz w:val="21"/>
        </w:rPr>
        <w:t>：这些流程的全部安全数据都绑定"0 小时与 1 小时（或 3 小时）两次高敏肌钙蛋白"这一客观要件；脱离该要件、仅凭单次结果或纯症状判断，安全数据不复存在。基层场景中，高敏肌钙蛋白策略显示最高诊断准确度（敏感度 83.3% 至 100%、NPV 98.8% 至 100%），但研究数量有限，仍需前瞻性验证。</w:t>
      </w:r>
      <w:r>
        <w:rPr>
          <w:rFonts w:ascii="Times New Roman" w:hAnsi="Times New Roman" w:eastAsia="宋体"/>
          <w:b w:val="0"/>
          <w:color w:val="1A1A1A"/>
          <w:sz w:val="21"/>
          <w:vertAlign w:val="superscript"/>
        </w:rPr>
        <w:t>[3]</w:t>
      </w:r>
    </w:p>
    <w:p>
      <w:pPr>
        <w:spacing w:after="100" w:before="240" w:line="300" w:lineRule="auto"/>
      </w:pPr>
      <w:r>
        <w:rPr>
          <w:rFonts w:ascii="Times New Roman" w:hAnsi="Times New Roman" w:eastAsia="黑体"/>
          <w:b/>
          <w:color w:val="1A1A1A"/>
          <w:sz w:val="23"/>
        </w:rPr>
        <w:t>角度四：指南分诊路径——次序一致性与诊断性治疗试验</w:t>
      </w:r>
    </w:p>
    <w:p>
      <w:pPr>
        <w:spacing w:after="120" w:before="0" w:line="348" w:lineRule="auto"/>
      </w:pPr>
      <w:r>
        <w:rPr>
          <w:rFonts w:ascii="Times New Roman" w:hAnsi="Times New Roman" w:eastAsia="宋体"/>
          <w:b/>
          <w:color w:val="1A1A1A"/>
          <w:sz w:val="21"/>
        </w:rPr>
        <w:t>分诊路径的步骤、节点与时间阈值</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2021 AHA/ACC 胸痛评估与诊断指南</w:t>
      </w:r>
      <w:r>
        <w:rPr>
          <w:rFonts w:ascii="Times New Roman" w:hAnsi="Times New Roman" w:eastAsia="宋体"/>
          <w:b w:val="0"/>
          <w:color w:val="1A1A1A"/>
          <w:sz w:val="21"/>
        </w:rPr>
        <w:t>：急诊初始评估强调快速识别最高危心脏急症（ACS、主动脉夹层、肺栓塞及食管破裂、气胸等非血管性急症），以 12 导联心电图与首选的高敏肌钙蛋白快速、准确检测心肌损伤并辅助风险评估；确认急性胸痛后，通过常规使用结构化风险评估将患者分为低、中、高风险并据此安排后续诊断检测。</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指南同时强调非典型表现的识别（如女性以心悸、颈痛等伴随症状为主，常被贴上"非心源性"标签；75 岁以上者跌倒、晕厥、急性谵妄应视为 ACS 可能表现）与患者主动呼叫急救（美国为 9-1-1）。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指南原文仅摘要层开放，推荐内容经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评述转述引用）</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ESC 2023 ACS 指南</w:t>
      </w:r>
      <w:r>
        <w:rPr>
          <w:rFonts w:ascii="Times New Roman" w:hAnsi="Times New Roman" w:eastAsia="宋体"/>
          <w:b w:val="0"/>
          <w:color w:val="1A1A1A"/>
          <w:sz w:val="21"/>
        </w:rPr>
        <w:t xml:space="preserve"> </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：其 0/1 小时流程与"到达 10 分钟内心电图"的既有要求经 </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转述并引用。</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中国《急性胸痛急诊诊疗专家共识》（2019）</w:t>
      </w:r>
      <w:r>
        <w:rPr>
          <w:rFonts w:ascii="Times New Roman" w:hAnsi="Times New Roman" w:eastAsia="宋体"/>
          <w:b w:val="0"/>
          <w:color w:val="1A1A1A"/>
          <w:sz w:val="21"/>
        </w:rPr>
        <w:t xml:space="preserve"> 与《胸痛基层诊疗指南（2019 年）》</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：前者以"早期诊断、危险分层、正确分流、科学救治"为流程方针；其具体判定节点与时间阈值未纳入本报告主张（见证据局限）。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GERD 诊断路径（消化侧）</w:t>
      </w:r>
      <w:r>
        <w:rPr>
          <w:rFonts w:ascii="Times New Roman" w:hAnsi="Times New Roman" w:eastAsia="宋体"/>
          <w:b w:val="0"/>
          <w:color w:val="1A1A1A"/>
          <w:sz w:val="21"/>
        </w:rPr>
        <w:t>：GERD 全球患病率估计 13%，中国大陆汇总患病率 8.7% 且呈上升趋势。</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ACG 临床指南对典型反流症状推荐"PPI 起始"策略——有警示征（吞咽困难、消瘦、出血、呕吐、贫血）或 Barrett 食管危险因素者以胃镜为第一步，无警示征者先接受 PPI 诊断性治疗；与之对照，中国专家共识建议所有反流症状患者首诊即行胃镜（基于中国上消化道肿瘤高发与胃镜可及性）。</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二者在"消化侧何时用 PPI、何时用内镜"上存在真实差异，但这与"心源性排查先行"并不冲突——GERD 诊断路径的适用人群定义是"典型反流/烧心症状"，其诊断性治疗试验研究明确将"以胸痛为主诉"的患者排除在外。</w:t>
      </w:r>
      <w:r>
        <w:rPr>
          <w:rFonts w:ascii="Times New Roman" w:hAnsi="Times New Roman" w:eastAsia="宋体"/>
          <w:b w:val="0"/>
          <w:color w:val="1A1A1A"/>
          <w:sz w:val="21"/>
          <w:vertAlign w:val="superscript"/>
        </w:rPr>
        <w:t>[14]</w:t>
      </w:r>
    </w:p>
    <w:p>
      <w:pPr>
        <w:spacing w:after="120" w:before="0" w:line="348" w:lineRule="auto"/>
      </w:pPr>
      <w:r>
        <w:rPr>
          <w:rFonts w:ascii="Times New Roman" w:hAnsi="Times New Roman" w:eastAsia="宋体"/>
          <w:b/>
          <w:color w:val="1A1A1A"/>
          <w:sz w:val="21"/>
        </w:rPr>
        <w:t>次序一致性结论</w:t>
      </w:r>
      <w:r>
        <w:rPr>
          <w:rFonts w:ascii="Times New Roman" w:hAnsi="Times New Roman" w:eastAsia="宋体"/>
          <w:b w:val="0"/>
          <w:color w:val="1A1A1A"/>
          <w:sz w:val="21"/>
        </w:rPr>
        <w:t>：在"先完成心源性排查（心电图＋序贯高敏肌钙蛋白）再评估消化系统病因"这一关键次序上，本检索范围内所有可核验的指南与共识（</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）一致；未检索到任何指南建议"先按胃病处理观察、无效再排查心脏"。</w:t>
      </w:r>
      <w:r>
        <w:rPr>
          <w:rFonts w:ascii="Times New Roman" w:hAnsi="Times New Roman" w:eastAsia="宋体"/>
          <w:b/>
          <w:color w:val="1A1A1A"/>
          <w:sz w:val="21"/>
        </w:rPr>
        <w:t>不一致处</w:t>
      </w:r>
      <w:r>
        <w:rPr>
          <w:rFonts w:ascii="Times New Roman" w:hAnsi="Times New Roman" w:eastAsia="宋体"/>
          <w:b w:val="0"/>
          <w:color w:val="1A1A1A"/>
          <w:sz w:val="21"/>
        </w:rPr>
        <w:t>仅为消化侧内部的"PPI 先行 vs 内镜先行"（ACG 与 2022 中国 GERD 共识，</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 xml:space="preserve">），以及中国急诊共识与 AHA/ACC 指南在流程表述层面的差异（后者全文未核验，不能作为不一致证据）。诊断性治疗试验（PPI 试验）在消化指南中的定位是"烧心等典型反流症状、无警示征"时的经验性治疗选项 </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，从未被任何指南表述为心源性胸痛的排除手段。</w:t>
      </w:r>
    </w:p>
    <w:p>
      <w:pPr>
        <w:spacing w:after="120" w:before="0" w:line="348" w:lineRule="auto"/>
      </w:pPr>
      <w:r>
        <w:rPr>
          <w:rFonts w:ascii="Times New Roman" w:hAnsi="Times New Roman" w:eastAsia="宋体"/>
          <w:b/>
          <w:color w:val="1A1A1A"/>
          <w:sz w:val="21"/>
        </w:rPr>
        <w:t>诊断性治疗试验能否作为病因归属依据（命题 C）</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PPI 试验</w:t>
      </w:r>
      <w:r>
        <w:rPr>
          <w:rFonts w:ascii="Times New Roman" w:hAnsi="Times New Roman" w:eastAsia="宋体"/>
          <w:b w:val="0"/>
          <w:color w:val="1A1A1A"/>
          <w:sz w:val="21"/>
        </w:rPr>
        <w:t xml:space="preserve">：以最终诊断（内镜和/或 24 小时食管 pH 监测）为金标准、直接检验 PPI 试验判别效能的系统评价 </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 xml:space="preserve"> 存在；已保藏的可引用数据来自抑酸试验的原始研究与卫生经济学建模：PPI 试验在西方人群的敏感度约 71%、特异度仅 44%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；一项 P-CAB（tegoprazan）一周诊断试验在"典型反流/烧心"患者中以症状缓解 &gt;75% 为界时敏感度 77.5%、特异度 51.9%（Youden 指数最优），且该研究把胸痛患者排除在外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；中国卫生经济学模型所引 PPI 试验汇总敏感度 0.52、特异度 0.32、阳性预测值 0.38。</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 xml:space="preserve"> 抑酸药作为诊断性试验"特异度低、不能排除其他疾病"是保藏文献的一致表述。</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结论：</w:t>
      </w:r>
      <w:r>
        <w:rPr>
          <w:rFonts w:ascii="Times New Roman" w:hAnsi="Times New Roman" w:eastAsia="宋体"/>
          <w:b/>
          <w:color w:val="1A1A1A"/>
          <w:sz w:val="21"/>
        </w:rPr>
        <w:t>PPI 试验对"烧心/反流症状人群"的 GERD 归属有一定信息量，但从未被验证可用于"胸痛人群"的心源性排除；以 PPI 试验阳性反推"非心源性"没有诊断效能数据支撑。</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含服硝酸酯后的缓解</w:t>
      </w:r>
      <w:r>
        <w:rPr>
          <w:rFonts w:ascii="Times New Roman" w:hAnsi="Times New Roman" w:eastAsia="宋体"/>
          <w:b w:val="0"/>
          <w:color w:val="1A1A1A"/>
          <w:sz w:val="21"/>
        </w:rPr>
        <w:t xml:space="preserve">：急诊前瞻队列研究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的结论是舌下含服硝酸甘油后疼痛评分变化不能预测心源性胸痛（该研究仅摘要层开放，见证据局限）。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任务书要求</w:t>
      </w:r>
      <w:r>
        <w:rPr>
          <w:rFonts w:ascii="Times New Roman" w:hAnsi="Times New Roman" w:eastAsia="宋体"/>
          <w:b w:val="0"/>
          <w:color w:val="1A1A1A"/>
          <w:sz w:val="21"/>
        </w:rPr>
        <w:t>：检索为阴性处一律表述为"未检索到支持该诊断性推断的证据"，本报告未以扩冠或抑酸机制推理替代判别效能数据。</w:t>
      </w:r>
    </w:p>
    <w:p>
      <w:pPr>
        <w:spacing w:after="100" w:before="240" w:line="300" w:lineRule="auto"/>
      </w:pPr>
      <w:r>
        <w:rPr>
          <w:rFonts w:ascii="Times New Roman" w:hAnsi="Times New Roman" w:eastAsia="黑体"/>
          <w:b/>
          <w:color w:val="1A1A1A"/>
          <w:sz w:val="23"/>
        </w:rPr>
        <w:t>角度五：健康信息/分诊建议质量评价方法学与百分比指标（命题 D）</w:t>
      </w:r>
    </w:p>
    <w:p>
      <w:pPr>
        <w:spacing w:after="120" w:before="0" w:line="348" w:lineRule="auto"/>
        <w:ind w:firstLine="420"/>
      </w:pPr>
      <w:r>
        <w:rPr>
          <w:rFonts w:ascii="Times New Roman" w:hAnsi="Times New Roman" w:eastAsia="宋体"/>
          <w:b w:val="0"/>
          <w:color w:val="1A1A1A"/>
          <w:sz w:val="21"/>
        </w:rPr>
        <w:t>以内容正确性为终点评价症状自查工具与健康信息的实证研究存在且方法成熟：Semigran 等用 45 个标准化患者情景（等分为急症、非急症与自护三档，急症情景含肺栓塞等）审计 23 个在线症状自查工具，以"是否列出正确诊断""是否给出正确分诊等级"为终点。</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结果：正确诊断率 34%（95%CI 31% 至 37%）、正确分诊率 57%（95%CI 52% 至 61%）；急症情景分诊正确率 80%（95%CI 75% 至 86%），但</w:t>
      </w:r>
      <w:r>
        <w:rPr>
          <w:rFonts w:ascii="Times New Roman" w:hAnsi="Times New Roman" w:eastAsia="宋体"/>
          <w:b/>
          <w:color w:val="1A1A1A"/>
          <w:sz w:val="21"/>
        </w:rPr>
        <w:t>急症情景下正确诊断仅 24%（95%CI 19% 至 30%）</w:t>
      </w:r>
      <w:r>
        <w:rPr>
          <w:rFonts w:ascii="Times New Roman" w:hAnsi="Times New Roman" w:eastAsia="宋体"/>
          <w:b w:val="0"/>
          <w:color w:val="1A1A1A"/>
          <w:sz w:val="21"/>
        </w:rPr>
        <w:t>，且"工具存在诊断与分诊双重缺陷"。</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 xml:space="preserve"> 换言之：一个工具"提供了建议"并不等于"建议正确"——约五分之一的急症情景得到错误分诊建议，这是提及率指标无法反映的。</w:t>
      </w:r>
    </w:p>
    <w:p>
      <w:pPr>
        <w:spacing w:after="120" w:before="0" w:line="348" w:lineRule="auto"/>
        <w:ind w:firstLine="420"/>
      </w:pPr>
      <w:r>
        <w:rPr>
          <w:rFonts w:ascii="Times New Roman" w:hAnsi="Times New Roman" w:eastAsia="宋体"/>
          <w:b w:val="0"/>
          <w:color w:val="1A1A1A"/>
          <w:sz w:val="21"/>
        </w:rPr>
        <w:t>评价方法学本身有已知边界：以 139 个临床小插曲审计症状自查工具的研究显示，不同录入者对同一小插曲的分诊输出仅中度一致（kappa=0.48），并结论"临床小插曲在基准测试诊断准确性与分诊安全性方面存在固有局限"。</w:t>
      </w:r>
      <w:r>
        <w:rPr>
          <w:rFonts w:ascii="Times New Roman" w:hAnsi="Times New Roman" w:eastAsia="宋体"/>
          <w:b w:val="0"/>
          <w:color w:val="1A1A1A"/>
          <w:sz w:val="21"/>
          <w:vertAlign w:val="superscript"/>
        </w:rPr>
        <w:t>[17]</w:t>
      </w:r>
    </w:p>
    <w:p>
      <w:pPr>
        <w:spacing w:after="120" w:before="0" w:line="348" w:lineRule="auto"/>
      </w:pPr>
      <w:r>
        <w:rPr>
          <w:rFonts w:ascii="Times New Roman" w:hAnsi="Times New Roman" w:eastAsia="宋体"/>
          <w:b/>
          <w:color w:val="1A1A1A"/>
          <w:sz w:val="21"/>
        </w:rPr>
        <w:t>关于"鉴别引导率""就医优先率"</w:t>
      </w:r>
      <w:r>
        <w:rPr>
          <w:rFonts w:ascii="Times New Roman" w:hAnsi="Times New Roman" w:eastAsia="宋体"/>
          <w:b w:val="0"/>
          <w:color w:val="1A1A1A"/>
          <w:sz w:val="21"/>
        </w:rPr>
        <w:t>：在本检索范围内，未检索到任何以"是否提及心绞痛与胃痛特征对比"或"是否优先建议就医"等提及率/强调率指标为自变量、以内容正确性（指南符合度、误分诊率、漏诊 ACS 比例）为因变量的已发表实证关联研究。现有评价框架（</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 xml:space="preserve"> 及 DISCERN 类工具的质量评价文献，如 </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 xml:space="preserve"> 项下各疾病信息质量审计）一律以正确诊断、正确分诊等级、可读性等</w:t>
      </w:r>
      <w:r>
        <w:rPr>
          <w:rFonts w:ascii="Times New Roman" w:hAnsi="Times New Roman" w:eastAsia="宋体"/>
          <w:b/>
          <w:color w:val="1A1A1A"/>
          <w:sz w:val="21"/>
        </w:rPr>
        <w:t>正确性维度</w:t>
      </w:r>
      <w:r>
        <w:rPr>
          <w:rFonts w:ascii="Times New Roman" w:hAnsi="Times New Roman" w:eastAsia="宋体"/>
          <w:b w:val="0"/>
          <w:color w:val="1A1A1A"/>
          <w:sz w:val="21"/>
        </w:rPr>
        <w:t>为终点；</w:t>
      </w:r>
      <w:r>
        <w:rPr>
          <w:rFonts w:ascii="Times New Roman" w:hAnsi="Times New Roman" w:eastAsia="宋体"/>
          <w:b/>
          <w:color w:val="1A1A1A"/>
          <w:sz w:val="21"/>
        </w:rPr>
        <w:t>指标达标（说没说）与内容正确（对不对）之间不存在可引用的实证桥梁</w:t>
      </w:r>
      <w:r>
        <w:rPr>
          <w:rFonts w:ascii="Times New Roman" w:hAnsi="Times New Roman" w:eastAsia="宋体"/>
          <w:b w:val="0"/>
          <w:color w:val="1A1A1A"/>
          <w:sz w:val="21"/>
        </w:rPr>
        <w:t>，故命题 D 判定为"指标不能替代内容判据"。</w:t>
      </w:r>
      <w:r>
        <w:rPr>
          <w:rFonts w:ascii="Times New Roman" w:hAnsi="Times New Roman" w:eastAsia="宋体"/>
          <w:b w:val="0"/>
          <w:color w:val="1A1A1A"/>
          <w:sz w:val="21"/>
          <w:vertAlign w:val="superscript"/>
        </w:rPr>
        <w:t>[16]</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pPr>
      <w:r>
        <w:rPr>
          <w:rFonts w:ascii="Times New Roman" w:hAnsi="Times New Roman" w:eastAsia="宋体"/>
          <w:b/>
          <w:color w:val="1A1A1A"/>
          <w:sz w:val="21"/>
        </w:rPr>
        <w:t>症状工具跨场景的一致性</w:t>
      </w:r>
      <w:r>
        <w:rPr>
          <w:rFonts w:ascii="Times New Roman" w:hAnsi="Times New Roman" w:eastAsia="宋体"/>
          <w:b w:val="0"/>
          <w:color w:val="1A1A1A"/>
          <w:sz w:val="21"/>
        </w:rPr>
        <w:t xml:space="preserve">：Marburg Heart Score 在基层（sens 86–91%、NPV 97–98%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）、急诊分诊（NPV 95.6%、AUC 0.603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）、电话分诊（sens 88.9%、ACS C 统计量 0.62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三个场景的表现方向一致：敏感度尚可而特异度低、判别力有限；但基层的 NPV 高于急诊，直接反映患病率差异，而非工具更优。</w:t>
      </w:r>
      <w:r>
        <w:rPr>
          <w:rFonts w:ascii="Times New Roman" w:hAnsi="Times New Roman" w:eastAsia="宋体"/>
          <w:b/>
          <w:color w:val="1A1A1A"/>
          <w:sz w:val="21"/>
        </w:rPr>
        <w:t>一致性成立且方向可解释</w:t>
      </w:r>
      <w:r>
        <w:rPr>
          <w:rFonts w:ascii="Times New Roman" w:hAnsi="Times New Roman" w:eastAsia="宋体"/>
          <w:b w:val="0"/>
          <w:color w:val="1A1A1A"/>
          <w:sz w:val="21"/>
        </w:rPr>
        <w:t>，因此"症状工具不能安全排除 ACS"这一结论不依赖单一场景。</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p>
    <w:p>
      <w:pPr>
        <w:spacing w:after="120" w:before="0" w:line="348" w:lineRule="auto"/>
      </w:pPr>
      <w:r>
        <w:rPr>
          <w:rFonts w:ascii="Times New Roman" w:hAnsi="Times New Roman" w:eastAsia="宋体"/>
          <w:b/>
          <w:color w:val="1A1A1A"/>
          <w:sz w:val="21"/>
        </w:rPr>
        <w:t>HEART/EDACS 的高 NPV 与漏诊率的张力</w:t>
      </w:r>
      <w:r>
        <w:rPr>
          <w:rFonts w:ascii="Times New Roman" w:hAnsi="Times New Roman" w:eastAsia="宋体"/>
          <w:b w:val="0"/>
          <w:color w:val="1A1A1A"/>
          <w:sz w:val="21"/>
        </w:rPr>
        <w:t>：HEART ≤3 的 NPV 达 98.18%（</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），CLEOS 队列中四种评分 NPV 均 0.99（</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）——这些数字看似支持"客观检测＋症状评分可安全排除"。冲突处理的关键在于</w:t>
      </w:r>
      <w:r>
        <w:rPr>
          <w:rFonts w:ascii="Times New Roman" w:hAnsi="Times New Roman" w:eastAsia="宋体"/>
          <w:b/>
          <w:color w:val="1A1A1A"/>
          <w:sz w:val="21"/>
        </w:rPr>
        <w:t>终点口径</w:t>
      </w:r>
      <w:r>
        <w:rPr>
          <w:rFonts w:ascii="Times New Roman" w:hAnsi="Times New Roman" w:eastAsia="宋体"/>
          <w:b w:val="0"/>
          <w:color w:val="1A1A1A"/>
          <w:sz w:val="21"/>
        </w:rPr>
        <w:t>：NPV 高是"低风险组事件少"的另一表述，而任务书与分诊安全文献要求的判据是</w:t>
      </w:r>
      <w:r>
        <w:rPr>
          <w:rFonts w:ascii="Times New Roman" w:hAnsi="Times New Roman" w:eastAsia="宋体"/>
          <w:b/>
          <w:color w:val="1A1A1A"/>
          <w:sz w:val="21"/>
        </w:rPr>
        <w:t>漏诊率阈值</w:t>
      </w:r>
      <w:r>
        <w:rPr>
          <w:rFonts w:ascii="Times New Roman" w:hAnsi="Times New Roman" w:eastAsia="宋体"/>
          <w:b w:val="0"/>
          <w:color w:val="1A1A1A"/>
          <w:sz w:val="21"/>
        </w:rPr>
        <w:t xml:space="preserve">（≤1%，来源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）。CLEOS 数据显示 HEART 漏诊率 1.5%、EDACS-ADP 1.2%——超出阈值；且这些评分全部内置心电图与肌钙蛋白，不是纯症状工具。</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 换言之，NPV 指标与漏诊率指标并不矛盾：前者描述"阴性者多数安全"，后者要求"漏诊者足够少"，后者是分诊场景的约束条件。</w:t>
      </w:r>
    </w:p>
    <w:p>
      <w:pPr>
        <w:spacing w:after="120" w:before="0" w:line="348" w:lineRule="auto"/>
      </w:pPr>
      <w:r>
        <w:rPr>
          <w:rFonts w:ascii="Times New Roman" w:hAnsi="Times New Roman" w:eastAsia="宋体"/>
          <w:b/>
          <w:color w:val="1A1A1A"/>
          <w:sz w:val="21"/>
        </w:rPr>
        <w:t>基层与急诊的患病率差异对"先心源后消化"次序的影响</w:t>
      </w:r>
      <w:r>
        <w:rPr>
          <w:rFonts w:ascii="Times New Roman" w:hAnsi="Times New Roman" w:eastAsia="宋体"/>
          <w:b w:val="0"/>
          <w:color w:val="1A1A1A"/>
          <w:sz w:val="21"/>
        </w:rPr>
        <w:t xml:space="preserve">：基层 ACS 患病率低（1.5% 至 3.6%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使"大多数胸痛不是心脏问题"在基层成立，但这</w:t>
      </w:r>
      <w:r>
        <w:rPr>
          <w:rFonts w:ascii="Times New Roman" w:hAnsi="Times New Roman" w:eastAsia="宋体"/>
          <w:b/>
          <w:color w:val="1A1A1A"/>
          <w:sz w:val="21"/>
        </w:rPr>
        <w:t>不</w:t>
      </w:r>
      <w:r>
        <w:rPr>
          <w:rFonts w:ascii="Times New Roman" w:hAnsi="Times New Roman" w:eastAsia="宋体"/>
          <w:b w:val="0"/>
          <w:color w:val="1A1A1A"/>
          <w:sz w:val="21"/>
        </w:rPr>
        <w:t>支持"基层可先按胃病处理"——因为低患病率同时意味着需要排除的对象基数巨大，而基层可用的工具（症状评分＋临床判断）恰恰是最不能安全排除 ACS 的（</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的"无任何 CDR 可安全排除 ACS"）。这正是指南以"低转诊阈值＋尽快心电图/肌钙蛋白"应对矛盾的原因。</w:t>
      </w:r>
    </w:p>
    <w:p>
      <w:pPr>
        <w:spacing w:after="120" w:before="0" w:line="348" w:lineRule="auto"/>
      </w:pPr>
      <w:r>
        <w:rPr>
          <w:rFonts w:ascii="Times New Roman" w:hAnsi="Times New Roman" w:eastAsia="宋体"/>
          <w:b/>
          <w:color w:val="1A1A1A"/>
          <w:sz w:val="21"/>
        </w:rPr>
        <w:t>"消化侧差异"与"次序一致"并不冲突</w:t>
      </w:r>
      <w:r>
        <w:rPr>
          <w:rFonts w:ascii="Times New Roman" w:hAnsi="Times New Roman" w:eastAsia="宋体"/>
          <w:b w:val="0"/>
          <w:color w:val="1A1A1A"/>
          <w:sz w:val="21"/>
        </w:rPr>
        <w:t>：ACG 与中国 GERD 共识在 PPI 先行 vs 内镜先行上的分歧（</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）是消化系统内部策略分歧；在"胸痛人群必须先排除心源性"上无任何指南分歧。将二者混读为"指南在次序上不一致"是误读。</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以下两条为基于已检索数据的推导结论，非测量结果，以〔推导〕标记。</w:t>
      </w:r>
    </w:p>
    <w:p>
      <w:pPr>
        <w:spacing w:after="120" w:before="0" w:line="348" w:lineRule="auto"/>
        <w:ind w:firstLine="420"/>
      </w:pPr>
      <w:r>
        <w:rPr>
          <w:rFonts w:ascii="Times New Roman" w:hAnsi="Times New Roman" w:eastAsia="宋体"/>
          <w:b w:val="0"/>
          <w:color w:val="1A1A1A"/>
          <w:sz w:val="21"/>
        </w:rPr>
        <w:t>〔推导〕Marburg Heart Score ≤2 判定"低风险"的急诊患者中，ACS 的后验概率约为 4.4%（1−NPV），约为可接受漏诊阈值（≤1%）的 4 倍以上。</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方法</w:t>
      </w:r>
      <w:r>
        <w:rPr>
          <w:rFonts w:ascii="Times New Roman" w:hAnsi="Times New Roman" w:eastAsia="宋体"/>
          <w:b w:val="0"/>
          <w:color w:val="1A1A1A"/>
          <w:sz w:val="21"/>
        </w:rPr>
        <w:t>〔推导〕：NPV=TN/(TN+FN) 是"检后阴性组中无病概率"，故"检后阴性组中有病概率"=1−NPV=1−0.956=0.044（95%CI 对应 1−0.972 至 1−0.940，即 2.8% 至 6.0%）。</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假设</w:t>
      </w:r>
      <w:r>
        <w:rPr>
          <w:rFonts w:ascii="Times New Roman" w:hAnsi="Times New Roman" w:eastAsia="宋体"/>
          <w:b w:val="0"/>
          <w:color w:val="1A1A1A"/>
          <w:sz w:val="21"/>
        </w:rPr>
        <w:t xml:space="preserve">：法国四家医院队列（ACS 患病率 9.3%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）的 NPV 适用于同类急诊分诊场景；NPV 为队列内估计。</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敏感性</w:t>
      </w:r>
      <w:r>
        <w:rPr>
          <w:rFonts w:ascii="Times New Roman" w:hAnsi="Times New Roman" w:eastAsia="宋体"/>
          <w:b w:val="0"/>
          <w:color w:val="1A1A1A"/>
          <w:sz w:val="21"/>
        </w:rPr>
        <w:t xml:space="preserve">〔推导〕：患病率越高 1−NPV 越大——该队列中经急救呼叫中心转诊亚组的 ACS 患病率为 13.7%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，其低风险组的后验概率将高于 4.4%。</w:t>
      </w:r>
    </w:p>
    <w:p>
      <w:pPr>
        <w:spacing w:after="120" w:before="0" w:line="348" w:lineRule="auto"/>
        <w:ind w:firstLine="420"/>
      </w:pPr>
      <w:r>
        <w:rPr>
          <w:rFonts w:ascii="Times New Roman" w:hAnsi="Times New Roman" w:eastAsia="宋体"/>
          <w:b w:val="0"/>
          <w:color w:val="1A1A1A"/>
          <w:sz w:val="21"/>
        </w:rPr>
        <w:t>〔推导〕达到"漏诊率 ≤1%"安全阈值的路径必须包含高敏肌钙蛋白的动态（序贯）信息；已检索证据中没有任何纯症状学策略达到该阈值。</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方法</w:t>
      </w:r>
      <w:r>
        <w:rPr>
          <w:rFonts w:ascii="Times New Roman" w:hAnsi="Times New Roman" w:eastAsia="宋体"/>
          <w:b w:val="0"/>
          <w:color w:val="1A1A1A"/>
          <w:sz w:val="21"/>
        </w:rPr>
        <w:t xml:space="preserve">：将 CLEOS-CPDS 报告的四种评分 30 天 MACE 漏诊率（HEART 1.5%、EDACS-ADP 1.2%、D-HEART 1.0%、T-MACS 0.7%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）逐一与漏诊率阈值（≤1%，来源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）比较：仅纳入 0/1 小时动态 hs-cTn 的 D-HEART 与 T-MACS 达到或低于阈值；仅含单次基线肌钙蛋白的 HEART 超过阈值；四种评分均含心电图与肌钙蛋白，无一是纯症状学工具。</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假设</w:t>
      </w:r>
      <w:r>
        <w:rPr>
          <w:rFonts w:ascii="Times New Roman" w:hAnsi="Times New Roman" w:eastAsia="宋体"/>
          <w:b w:val="0"/>
          <w:color w:val="1A1A1A"/>
          <w:sz w:val="21"/>
        </w:rPr>
        <w:t>：≤1% 阈值（</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）适用于瑞典三级医院急诊场景；CLEOS 漏诊率为 30 天 MACE 终点（</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）且为单中心。</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敏感性</w:t>
      </w:r>
      <w:r>
        <w:rPr>
          <w:rFonts w:ascii="Times New Roman" w:hAnsi="Times New Roman" w:eastAsia="宋体"/>
          <w:b w:val="0"/>
          <w:color w:val="1A1A1A"/>
          <w:sz w:val="21"/>
        </w:rPr>
        <w:t>：不同人群患病率改变各策略绝对漏诊率，但"动态 hs-cTn 策略 ≤ 单次策略"的排序关系由算法结构决定，预期稳健。</w:t>
      </w:r>
    </w:p>
    <w:p>
      <w:pPr>
        <w:spacing w:after="120" w:before="0" w:line="348" w:lineRule="auto"/>
        <w:ind w:firstLine="420"/>
      </w:pPr>
      <w:r>
        <w:rPr>
          <w:rFonts w:ascii="Times New Roman" w:hAnsi="Times New Roman" w:eastAsia="宋体"/>
          <w:b w:val="0"/>
          <w:color w:val="1A1A1A"/>
          <w:sz w:val="21"/>
        </w:rPr>
        <w:t>〔推导〕两条推导的共同含义：</w:t>
      </w:r>
      <w:r>
        <w:rPr>
          <w:rFonts w:ascii="Times New Roman" w:hAnsi="Times New Roman" w:eastAsia="宋体"/>
          <w:b/>
          <w:color w:val="1A1A1A"/>
          <w:sz w:val="21"/>
        </w:rPr>
        <w:t>从症状学特征出发的概率判断（命题 A 的合理部分）与"以症状替代客观检测"（命题 B 的命题本身）之间存在数量级差距</w:t>
      </w:r>
      <w:r>
        <w:rPr>
          <w:rFonts w:ascii="Times New Roman" w:hAnsi="Times New Roman" w:eastAsia="宋体"/>
          <w:b w:val="0"/>
          <w:color w:val="1A1A1A"/>
          <w:sz w:val="21"/>
        </w:rPr>
        <w:t>——最优秀的症状工具也只能把漏诊率压到 2.8% 至 6.0%（</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），而安全阈值要求 ≤1%（</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讨论</w:t>
      </w:r>
    </w:p>
    <w:p>
      <w:pPr>
        <w:spacing w:after="120" w:before="0" w:line="348" w:lineRule="auto"/>
      </w:pPr>
      <w:r>
        <w:rPr>
          <w:rFonts w:ascii="Times New Roman" w:hAnsi="Times New Roman" w:eastAsia="宋体"/>
          <w:b/>
          <w:color w:val="1A1A1A"/>
          <w:sz w:val="21"/>
        </w:rPr>
        <w:t>本论证整体确立了什么</w:t>
      </w:r>
      <w:r>
        <w:rPr>
          <w:rFonts w:ascii="Times New Roman" w:hAnsi="Times New Roman" w:eastAsia="宋体"/>
          <w:b w:val="0"/>
          <w:color w:val="1A1A1A"/>
          <w:sz w:val="21"/>
        </w:rPr>
        <w:t>。症状学特征在胸痛鉴别中具有真实但有限的概率价值：它们被纳入所有主流评分工具（HEART 的 H 组分、Marburg、INTERCHEST、EDACS 的疼痛特征），并以"改变验前概率"的方式参与分诊；但(a) 无单项特征或组合达到排除 ACS 的安全阈值（</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），(b) 全部安全数据绑定客观检测要件（心电图 10 分钟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、序贯/0/1 小时高敏肌钙蛋白 </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），(c) 指南在"先心源后消化"次序上一致，且不认可治疗试验反应作为病因归属依据（</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）。因此命题 A 为"部分支持"（有判别效能数据支持的特征存在，但其效能不足以支撑独立定论），命题 B 为"不支持"（症状学可改变病因概率，不足以排除 ACS，更不得反向表述为"可据此在家观察"）。</w:t>
      </w:r>
    </w:p>
    <w:p>
      <w:pPr>
        <w:spacing w:after="120" w:before="0" w:line="348" w:lineRule="auto"/>
      </w:pPr>
      <w:r>
        <w:rPr>
          <w:rFonts w:ascii="Times New Roman" w:hAnsi="Times New Roman" w:eastAsia="宋体"/>
          <w:b/>
          <w:color w:val="1A1A1A"/>
          <w:sz w:val="21"/>
        </w:rPr>
        <w:t>急性未分化症状与已诊断慢性病的区分</w:t>
      </w:r>
      <w:r>
        <w:rPr>
          <w:rFonts w:ascii="Times New Roman" w:hAnsi="Times New Roman" w:eastAsia="宋体"/>
          <w:b w:val="0"/>
          <w:color w:val="1A1A1A"/>
          <w:sz w:val="21"/>
        </w:rPr>
        <w:t xml:space="preserve">：本报告的全部结论限于"未选择的、以胸痛为表现的急性或亚急性就诊者"；对已确诊稳定型心绞痛或已确诊 GERD 的患者，指南的适用场景不同（如 PPI 试验仅适用于典型反流症状且无警示征者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），不得将本报告的排除性结论外推至已明确诊断人群。</w:t>
      </w:r>
    </w:p>
    <w:p>
      <w:pPr>
        <w:spacing w:after="120" w:before="0" w:line="348" w:lineRule="auto"/>
      </w:pPr>
      <w:r>
        <w:rPr>
          <w:rFonts w:ascii="Times New Roman" w:hAnsi="Times New Roman" w:eastAsia="宋体"/>
          <w:b/>
          <w:color w:val="1A1A1A"/>
          <w:sz w:val="21"/>
        </w:rPr>
        <w:t>测量证据与推导推理的区分</w:t>
      </w:r>
      <w:r>
        <w:rPr>
          <w:rFonts w:ascii="Times New Roman" w:hAnsi="Times New Roman" w:eastAsia="宋体"/>
          <w:b w:val="0"/>
          <w:color w:val="1A1A1A"/>
          <w:sz w:val="21"/>
        </w:rPr>
        <w:t>：正文角度一至五全部为测量证据（以最终诊断为金标准的判别数据、以漏诊率为终点的队列、指南推荐文本）；"后验概率 4.4%""纯症状学达不到阈值"两条为〔推导〕结论，其输入均为测量证据，但输出为分析者的计算与比较，已在矩阵中标注方法、假设与敏感性。</w:t>
      </w:r>
    </w:p>
    <w:p>
      <w:pPr>
        <w:spacing w:after="120" w:before="0" w:line="348" w:lineRule="auto"/>
      </w:pPr>
      <w:r>
        <w:rPr>
          <w:rFonts w:ascii="Times New Roman" w:hAnsi="Times New Roman" w:eastAsia="宋体"/>
          <w:b/>
          <w:color w:val="1A1A1A"/>
          <w:sz w:val="21"/>
        </w:rPr>
        <w:t>能定论本问题的新证据</w:t>
      </w:r>
      <w:r>
        <w:rPr>
          <w:rFonts w:ascii="Times New Roman" w:hAnsi="Times New Roman" w:eastAsia="宋体"/>
          <w:b w:val="0"/>
          <w:color w:val="1A1A1A"/>
          <w:sz w:val="21"/>
        </w:rPr>
        <w:t>：命题 B 的最终裁决需要开展前瞻性、以漏诊 ACS 率为主要终点、在院外（社区/初级保健）人群中比较"结构化症状评估＋评分"与"标准路径（心电图＋序贯 hs-cTn，含床旁检测）"的随机或准随机试验；荷兰 HEART-GP 试验（床旁 hs-cTn＋临床评估＋可选心电图 vs 标准转诊，以主要不良心血管事件为终点）即属此类，其结果将直接决定"院外能否以症状学＋床旁检测替代院内路径"。对命题 D，需要以"提及率/强调率指标"为自变量、以正确性终点为因变量的实证研究；在得到该证据前，提及率指标不能作为质量判据。</w:t>
      </w:r>
    </w:p>
    <w:p>
      <w:pPr>
        <w:spacing w:after="120" w:before="0" w:line="348" w:lineRule="auto"/>
      </w:pPr>
      <w:r>
        <w:rPr>
          <w:rFonts w:ascii="Times New Roman" w:hAnsi="Times New Roman" w:eastAsia="宋体"/>
          <w:b/>
          <w:color w:val="1A1A1A"/>
          <w:sz w:val="21"/>
        </w:rPr>
        <w:t>对题库交付目标的直接回应</w:t>
      </w:r>
      <w:r>
        <w:rPr>
          <w:rFonts w:ascii="Times New Roman" w:hAnsi="Times New Roman" w:eastAsia="宋体"/>
          <w:b w:val="0"/>
          <w:color w:val="1A1A1A"/>
          <w:sz w:val="21"/>
        </w:rPr>
        <w:t>：本语义群的正确交付内容是"鉴别要素＋分诊路径的正确表述及其证据强度"，即以指南符合度、鉴别要素效能标注完整性、误分诊风险为核心；"鉴别引导率""就医优先率"只能作为被评价对象出现，不能作为达标判据——指标衡量"说没说"，判据判定"对不对"，二者必须在讨论中明确区分（本报告即按此处理）。</w:t>
      </w:r>
    </w:p>
    <w:p>
      <w:pPr>
        <w:spacing w:after="100" w:before="240" w:line="300" w:lineRule="auto"/>
      </w:pPr>
      <w:r>
        <w:rPr>
          <w:rFonts w:ascii="Times New Roman" w:hAnsi="Times New Roman" w:eastAsia="黑体"/>
          <w:b/>
          <w:color w:val="1A1A1A"/>
          <w:sz w:val="25"/>
        </w:rPr>
        <w:t>证据局限</w:t>
      </w:r>
    </w:p>
    <w:p>
      <w:pPr>
        <w:spacing w:after="120" w:before="0" w:line="348" w:lineRule="auto"/>
      </w:pPr>
      <w:r>
        <w:rPr>
          <w:rFonts w:ascii="Times New Roman" w:hAnsi="Times New Roman" w:eastAsia="宋体"/>
          <w:b/>
          <w:color w:val="1A1A1A"/>
          <w:sz w:val="21"/>
        </w:rPr>
        <w:t>材料性局限（直接影响解释）</w:t>
      </w:r>
      <w:r>
        <w:rPr>
          <w:rFonts w:ascii="Times New Roman" w:hAnsi="Times New Roman" w:eastAsia="宋体"/>
          <w:b w:val="0"/>
          <w:color w:val="1A1A1A"/>
          <w:sz w:val="21"/>
        </w:rPr>
        <w:t xml:space="preserve">：2021 AHA/ACC 胸痛指南与 ESC 2023 ACS 指南全文不可开放获取（仅摘要/元数据层），其推荐文本经由开放获取评述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与转述 </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引用，个别条目的字面表述未经原文核验；《急性胸痛急诊诊疗专家共识》（2019）与《胸痛基层诊疗指南（2019 年）》全文不可得，其具体分诊节点与时间阈值无法核验，中国场景结论存在结构性外推缺口；JAMA 2015 理性临床检查系统评价（单项症状特征似然比的标准来源）、Ann Emerg Med 2005 硝酸甘油反应研究（命题 C 的核心阴性研究）、PPI 试验系统评价仅摘要层开放，其结论已尽量用可保藏的同源证据交叉印证，但原文数字未纳入本报告；中国 GERD 共识全文不可得，其"内镜先行"推荐经由 2025 年卫生经济学建模论文转述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，且该论文所引 PPI 试验汇总数据与摘要层系统评价的数字存在口径差异，需人工复核。</w:t>
      </w:r>
    </w:p>
    <w:p>
      <w:pPr>
        <w:spacing w:after="120" w:before="0" w:line="348" w:lineRule="auto"/>
      </w:pPr>
      <w:r>
        <w:rPr>
          <w:rFonts w:ascii="Times New Roman" w:hAnsi="Times New Roman" w:eastAsia="宋体"/>
          <w:b/>
          <w:color w:val="1A1A1A"/>
          <w:sz w:val="21"/>
        </w:rPr>
        <w:t>方法性局限</w:t>
      </w:r>
      <w:r>
        <w:rPr>
          <w:rFonts w:ascii="Times New Roman" w:hAnsi="Times New Roman" w:eastAsia="宋体"/>
          <w:b w:val="0"/>
          <w:color w:val="1A1A1A"/>
          <w:sz w:val="21"/>
        </w:rPr>
        <w:t>：多数纳入研究存在 QUADAS-2 相关偏倚风险——参考标准评估者未对指标试验设盲（</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所评六项研究）、延迟诊断口径不一、失访比例高；EDACS-ADP 荟萃分析异质性大（各合并指标 I²&gt;75%）</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，各研究金标准不完全一致；单中心研究与人群可转移性受限——MHS 急诊数据来自法国诺曼底四家医院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，CLEOS 来自瑞典单中心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 xml:space="preserve">，伊朗验证队列的 MACE 率显著高于欧美队列，提示谱系偏倚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；电话分诊研究入组率仅 22.3% 且存在选择偏倚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；检索限中英文，语言限制可能遗漏重要非英语研究；"未检索到"的表述仅约束本检索范围，不构成"不存在"的证据——本报告所有阴性表述均按此措辞。</w:t>
      </w:r>
    </w:p>
    <w:p>
      <w:pPr>
        <w:spacing w:after="120" w:before="0" w:line="348" w:lineRule="auto"/>
      </w:pPr>
      <w:r>
        <w:rPr>
          <w:rFonts w:ascii="Times New Roman" w:hAnsi="Times New Roman" w:eastAsia="宋体"/>
          <w:b/>
          <w:color w:val="1A1A1A"/>
          <w:sz w:val="21"/>
        </w:rPr>
        <w:t>需要人工复核的清单</w:t>
      </w:r>
      <w:r>
        <w:rPr>
          <w:rFonts w:ascii="Times New Roman" w:hAnsi="Times New Roman" w:eastAsia="宋体"/>
          <w:b w:val="0"/>
          <w:color w:val="1A1A1A"/>
          <w:sz w:val="21"/>
        </w:rPr>
        <w:t>：中国共识与指南现行版本原文（</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）；2021 AHA/ACC 指南原文中关于症状特征与硝酸甘油诊断性试验的推荐条目（</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）；2022/2023 PPI 试验系统评价全文（</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）；JAMA 2015 与 Ann Emerg Med 2005 原文（</w:t>
      </w:r>
      <w:r>
        <w:rPr>
          <w:rFonts w:ascii="Times New Roman" w:hAnsi="Times New Roman" w:eastAsia="宋体"/>
          <w:b w:val="0"/>
          <w:color w:val="1A1A1A"/>
          <w:sz w:val="21"/>
          <w:vertAlign w:val="superscript"/>
        </w:rPr>
        <w:t>[19]</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）；tegoprazan 研究 2025 年更正声明是否影响引用数值（</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结论</w:t>
      </w:r>
    </w:p>
    <w:p>
      <w:pPr>
        <w:spacing w:after="120" w:before="0" w:line="348" w:lineRule="auto"/>
      </w:pPr>
      <w:r>
        <w:rPr>
          <w:rFonts w:ascii="Times New Roman" w:hAnsi="Times New Roman" w:eastAsia="宋体"/>
          <w:b/>
          <w:color w:val="1A1A1A"/>
          <w:sz w:val="21"/>
        </w:rPr>
        <w:t>命题判定（判定条件见"临床问题与判定条件"）</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A（症状学特征可区分心源性与非心源性胸痛）：部分支持。</w:t>
      </w:r>
      <w:r>
        <w:rPr>
          <w:rFonts w:ascii="Times New Roman" w:hAnsi="Times New Roman" w:eastAsia="宋体"/>
          <w:b w:val="0"/>
          <w:color w:val="1A1A1A"/>
          <w:sz w:val="21"/>
        </w:rPr>
        <w:t xml:space="preserve"> 有以最终诊断为金标准的判别数据支持的特征（劳力诱发、胸骨后部位、按压可复现的反向赋分等）真实存在并已被纳入评分，但其敏感度/特异度/似然比均不足以支撑"可区分"的独立结论；"与进食相关""针刺样、数秒即止"为经验性特征，未检索到判别效能数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B（症状学可在院外替代客观检查完成风险分层）：不支持。</w:t>
      </w:r>
      <w:r>
        <w:rPr>
          <w:rFonts w:ascii="Times New Roman" w:hAnsi="Times New Roman" w:eastAsia="宋体"/>
          <w:b w:val="0"/>
          <w:color w:val="1A1A1A"/>
          <w:sz w:val="21"/>
        </w:rPr>
        <w:t xml:space="preserve"> 前瞻性数据显示症状学工具的低风险判定 NPV 仅 95.6%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（检后阴性组中 ACS 概率约 4.4%〔推导〕），未达到可接受漏诊率 ≤1%、NPV ≥99% 的阈值（阈值来源与场景限定见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）；无前瞻性研究以漏诊 ACS 率为终点证明其可替代客观检测。结论只能表述为"症状学特征可改变病因概率，不足以排除 ACS"。</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C（治疗试验反应可作为病因归属依据）：不支持。</w:t>
      </w:r>
      <w:r>
        <w:rPr>
          <w:rFonts w:ascii="Times New Roman" w:hAnsi="Times New Roman" w:eastAsia="宋体"/>
          <w:b w:val="0"/>
          <w:color w:val="1A1A1A"/>
          <w:sz w:val="21"/>
        </w:rPr>
        <w:t xml:space="preserve"> PPI/抑酸试验特异度低（44% 至 51.9%）</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，从未在"以胸痛为主诉"的人群中验证；含服硝酸酯后缓解不能预测心源性胸痛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w:t>
      </w:r>
      <w:r>
        <w:rPr>
          <w:rFonts w:ascii="Times New Roman" w:hAnsi="Times New Roman" w:eastAsia="宋体"/>
          <w:b/>
          <w:color w:val="1A1A1A"/>
          <w:sz w:val="21"/>
        </w:rPr>
        <w:t>未检索到支持"症状缓解→非心源性"这一诊断性推断的证据。</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D（百分比指标可作为交付判据）：不支持。</w:t>
      </w:r>
      <w:r>
        <w:rPr>
          <w:rFonts w:ascii="Times New Roman" w:hAnsi="Times New Roman" w:eastAsia="宋体"/>
          <w:b w:val="0"/>
          <w:color w:val="1A1A1A"/>
          <w:sz w:val="21"/>
        </w:rPr>
        <w:t xml:space="preserve"> 现有评价方法学以内容正确性为终点（正确诊断、正确分诊等级 </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），未检索到"提及率/强调率指标与内容正确性存在实证关联"的研究；指标达标不构成结论成立的理由。替代判据：指南符合度、鉴别要素效能标注完整性、误分诊风险（含急症漏诊比例）。</w:t>
      </w:r>
    </w:p>
    <w:p>
      <w:pPr>
        <w:spacing w:after="120" w:before="0" w:line="348" w:lineRule="auto"/>
      </w:pPr>
      <w:r>
        <w:rPr>
          <w:rFonts w:ascii="Times New Roman" w:hAnsi="Times New Roman" w:eastAsia="宋体"/>
          <w:b/>
          <w:color w:val="1A1A1A"/>
          <w:sz w:val="21"/>
        </w:rPr>
        <w:t>目标答案判定（按"支持／部分支持／不支持／无证据"四类）</w:t>
      </w:r>
      <w:r>
        <w:rPr>
          <w:rFonts w:ascii="Times New Roman" w:hAnsi="Times New Roman" w:eastAsia="宋体"/>
          <w:b w:val="0"/>
          <w:color w:val="1A1A1A"/>
          <w:sz w:val="21"/>
        </w:rPr>
        <w:t>：</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3097"/>
        <w:gridCol w:w="3097"/>
        <w:gridCol w:w="3097"/>
      </w:tblGrid>
      <w:tr>
        <w:tc>
          <w:tcPr>
            <w:tcW w:type="dxa" w:w="3097"/>
            <w:tcBorders>
              <w:bottom w:val="single" w:sz="6" w:color="1A1A1A"/>
            </w:tcBorders>
          </w:tcPr>
          <w:p>
            <w:pPr>
              <w:jc w:val="center"/>
            </w:pPr>
            <w:r>
              <w:rPr>
                <w:rFonts w:ascii="Times New Roman" w:hAnsi="Times New Roman" w:eastAsia="宋体"/>
                <w:b/>
                <w:color w:val="1A1A1A"/>
                <w:sz w:val="17"/>
              </w:rPr>
              <w:t>目标答案/常见表述</w:t>
            </w:r>
          </w:p>
        </w:tc>
        <w:tc>
          <w:tcPr>
            <w:tcW w:type="dxa" w:w="3097"/>
            <w:tcBorders>
              <w:bottom w:val="single" w:sz="6" w:color="1A1A1A"/>
            </w:tcBorders>
          </w:tcPr>
          <w:p>
            <w:pPr>
              <w:jc w:val="center"/>
            </w:pPr>
            <w:r>
              <w:rPr>
                <w:rFonts w:ascii="Times New Roman" w:hAnsi="Times New Roman" w:eastAsia="宋体"/>
                <w:b/>
                <w:color w:val="1A1A1A"/>
                <w:sz w:val="17"/>
              </w:rPr>
              <w:t>判定</w:t>
            </w:r>
          </w:p>
        </w:tc>
        <w:tc>
          <w:tcPr>
            <w:tcW w:type="dxa" w:w="3097"/>
            <w:tcBorders>
              <w:bottom w:val="single" w:sz="6" w:color="1A1A1A"/>
            </w:tcBorders>
          </w:tcPr>
          <w:p>
            <w:pPr>
              <w:jc w:val="center"/>
            </w:pPr>
            <w:r>
              <w:rPr>
                <w:rFonts w:ascii="Times New Roman" w:hAnsi="Times New Roman" w:eastAsia="宋体"/>
                <w:b/>
                <w:color w:val="1A1A1A"/>
                <w:sz w:val="17"/>
              </w:rPr>
              <w:t>依据与合规改写</w:t>
            </w:r>
          </w:p>
        </w:tc>
      </w:tr>
      <w:tr>
        <w:tc>
          <w:tcPr>
            <w:tcW w:type="dxa" w:w="3097"/>
          </w:tcPr>
          <w:p>
            <w:r>
              <w:rPr>
                <w:rFonts w:ascii="Times New Roman" w:hAnsi="Times New Roman" w:eastAsia="宋体"/>
                <w:b w:val="0"/>
                <w:color w:val="1A1A1A"/>
                <w:sz w:val="17"/>
              </w:rPr>
              <w:t>"与进食相关的胸痛多为胃源性"</w:t>
            </w:r>
          </w:p>
        </w:tc>
        <w:tc>
          <w:tcPr>
            <w:tcW w:type="dxa" w:w="3097"/>
          </w:tcPr>
          <w:p>
            <w:r>
              <w:rPr>
                <w:rFonts w:ascii="Times New Roman" w:hAnsi="Times New Roman" w:eastAsia="宋体"/>
                <w:b w:val="0"/>
                <w:color w:val="1A1A1A"/>
                <w:sz w:val="17"/>
              </w:rPr>
              <w:t>不支持（该特征无判别效能数据）</w:t>
            </w:r>
          </w:p>
        </w:tc>
        <w:tc>
          <w:tcPr>
            <w:tcW w:type="dxa" w:w="3097"/>
          </w:tcPr>
          <w:p>
            <w:r>
              <w:rPr>
                <w:rFonts w:ascii="Times New Roman" w:hAnsi="Times New Roman" w:eastAsia="宋体"/>
                <w:b w:val="0"/>
                <w:color w:val="1A1A1A"/>
                <w:sz w:val="17"/>
              </w:rPr>
              <w:t xml:space="preserve">经验性特征，未检索到判别效能数据；进食相关不能排除心源性（NHS 明示心梗疼痛可呈"烧灼/不消化"样 </w:t>
            </w:r>
            <w:r>
              <w:rPr>
                <w:rFonts w:ascii="Times New Roman" w:hAnsi="Times New Roman" w:eastAsia="宋体"/>
                <w:b w:val="0"/>
                <w:color w:val="1A1A1A"/>
                <w:sz w:val="17"/>
                <w:vertAlign w:val="superscript"/>
              </w:rPr>
              <w:t>[18]</w:t>
            </w:r>
            <w:r>
              <w:rPr>
                <w:rFonts w:ascii="Times New Roman" w:hAnsi="Times New Roman" w:eastAsia="宋体"/>
                <w:b w:val="0"/>
                <w:color w:val="1A1A1A"/>
                <w:sz w:val="17"/>
              </w:rPr>
              <w:t>）。合规改写：进食相关特征可提示消化系统参与，但不能作为排除心源性的依据。</w:t>
            </w:r>
          </w:p>
        </w:tc>
      </w:tr>
      <w:tr>
        <w:tc>
          <w:tcPr>
            <w:tcW w:type="dxa" w:w="3097"/>
          </w:tcPr>
          <w:p>
            <w:r>
              <w:rPr>
                <w:rFonts w:ascii="Times New Roman" w:hAnsi="Times New Roman" w:eastAsia="宋体"/>
                <w:b w:val="0"/>
                <w:color w:val="1A1A1A"/>
                <w:sz w:val="17"/>
              </w:rPr>
              <w:t>"针刺样、数秒即止多为非心源性"</w:t>
            </w:r>
          </w:p>
        </w:tc>
        <w:tc>
          <w:tcPr>
            <w:tcW w:type="dxa" w:w="3097"/>
          </w:tcPr>
          <w:p>
            <w:r>
              <w:rPr>
                <w:rFonts w:ascii="Times New Roman" w:hAnsi="Times New Roman" w:eastAsia="宋体"/>
                <w:b w:val="0"/>
                <w:color w:val="1A1A1A"/>
                <w:sz w:val="17"/>
              </w:rPr>
              <w:t>无证据</w:t>
            </w:r>
          </w:p>
        </w:tc>
        <w:tc>
          <w:tcPr>
            <w:tcW w:type="dxa" w:w="3097"/>
          </w:tcPr>
          <w:p>
            <w:r>
              <w:rPr>
                <w:rFonts w:ascii="Times New Roman" w:hAnsi="Times New Roman" w:eastAsia="宋体"/>
                <w:b w:val="0"/>
                <w:color w:val="1A1A1A"/>
                <w:sz w:val="17"/>
              </w:rPr>
              <w:t>未检索到以最终诊断为金标准的判别效能数据；不得以疼痛性质单独排除 ACS。</w:t>
            </w:r>
          </w:p>
        </w:tc>
      </w:tr>
      <w:tr>
        <w:tc>
          <w:tcPr>
            <w:tcW w:type="dxa" w:w="3097"/>
          </w:tcPr>
          <w:p>
            <w:r>
              <w:rPr>
                <w:rFonts w:ascii="Times New Roman" w:hAnsi="Times New Roman" w:eastAsia="宋体"/>
                <w:b w:val="0"/>
                <w:color w:val="1A1A1A"/>
                <w:sz w:val="17"/>
              </w:rPr>
              <w:t>"按压可复现多为非心源性"</w:t>
            </w:r>
          </w:p>
        </w:tc>
        <w:tc>
          <w:tcPr>
            <w:tcW w:type="dxa" w:w="3097"/>
          </w:tcPr>
          <w:p>
            <w:r>
              <w:rPr>
                <w:rFonts w:ascii="Times New Roman" w:hAnsi="Times New Roman" w:eastAsia="宋体"/>
                <w:b w:val="0"/>
                <w:color w:val="1A1A1A"/>
                <w:sz w:val="17"/>
              </w:rPr>
              <w:t>部分支持（有限判别数据）</w:t>
            </w:r>
          </w:p>
        </w:tc>
        <w:tc>
          <w:tcPr>
            <w:tcW w:type="dxa" w:w="3097"/>
          </w:tcPr>
          <w:p>
            <w:r>
              <w:rPr>
                <w:rFonts w:ascii="Times New Roman" w:hAnsi="Times New Roman" w:eastAsia="宋体"/>
                <w:b w:val="0"/>
                <w:color w:val="1A1A1A"/>
                <w:sz w:val="17"/>
              </w:rPr>
              <w:t xml:space="preserve">按压可复现被评分作为负向赋分项，但纳入后评分对 ACS 判别力仍接近零 </w:t>
            </w:r>
            <w:r>
              <w:rPr>
                <w:rFonts w:ascii="Times New Roman" w:hAnsi="Times New Roman" w:eastAsia="宋体"/>
                <w:b w:val="0"/>
                <w:color w:val="1A1A1A"/>
                <w:sz w:val="17"/>
                <w:vertAlign w:val="superscript"/>
              </w:rPr>
              <w:t>[7]</w:t>
            </w:r>
            <w:r>
              <w:rPr>
                <w:rFonts w:ascii="Times New Roman" w:hAnsi="Times New Roman" w:eastAsia="宋体"/>
                <w:b w:val="0"/>
                <w:color w:val="1A1A1A"/>
                <w:sz w:val="17"/>
              </w:rPr>
              <w:t>；合规改写：按压可复现降低心源性概率，但不能排除 ACS，仍需心电图与肌钙蛋白。</w:t>
            </w:r>
          </w:p>
        </w:tc>
      </w:tr>
      <w:tr>
        <w:tc>
          <w:tcPr>
            <w:tcW w:type="dxa" w:w="3097"/>
          </w:tcPr>
          <w:p>
            <w:r>
              <w:rPr>
                <w:rFonts w:ascii="Times New Roman" w:hAnsi="Times New Roman" w:eastAsia="宋体"/>
                <w:b w:val="0"/>
                <w:color w:val="1A1A1A"/>
                <w:sz w:val="17"/>
              </w:rPr>
              <w:t>"心电图正常即可排除心脏问题"</w:t>
            </w:r>
          </w:p>
        </w:tc>
        <w:tc>
          <w:tcPr>
            <w:tcW w:type="dxa" w:w="3097"/>
          </w:tcPr>
          <w:p>
            <w:r>
              <w:rPr>
                <w:rFonts w:ascii="Times New Roman" w:hAnsi="Times New Roman" w:eastAsia="宋体"/>
                <w:b w:val="0"/>
                <w:color w:val="1A1A1A"/>
                <w:sz w:val="17"/>
              </w:rPr>
              <w:t>不支持</w:t>
            </w:r>
          </w:p>
        </w:tc>
        <w:tc>
          <w:tcPr>
            <w:tcW w:type="dxa" w:w="3097"/>
          </w:tcPr>
          <w:p>
            <w:r>
              <w:rPr>
                <w:rFonts w:ascii="Times New Roman" w:hAnsi="Times New Roman" w:eastAsia="宋体"/>
                <w:b w:val="0"/>
                <w:color w:val="1A1A1A"/>
                <w:sz w:val="17"/>
              </w:rPr>
              <w:t xml:space="preserve">单次心电图＋病史不能早期排除进行中的心梗 </w:t>
            </w:r>
            <w:r>
              <w:rPr>
                <w:rFonts w:ascii="Times New Roman" w:hAnsi="Times New Roman" w:eastAsia="宋体"/>
                <w:b w:val="0"/>
                <w:color w:val="1A1A1A"/>
                <w:sz w:val="17"/>
                <w:vertAlign w:val="superscript"/>
              </w:rPr>
              <w:t>[9]</w:t>
            </w:r>
            <w:r>
              <w:rPr>
                <w:rFonts w:ascii="Times New Roman" w:hAnsi="Times New Roman" w:eastAsia="宋体"/>
                <w:b w:val="0"/>
                <w:color w:val="1A1A1A"/>
                <w:sz w:val="17"/>
              </w:rPr>
              <w:t xml:space="preserve">；指南要求到达 10 分钟内心电图并序贯肌钙蛋白 </w:t>
            </w:r>
            <w:r>
              <w:rPr>
                <w:rFonts w:ascii="Times New Roman" w:hAnsi="Times New Roman" w:eastAsia="宋体"/>
                <w:b w:val="0"/>
                <w:color w:val="1A1A1A"/>
                <w:sz w:val="17"/>
                <w:vertAlign w:val="superscript"/>
              </w:rPr>
              <w:t>[6]</w:t>
            </w:r>
            <w:r>
              <w:rPr>
                <w:rFonts w:ascii="Times New Roman" w:hAnsi="Times New Roman" w:eastAsia="宋体"/>
                <w:b w:val="0"/>
                <w:color w:val="1A1A1A"/>
                <w:sz w:val="17"/>
                <w:vertAlign w:val="superscript"/>
              </w:rPr>
              <w:t>[10]</w:t>
            </w:r>
            <w:r>
              <w:rPr>
                <w:rFonts w:ascii="Times New Roman" w:hAnsi="Times New Roman" w:eastAsia="宋体"/>
                <w:b w:val="0"/>
                <w:color w:val="1A1A1A"/>
                <w:sz w:val="17"/>
              </w:rPr>
              <w:t>。</w:t>
            </w:r>
          </w:p>
        </w:tc>
      </w:tr>
      <w:tr>
        <w:tc>
          <w:tcPr>
            <w:tcW w:type="dxa" w:w="3097"/>
          </w:tcPr>
          <w:p>
            <w:r>
              <w:rPr>
                <w:rFonts w:ascii="Times New Roman" w:hAnsi="Times New Roman" w:eastAsia="宋体"/>
                <w:b w:val="0"/>
                <w:color w:val="1A1A1A"/>
                <w:sz w:val="17"/>
              </w:rPr>
              <w:t>"含服硝酸酯后缓解即排除心源性（或即确诊心源性）"</w:t>
            </w:r>
          </w:p>
        </w:tc>
        <w:tc>
          <w:tcPr>
            <w:tcW w:type="dxa" w:w="3097"/>
          </w:tcPr>
          <w:p>
            <w:r>
              <w:rPr>
                <w:rFonts w:ascii="Times New Roman" w:hAnsi="Times New Roman" w:eastAsia="宋体"/>
                <w:b w:val="0"/>
                <w:color w:val="1A1A1A"/>
                <w:sz w:val="17"/>
              </w:rPr>
              <w:t>不支持</w:t>
            </w:r>
          </w:p>
        </w:tc>
        <w:tc>
          <w:tcPr>
            <w:tcW w:type="dxa" w:w="3097"/>
          </w:tcPr>
          <w:p>
            <w:r>
              <w:rPr>
                <w:rFonts w:ascii="Times New Roman" w:hAnsi="Times New Roman" w:eastAsia="宋体"/>
                <w:b w:val="0"/>
                <w:color w:val="1A1A1A"/>
                <w:sz w:val="17"/>
              </w:rPr>
              <w:t xml:space="preserve">含服硝酸酯后疼痛反应不能预测心源性 </w:t>
            </w:r>
            <w:r>
              <w:rPr>
                <w:rFonts w:ascii="Times New Roman" w:hAnsi="Times New Roman" w:eastAsia="宋体"/>
                <w:b w:val="0"/>
                <w:color w:val="1A1A1A"/>
                <w:sz w:val="17"/>
                <w:vertAlign w:val="superscript"/>
              </w:rPr>
              <w:t>[20]</w:t>
            </w:r>
            <w:r>
              <w:rPr>
                <w:rFonts w:ascii="Times New Roman" w:hAnsi="Times New Roman" w:eastAsia="宋体"/>
                <w:b w:val="0"/>
                <w:color w:val="1A1A1A"/>
                <w:sz w:val="17"/>
              </w:rPr>
              <w:t xml:space="preserve">；评分工具明示不得作为诊断工具 </w:t>
            </w:r>
            <w:r>
              <w:rPr>
                <w:rFonts w:ascii="Times New Roman" w:hAnsi="Times New Roman" w:eastAsia="宋体"/>
                <w:b w:val="0"/>
                <w:color w:val="1A1A1A"/>
                <w:sz w:val="17"/>
                <w:vertAlign w:val="superscript"/>
              </w:rPr>
              <w:t>[6]</w:t>
            </w:r>
            <w:r>
              <w:rPr>
                <w:rFonts w:ascii="Times New Roman" w:hAnsi="Times New Roman" w:eastAsia="宋体"/>
                <w:b w:val="0"/>
                <w:color w:val="1A1A1A"/>
                <w:sz w:val="17"/>
              </w:rPr>
              <w:t>。</w:t>
            </w:r>
          </w:p>
        </w:tc>
      </w:tr>
      <w:tr>
        <w:tc>
          <w:tcPr>
            <w:tcW w:type="dxa" w:w="3097"/>
          </w:tcPr>
          <w:p>
            <w:r>
              <w:rPr>
                <w:rFonts w:ascii="Times New Roman" w:hAnsi="Times New Roman" w:eastAsia="宋体"/>
                <w:b w:val="0"/>
                <w:color w:val="1A1A1A"/>
                <w:sz w:val="17"/>
              </w:rPr>
              <w:t>"PPI 试验有效即胃源性"</w:t>
            </w:r>
          </w:p>
        </w:tc>
        <w:tc>
          <w:tcPr>
            <w:tcW w:type="dxa" w:w="3097"/>
          </w:tcPr>
          <w:p>
            <w:r>
              <w:rPr>
                <w:rFonts w:ascii="Times New Roman" w:hAnsi="Times New Roman" w:eastAsia="宋体"/>
                <w:b w:val="0"/>
                <w:color w:val="1A1A1A"/>
                <w:sz w:val="17"/>
              </w:rPr>
              <w:t>不支持</w:t>
            </w:r>
          </w:p>
        </w:tc>
        <w:tc>
          <w:tcPr>
            <w:tcW w:type="dxa" w:w="3097"/>
          </w:tcPr>
          <w:p>
            <w:r>
              <w:rPr>
                <w:rFonts w:ascii="Times New Roman" w:hAnsi="Times New Roman" w:eastAsia="宋体"/>
                <w:b w:val="0"/>
                <w:color w:val="1A1A1A"/>
                <w:sz w:val="17"/>
              </w:rPr>
              <w:t xml:space="preserve">PPI 试验特异度低（44% 至 51.9%），不能排除其他疾病 </w:t>
            </w:r>
            <w:r>
              <w:rPr>
                <w:rFonts w:ascii="Times New Roman" w:hAnsi="Times New Roman" w:eastAsia="宋体"/>
                <w:b w:val="0"/>
                <w:color w:val="1A1A1A"/>
                <w:sz w:val="17"/>
                <w:vertAlign w:val="superscript"/>
              </w:rPr>
              <w:t>[14]</w:t>
            </w:r>
            <w:r>
              <w:rPr>
                <w:rFonts w:ascii="Times New Roman" w:hAnsi="Times New Roman" w:eastAsia="宋体"/>
                <w:b w:val="0"/>
                <w:color w:val="1A1A1A"/>
                <w:sz w:val="17"/>
                <w:vertAlign w:val="superscript"/>
              </w:rPr>
              <w:t>[25]</w:t>
            </w:r>
            <w:r>
              <w:rPr>
                <w:rFonts w:ascii="Times New Roman" w:hAnsi="Times New Roman" w:eastAsia="宋体"/>
                <w:b w:val="0"/>
                <w:color w:val="1A1A1A"/>
                <w:sz w:val="17"/>
              </w:rPr>
              <w:t xml:space="preserve">；其验证研究明确排除以胸痛为主诉者 </w:t>
            </w:r>
            <w:r>
              <w:rPr>
                <w:rFonts w:ascii="Times New Roman" w:hAnsi="Times New Roman" w:eastAsia="宋体"/>
                <w:b w:val="0"/>
                <w:color w:val="1A1A1A"/>
                <w:sz w:val="17"/>
                <w:vertAlign w:val="superscript"/>
              </w:rPr>
              <w:t>[14]</w:t>
            </w:r>
            <w:r>
              <w:rPr>
                <w:rFonts w:ascii="Times New Roman" w:hAnsi="Times New Roman" w:eastAsia="宋体"/>
                <w:b w:val="0"/>
                <w:color w:val="1A1A1A"/>
                <w:sz w:val="17"/>
              </w:rPr>
              <w:t>。</w:t>
            </w:r>
          </w:p>
        </w:tc>
      </w:tr>
      <w:tr>
        <w:tc>
          <w:tcPr>
            <w:tcW w:type="dxa" w:w="3097"/>
          </w:tcPr>
          <w:p>
            <w:r>
              <w:rPr>
                <w:rFonts w:ascii="Times New Roman" w:hAnsi="Times New Roman" w:eastAsia="宋体"/>
                <w:b w:val="0"/>
                <w:color w:val="1A1A1A"/>
                <w:sz w:val="17"/>
              </w:rPr>
              <w:t>"先按胃病处理观察、无效再排查心脏"</w:t>
            </w:r>
          </w:p>
        </w:tc>
        <w:tc>
          <w:tcPr>
            <w:tcW w:type="dxa" w:w="3097"/>
          </w:tcPr>
          <w:p>
            <w:r>
              <w:rPr>
                <w:rFonts w:ascii="Times New Roman" w:hAnsi="Times New Roman" w:eastAsia="宋体"/>
                <w:b w:val="0"/>
                <w:color w:val="1A1A1A"/>
                <w:sz w:val="17"/>
              </w:rPr>
              <w:t>不支持（违反安全底线）</w:t>
            </w:r>
          </w:p>
        </w:tc>
        <w:tc>
          <w:tcPr>
            <w:tcW w:type="dxa" w:w="3097"/>
          </w:tcPr>
          <w:p>
            <w:r>
              <w:rPr>
                <w:rFonts w:ascii="Times New Roman" w:hAnsi="Times New Roman" w:eastAsia="宋体"/>
                <w:b w:val="0"/>
                <w:color w:val="1A1A1A"/>
                <w:sz w:val="17"/>
              </w:rPr>
              <w:t xml:space="preserve">任何指南均无此表述；出现警示特征须立即呼叫 120 并接受急诊评估 </w:t>
            </w:r>
            <w:r>
              <w:rPr>
                <w:rFonts w:ascii="Times New Roman" w:hAnsi="Times New Roman" w:eastAsia="宋体"/>
                <w:b w:val="0"/>
                <w:color w:val="1A1A1A"/>
                <w:sz w:val="17"/>
                <w:vertAlign w:val="superscript"/>
              </w:rPr>
              <w:t>[18]</w:t>
            </w:r>
            <w:r>
              <w:rPr>
                <w:rFonts w:ascii="Times New Roman" w:hAnsi="Times New Roman" w:eastAsia="宋体"/>
                <w:b w:val="0"/>
                <w:color w:val="1A1A1A"/>
                <w:sz w:val="17"/>
              </w:rPr>
              <w:t>。</w:t>
            </w:r>
          </w:p>
        </w:tc>
      </w:tr>
      <w:tr>
        <w:tc>
          <w:tcPr>
            <w:tcW w:type="dxa" w:w="3097"/>
          </w:tcPr>
          <w:p>
            <w:r>
              <w:rPr>
                <w:rFonts w:ascii="Times New Roman" w:hAnsi="Times New Roman" w:eastAsia="宋体"/>
                <w:b w:val="0"/>
                <w:color w:val="1A1A1A"/>
                <w:sz w:val="17"/>
              </w:rPr>
              <w:t>"症状学＋评分即可院外完成风险分层"</w:t>
            </w:r>
          </w:p>
        </w:tc>
        <w:tc>
          <w:tcPr>
            <w:tcW w:type="dxa" w:w="3097"/>
          </w:tcPr>
          <w:p>
            <w:r>
              <w:rPr>
                <w:rFonts w:ascii="Times New Roman" w:hAnsi="Times New Roman" w:eastAsia="宋体"/>
                <w:b w:val="0"/>
                <w:color w:val="1A1A1A"/>
                <w:sz w:val="17"/>
              </w:rPr>
              <w:t>不支持</w:t>
            </w:r>
          </w:p>
        </w:tc>
        <w:tc>
          <w:tcPr>
            <w:tcW w:type="dxa" w:w="3097"/>
          </w:tcPr>
          <w:p>
            <w:r>
              <w:rPr>
                <w:rFonts w:ascii="Times New Roman" w:hAnsi="Times New Roman" w:eastAsia="宋体"/>
                <w:b w:val="0"/>
                <w:color w:val="1A1A1A"/>
                <w:sz w:val="17"/>
              </w:rPr>
              <w:t>见命题 B；漏诊概率约 4.4%〔推导〕</w:t>
            </w:r>
            <w:r>
              <w:rPr>
                <w:rFonts w:ascii="Times New Roman" w:hAnsi="Times New Roman" w:eastAsia="宋体"/>
                <w:b w:val="0"/>
                <w:color w:val="1A1A1A"/>
                <w:sz w:val="17"/>
                <w:vertAlign w:val="superscript"/>
              </w:rPr>
              <w:t>[6]</w:t>
            </w:r>
            <w:r>
              <w:rPr>
                <w:rFonts w:ascii="Times New Roman" w:hAnsi="Times New Roman" w:eastAsia="宋体"/>
                <w:b w:val="0"/>
                <w:color w:val="1A1A1A"/>
                <w:sz w:val="17"/>
              </w:rPr>
              <w:t xml:space="preserve"> 远超 ≤1% 阈值 </w:t>
            </w:r>
            <w:r>
              <w:rPr>
                <w:rFonts w:ascii="Times New Roman" w:hAnsi="Times New Roman" w:eastAsia="宋体"/>
                <w:b w:val="0"/>
                <w:color w:val="1A1A1A"/>
                <w:sz w:val="17"/>
                <w:vertAlign w:val="superscript"/>
              </w:rPr>
              <w:t>[7]</w:t>
            </w:r>
            <w:r>
              <w:rPr>
                <w:rFonts w:ascii="Times New Roman" w:hAnsi="Times New Roman" w:eastAsia="宋体"/>
                <w:b w:val="0"/>
                <w:color w:val="1A1A1A"/>
                <w:sz w:val="17"/>
              </w:rPr>
              <w:t>。</w:t>
            </w:r>
          </w:p>
        </w:tc>
      </w:tr>
    </w:tbl>
    <w:p>
      <w:pPr>
        <w:spacing w:after="80" w:before="0" w:line="348" w:lineRule="auto"/>
      </w:pP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1. 突发、持续的胸痛或胸部不适——无论感觉像"压迫""挤压""烧灼"还是"不消化"——只要放射至左/右臂、颈部、下颌、上腹或背部，或伴出汗、恶心、头晕、气短，都可能提示心脏事件：立即呼叫 120 并接受急诊评估，先自行用药观察不是推迟呼叫的理由；也不要因"症状像胃病"而推迟就医。</w:t>
      </w:r>
      <w:r>
        <w:rPr>
          <w:rFonts w:ascii="Times New Roman" w:hAnsi="Times New Roman" w:eastAsia="宋体"/>
          <w:b w:val="0"/>
          <w:color w:val="1A1A1A"/>
          <w:sz w:val="21"/>
          <w:vertAlign w:val="superscript"/>
        </w:rPr>
        <w:t>[18]</w:t>
      </w:r>
    </w:p>
    <w:p>
      <w:pPr>
        <w:spacing w:after="60" w:before="0" w:line="336" w:lineRule="auto"/>
        <w:ind w:left="340"/>
      </w:pPr>
      <w:r>
        <w:rPr>
          <w:rFonts w:ascii="Times New Roman" w:hAnsi="Times New Roman" w:eastAsia="宋体"/>
          <w:b w:val="0"/>
          <w:color w:val="1A1A1A"/>
          <w:sz w:val="21"/>
        </w:rPr>
        <w:t>2. 到达急诊后应在到达 10 分钟内完成 12 导联心电图，并按高敏肌钙蛋白 0/1 小时或 0/3 小时流程序贯检测后再做排除判断；单次心电图或单次肌钙蛋白不足以排除急性冠脉综合征。</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[9]</w:t>
      </w:r>
      <w:r>
        <w:rPr>
          <w:rFonts w:ascii="Times New Roman" w:hAnsi="Times New Roman" w:eastAsia="宋体"/>
          <w:b w:val="0"/>
          <w:color w:val="1A1A1A"/>
          <w:sz w:val="21"/>
          <w:vertAlign w:val="superscript"/>
        </w:rPr>
        <w:t>[10]</w:t>
      </w:r>
    </w:p>
    <w:p>
      <w:pPr>
        <w:spacing w:after="60" w:before="0" w:line="336" w:lineRule="auto"/>
        <w:ind w:left="340"/>
      </w:pPr>
      <w:r>
        <w:rPr>
          <w:rFonts w:ascii="Times New Roman" w:hAnsi="Times New Roman" w:eastAsia="宋体"/>
          <w:b w:val="0"/>
          <w:color w:val="1A1A1A"/>
          <w:sz w:val="21"/>
        </w:rPr>
        <w:t>3. 含服硝酸甘油或抑酸药后症状缓解，不能作为"不是心脏问题"的依据，也不能作为在家观察的理由；评分工具只能辅助分诊，不能替代客观检测。</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服用硝酸甘油等自救药物不得延迟急救呼叫——用药不是等待的理由，应同时拨打 120 并接受急诊评估。</w:t>
      </w:r>
      <w:r>
        <w:rPr>
          <w:rFonts w:ascii="Times New Roman" w:hAnsi="Times New Roman" w:eastAsia="宋体"/>
          <w:b w:val="0"/>
          <w:color w:val="1A1A1A"/>
          <w:sz w:val="21"/>
          <w:vertAlign w:val="superscript"/>
        </w:rPr>
        <w:t>[6]</w:t>
      </w:r>
      <w:r>
        <w:rPr>
          <w:rFonts w:ascii="Times New Roman" w:hAnsi="Times New Roman" w:eastAsia="宋体"/>
          <w:b w:val="0"/>
          <w:color w:val="1A1A1A"/>
          <w:sz w:val="21"/>
          <w:vertAlign w:val="superscript"/>
        </w:rPr>
        <w:t>[18]</w:t>
      </w:r>
    </w:p>
    <w:p>
      <w:pPr>
        <w:spacing w:after="60" w:before="0" w:line="336" w:lineRule="auto"/>
        <w:ind w:left="340"/>
      </w:pPr>
      <w:r>
        <w:rPr>
          <w:rFonts w:ascii="Times New Roman" w:hAnsi="Times New Roman" w:eastAsia="宋体"/>
          <w:b w:val="0"/>
          <w:color w:val="1A1A1A"/>
          <w:sz w:val="21"/>
        </w:rPr>
        <w:t>4. 对典型烧心、反流且无警示征（吞咽困难、消瘦、出血、贫血、持续呕吐）的患者，可按国际指南考虑抑酸诊断性治疗；但该路径的验证研究明确将"以胸痛为主诉"的患者排除在外，其对胸痛人群的适用性未经证实；中国专家共识对反流症状者建议首诊内镜评估。</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p>
    <w:p>
      <w:pPr>
        <w:spacing w:after="60" w:before="0" w:line="336" w:lineRule="auto"/>
        <w:ind w:left="340"/>
      </w:pPr>
      <w:r>
        <w:rPr>
          <w:rFonts w:ascii="Times New Roman" w:hAnsi="Times New Roman" w:eastAsia="宋体"/>
          <w:b w:val="0"/>
          <w:color w:val="1A1A1A"/>
          <w:sz w:val="21"/>
        </w:rPr>
        <w:t>5. 不要自行诊断：胸痛多数并非心脏问题，但原因不明时须就医评估；出现上述警示特征时，症状缓解与否都不改变呼叫急救的决策。</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[18]</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Gulati M, Levy PD, Mukherjee D, et al. 2021 AHA/ACC/ASE/CHEST/SAEM/SCCT/SCMR Guideline for the Evaluation and Diagnosis of Chest Pain: A Report of the American College of Cardiology/American Heart Association Joint Committee on Clinical Practice Guidelines. Circulation. 2021;144(22):e368-e454. doi:10.1161/CIR.0000000000001029. PMID:34709879. URL:https://www.ahajournals.org/doi/10.1161/CIR.0000000000001029（摘要层）</w:t>
      </w:r>
    </w:p>
    <w:p>
      <w:pPr>
        <w:spacing w:after="60" w:before="0" w:line="336" w:lineRule="auto"/>
        <w:ind w:left="340"/>
      </w:pPr>
      <w:r>
        <w:rPr>
          <w:rFonts w:ascii="Times New Roman" w:hAnsi="Times New Roman" w:eastAsia="宋体"/>
          <w:b w:val="0"/>
          <w:color w:val="1A1A1A"/>
          <w:sz w:val="21"/>
        </w:rPr>
        <w:t>2. Riley RF, Batchelor WB, Goldstein JA, Al-Lamee R, Shah S, Tremmel JA. The 2021 AHA/ACC Guideline for the Evaluation and Diagnosis of Chest Pain: An Interventionalist's Viewpoint. J Soc Cardiovasc Angiogr Interv. 2022;1(3):100305. doi:10.1016/j.jscai.2022.100305. PMC11308083. URL:https://www.ncbi.nlm.nih.gov/pmc/articles/PMC11308083/</w:t>
      </w:r>
    </w:p>
    <w:p>
      <w:pPr>
        <w:spacing w:after="60" w:before="0" w:line="336" w:lineRule="auto"/>
        <w:ind w:left="340"/>
      </w:pPr>
      <w:r>
        <w:rPr>
          <w:rFonts w:ascii="Times New Roman" w:hAnsi="Times New Roman" w:eastAsia="宋体"/>
          <w:b w:val="0"/>
          <w:color w:val="1A1A1A"/>
          <w:sz w:val="21"/>
        </w:rPr>
        <w:t>3. van den Bulk S, Manten A, Bonten TN, Harskamp RE. Chest Pain in Primary Care: A Systematic Review of Risk Stratification Tools to Rule Out Acute Coronary Syndrome. Ann Fam Med. 2024;22(5):426-436. doi:10.1370/afm.3141. URL:https://www.annfammed.org/content/22/5/426</w:t>
      </w:r>
    </w:p>
    <w:p>
      <w:pPr>
        <w:spacing w:after="60" w:before="0" w:line="336" w:lineRule="auto"/>
        <w:ind w:left="340"/>
      </w:pPr>
      <w:r>
        <w:rPr>
          <w:rFonts w:ascii="Times New Roman" w:hAnsi="Times New Roman" w:eastAsia="宋体"/>
          <w:b w:val="0"/>
          <w:color w:val="1A1A1A"/>
          <w:sz w:val="21"/>
        </w:rPr>
        <w:t>4. Harskamp RE, Laeven SC, Himmelreich JCL, Lucassen WAM, van Weert HCPM. Chest pain in general practice: a systematic review of prediction rules. BMJ Open. 2019;9:e027081. doi:10.1136/bmjopen-2018-027081. PMC6398621. URL:https://bmjopen.bmj.com/content/9/2/e027081</w:t>
      </w:r>
    </w:p>
    <w:p>
      <w:pPr>
        <w:spacing w:after="60" w:before="0" w:line="336" w:lineRule="auto"/>
        <w:ind w:left="340"/>
      </w:pPr>
      <w:r>
        <w:rPr>
          <w:rFonts w:ascii="Times New Roman" w:hAnsi="Times New Roman" w:eastAsia="宋体"/>
          <w:b w:val="0"/>
          <w:color w:val="1A1A1A"/>
          <w:sz w:val="21"/>
        </w:rPr>
        <w:t>5. Gencer B, Vaucher P, Herzig L, et al. Ruling out coronary heart disease in primary care patients with chest pain: a clinical prediction score. BMC Med. 2010;8:9. doi:10.1186/1741-7015-8-9. PMC2832616. URL:https://bmcmedicine.biomedcentral.com/articles/10.1186/1741-7015-8-9</w:t>
      </w:r>
    </w:p>
    <w:p>
      <w:pPr>
        <w:spacing w:after="60" w:before="0" w:line="336" w:lineRule="auto"/>
        <w:ind w:left="340"/>
      </w:pPr>
      <w:r>
        <w:rPr>
          <w:rFonts w:ascii="Times New Roman" w:hAnsi="Times New Roman" w:eastAsia="宋体"/>
          <w:b w:val="0"/>
          <w:color w:val="1A1A1A"/>
          <w:sz w:val="21"/>
        </w:rPr>
        <w:t>6. Druilhe L, Creusier L, Pasco J, Eloi J, Furet V, Roupie E, Macrez R. Evaluating the Efficacy of the Marburg Heart Score to Triage Patients Presenting With Chest Pain in an Emergency Department: A Prospective, Multicenter, Observational Study. Emerg Med Int. 2025;2025:6085679. doi:10.1155/emmi/6085679. PMC12116132. URL:https://onlinelibrary.wiley.com/doi/10.1155/emmi/6085679</w:t>
      </w:r>
    </w:p>
    <w:p>
      <w:pPr>
        <w:spacing w:after="60" w:before="0" w:line="336" w:lineRule="auto"/>
        <w:ind w:left="340"/>
      </w:pPr>
      <w:r>
        <w:rPr>
          <w:rFonts w:ascii="Times New Roman" w:hAnsi="Times New Roman" w:eastAsia="宋体"/>
          <w:b w:val="0"/>
          <w:color w:val="1A1A1A"/>
          <w:sz w:val="21"/>
        </w:rPr>
        <w:t>7. Manten A, Melessen IMB, Himmelreich JCL, Moll van Charante EP, Harskamp RE. Marburg Heart Score and INTERCHEST score for telephone triage of acute chest pain: a prospective, diagnostic accuracy study in out-of-hours primary care. BMJ Open. 2026;16(4):e111113. doi:10.1136/bmjopen-2025-111113. PMC13064206. URL:https://bmjopen.bmj.com/content/16/4/e111113</w:t>
      </w:r>
    </w:p>
    <w:p>
      <w:pPr>
        <w:spacing w:after="60" w:before="0" w:line="336" w:lineRule="auto"/>
        <w:ind w:left="340"/>
      </w:pPr>
      <w:r>
        <w:rPr>
          <w:rFonts w:ascii="Times New Roman" w:hAnsi="Times New Roman" w:eastAsia="宋体"/>
          <w:b w:val="0"/>
          <w:color w:val="1A1A1A"/>
          <w:sz w:val="21"/>
        </w:rPr>
        <w:t>8. McDevitt-Petrovic O, Kirby K, Shevlin M. The prevalence of non-cardiac chest pain (NCCP) using emergency department (ED) data: a Northern Ireland based study. BMC Health Serv Res. 2017;17:549. doi:10.1186/s12913-017-2493-8. PMC5550987. URL:https://bmchealthservres.biomedcentral.com/articles/10.1186/s12913-017-2493-8</w:t>
      </w:r>
    </w:p>
    <w:p>
      <w:pPr>
        <w:spacing w:after="60" w:before="0" w:line="336" w:lineRule="auto"/>
        <w:ind w:left="340"/>
      </w:pPr>
      <w:r>
        <w:rPr>
          <w:rFonts w:ascii="Times New Roman" w:hAnsi="Times New Roman" w:eastAsia="宋体"/>
          <w:b w:val="0"/>
          <w:color w:val="1A1A1A"/>
          <w:sz w:val="21"/>
        </w:rPr>
        <w:t>9. Zhelev Z, Hyde C, Youngman E, et al. Diagnostic accuracy of single baseline measurement of Elecsys Troponin T high-sensitive assay for diagnosis of acute myocardial infarction in emergency department: systematic review and meta-analysis. BMJ. 2015;350:h15. doi:10.1136/bmj.h15. PMC4300724. URL:https://www.bmj.com/content/350/bmj.h15</w:t>
      </w:r>
    </w:p>
    <w:p>
      <w:pPr>
        <w:spacing w:after="60" w:before="0" w:line="336" w:lineRule="auto"/>
        <w:ind w:left="340"/>
      </w:pPr>
      <w:r>
        <w:rPr>
          <w:rFonts w:ascii="Times New Roman" w:hAnsi="Times New Roman" w:eastAsia="宋体"/>
          <w:b w:val="0"/>
          <w:color w:val="1A1A1A"/>
          <w:sz w:val="21"/>
        </w:rPr>
        <w:t>10. Nomura O, Hashiba K, Kikuchi M, et al. Performance of the 0-Hour/1-Hour Algorithm for Diagnosing Myocardial Infarction in Patients With Chest Pain in the Emergency Department—A Systematic Review and Meta-Analysis. Circ Rep. 2022;4(6). doi:10.1253/circrep.CR-22-0001. PMC9168511. URL:https://www.jstage.jst.go.jp/article/circrep/4/6/4_CR-22-0001/_article</w:t>
      </w:r>
    </w:p>
    <w:p>
      <w:pPr>
        <w:spacing w:after="60" w:before="0" w:line="336" w:lineRule="auto"/>
        <w:ind w:left="340"/>
      </w:pPr>
      <w:r>
        <w:rPr>
          <w:rFonts w:ascii="Times New Roman" w:hAnsi="Times New Roman" w:eastAsia="宋体"/>
          <w:b w:val="0"/>
          <w:color w:val="1A1A1A"/>
          <w:sz w:val="21"/>
        </w:rPr>
        <w:t>11. Wang M, Hu Z, Miao L, Shi M, Gao Q. A systematic review of the applicability of emergency department assessment of chest pain score-accelerated diagnostic protocol for risk stratification of patients with chest pain. Clin Cardiol. 2023;46(11):1303-1309. doi:10.1002/clc.24126. PMC10642323. URL:https://onlinelibrary.wiley.com/doi/10.1002/clc.24126</w:t>
      </w:r>
    </w:p>
    <w:p>
      <w:pPr>
        <w:spacing w:after="60" w:before="0" w:line="336" w:lineRule="auto"/>
        <w:ind w:left="340"/>
      </w:pPr>
      <w:r>
        <w:rPr>
          <w:rFonts w:ascii="Times New Roman" w:hAnsi="Times New Roman" w:eastAsia="宋体"/>
          <w:b w:val="0"/>
          <w:color w:val="1A1A1A"/>
          <w:sz w:val="21"/>
        </w:rPr>
        <w:t>12. Nasr Isfahani M, Mohseni H, Nasri Nasrabadi E, Sarrafzadegan N. Improving chest pain risk assessment: validation of HEART, TIMI, GRACE, EDACS-ADP, and HET for MACE prediction in the emergency department. BMC Emerg Med. 2025;25:165. doi:10.1186/s12873-025-01327-4. PMC12374469. URL:https://bmcemergmed.biomedcentral.com/articles/10.1186/s12873-025-01327-4</w:t>
      </w:r>
    </w:p>
    <w:p>
      <w:pPr>
        <w:spacing w:after="60" w:before="0" w:line="336" w:lineRule="auto"/>
        <w:ind w:left="340"/>
      </w:pPr>
      <w:r>
        <w:rPr>
          <w:rFonts w:ascii="Times New Roman" w:hAnsi="Times New Roman" w:eastAsia="宋体"/>
          <w:b w:val="0"/>
          <w:color w:val="1A1A1A"/>
          <w:sz w:val="21"/>
        </w:rPr>
        <w:t>13. Brandberg H, Sundberg CJ, Spaak J, et al. Computerized Self-Reported Medical History Taking to Support Early Rule Out of Major Adverse Cardiac Events in Patients With Acute Chest Pain: Post Hoc Analysis of the CLEOS-CPDS Prospective Cohort Study. J Med Internet Res. 2026;28:e76087. doi:10.2196/76087. PMC12936665. URL:https://www.jmir.org/2026/1/e76087</w:t>
      </w:r>
    </w:p>
    <w:p>
      <w:pPr>
        <w:spacing w:after="60" w:before="0" w:line="336" w:lineRule="auto"/>
        <w:ind w:left="340"/>
      </w:pPr>
      <w:r>
        <w:rPr>
          <w:rFonts w:ascii="Times New Roman" w:hAnsi="Times New Roman" w:eastAsia="宋体"/>
          <w:b w:val="0"/>
          <w:color w:val="1A1A1A"/>
          <w:sz w:val="21"/>
        </w:rPr>
        <w:t>14. Dong P, Lin L, Sun K, et al. Accuracy of the diagnosis of gastroesophageal reflux disease by a trial of potassium-competitive acid blocker treatment. BMC Gastroenterol. 2025;25:406. doi:10.1186/s12876-025-03981-1. PMC12105216. URL:https://bmcgastroenterol.biomedcentral.com/articles/10.1186/s12876-025-03981-1</w:t>
      </w:r>
    </w:p>
    <w:p>
      <w:pPr>
        <w:spacing w:after="60" w:before="0" w:line="336" w:lineRule="auto"/>
        <w:ind w:left="340"/>
      </w:pPr>
      <w:r>
        <w:rPr>
          <w:rFonts w:ascii="Times New Roman" w:hAnsi="Times New Roman" w:eastAsia="宋体"/>
          <w:b w:val="0"/>
          <w:color w:val="1A1A1A"/>
          <w:sz w:val="21"/>
        </w:rPr>
        <w:t>15. Yan X, Li X, Chen Y, et al. Health economics evaluation of diagnostic strategies for gastro-oesophageal reflux disease with reflux symptoms in China: a modelling study. BMJ Open. 2025;15(5):e093108. doi:10.1136/bmjopen-2024-093108. PMC12083389. URL:https://bmjopen.bmj.com/content/15/5/e093108</w:t>
      </w:r>
    </w:p>
    <w:p>
      <w:pPr>
        <w:spacing w:after="60" w:before="0" w:line="336" w:lineRule="auto"/>
        <w:ind w:left="340"/>
      </w:pPr>
      <w:r>
        <w:rPr>
          <w:rFonts w:ascii="Times New Roman" w:hAnsi="Times New Roman" w:eastAsia="宋体"/>
          <w:b w:val="0"/>
          <w:color w:val="1A1A1A"/>
          <w:sz w:val="21"/>
        </w:rPr>
        <w:t>16. Semigran HL, Linder JA, Gidengil C, Mehrotra A. Evaluation of symptom checkers for self diagnosis and triage: audit study. BMJ. 2015;351:h3480. doi:10.1136/bmj.h3480. PMC4496786. URL:https://www.bmj.com/content/351/bmj.h3480</w:t>
      </w:r>
    </w:p>
    <w:p>
      <w:pPr>
        <w:spacing w:after="60" w:before="0" w:line="336" w:lineRule="auto"/>
        <w:ind w:left="340"/>
      </w:pPr>
      <w:r>
        <w:rPr>
          <w:rFonts w:ascii="Times New Roman" w:hAnsi="Times New Roman" w:eastAsia="宋体"/>
          <w:b w:val="0"/>
          <w:color w:val="1A1A1A"/>
          <w:sz w:val="21"/>
        </w:rPr>
        <w:t>17. El-Osta A, Webber I, Alaa A, et al. What is the suitability of clinical vignettes in benchmarking the performance of online symptom checkers? An audit study. BMJ Open. 2022;12:e053566. doi:10.1136/bmjopen-2021-053566. PMC9047920. URL:https://bmjopen.bmj.com/content/12/4/e053566</w:t>
      </w:r>
    </w:p>
    <w:p>
      <w:pPr>
        <w:spacing w:after="60" w:before="0" w:line="336" w:lineRule="auto"/>
        <w:ind w:left="340"/>
      </w:pPr>
      <w:r>
        <w:rPr>
          <w:rFonts w:ascii="Times New Roman" w:hAnsi="Times New Roman" w:eastAsia="宋体"/>
          <w:b w:val="0"/>
          <w:color w:val="1A1A1A"/>
          <w:sz w:val="21"/>
        </w:rPr>
        <w:t>18. NHS. Chest pain. Page last reviewed 8 August 2023. URL:https://www.nhs.uk/symptoms/chest-pain/</w:t>
      </w:r>
    </w:p>
    <w:p>
      <w:pPr>
        <w:spacing w:after="60" w:before="0" w:line="336" w:lineRule="auto"/>
        <w:ind w:left="340"/>
      </w:pPr>
      <w:r>
        <w:rPr>
          <w:rFonts w:ascii="Times New Roman" w:hAnsi="Times New Roman" w:eastAsia="宋体"/>
          <w:b w:val="0"/>
          <w:color w:val="1A1A1A"/>
          <w:sz w:val="21"/>
        </w:rPr>
        <w:t>19. Fanaroff AC, Rymer JA, Goldstein SA, Simel DL, Newby LK. Does This Patient With Chest Pain Have Acute Coronary Syndrome?: The Rational Clinical Examination Systematic Review. JAMA. 2015;314(18):1910-1918. doi:10.1001/jama.2015.12735. PMID:26547467. URL:https://jamanetwork.com/journals/jama/fullarticle/2464587（摘要层）</w:t>
      </w:r>
    </w:p>
    <w:p>
      <w:pPr>
        <w:spacing w:after="60" w:before="0" w:line="336" w:lineRule="auto"/>
        <w:ind w:left="340"/>
      </w:pPr>
      <w:r>
        <w:rPr>
          <w:rFonts w:ascii="Times New Roman" w:hAnsi="Times New Roman" w:eastAsia="宋体"/>
          <w:b w:val="0"/>
          <w:color w:val="1A1A1A"/>
          <w:sz w:val="21"/>
        </w:rPr>
        <w:t>20. Diercks DB, Boghos E, Guzman H, Amsterdam EA, Kirk JD. Changes in the numeric descriptive scale for pain after sublingual nitroglycerin do not predict cardiac etiology of chest pain. Ann Emerg Med. 2005;46(1):64-69. doi:10.1016/j.annemergmed.2004.12.009. PMID:15940087. URL:https://pubmed.ncbi.nlm.nih.gov/15940087/（摘要层）</w:t>
      </w:r>
    </w:p>
    <w:p>
      <w:pPr>
        <w:spacing w:after="60" w:before="0" w:line="336" w:lineRule="auto"/>
        <w:ind w:left="340"/>
      </w:pPr>
      <w:r>
        <w:rPr>
          <w:rFonts w:ascii="Times New Roman" w:hAnsi="Times New Roman" w:eastAsia="宋体"/>
          <w:b w:val="0"/>
          <w:color w:val="1A1A1A"/>
          <w:sz w:val="21"/>
        </w:rPr>
        <w:t>21. 中华医学会急诊医学分会，中国医疗保健国际交流促进会胸痛分会. 急性胸痛急诊诊疗专家共识. 2019.（指南索引记录）</w:t>
      </w:r>
    </w:p>
    <w:p>
      <w:pPr>
        <w:spacing w:after="60" w:before="0" w:line="336" w:lineRule="auto"/>
        <w:ind w:left="340"/>
      </w:pPr>
      <w:r>
        <w:rPr>
          <w:rFonts w:ascii="Times New Roman" w:hAnsi="Times New Roman" w:eastAsia="宋体"/>
          <w:b w:val="0"/>
          <w:color w:val="1A1A1A"/>
          <w:sz w:val="21"/>
        </w:rPr>
        <w:t>22. 中华医学会. 胸痛基层诊疗指南（2019年）. 2019.（指南索引记录）</w:t>
      </w:r>
    </w:p>
    <w:p>
      <w:pPr>
        <w:spacing w:after="60" w:before="0" w:line="336" w:lineRule="auto"/>
        <w:ind w:left="340"/>
      </w:pPr>
      <w:r>
        <w:rPr>
          <w:rFonts w:ascii="Times New Roman" w:hAnsi="Times New Roman" w:eastAsia="宋体"/>
          <w:b w:val="0"/>
          <w:color w:val="1A1A1A"/>
          <w:sz w:val="21"/>
        </w:rPr>
        <w:t>23. Byrne RA, Rossello X, Coughlan JJ, et al. 2023 ESC Guidelines for the management of acute coronary syndromes. Eur Heart J. 2023;44(38):3720-3826. doi:10.1093/eurheartj/ehad191. PMID:37622654. URL:https://academic.oup.com/eurheartj/article/44/38/3720/7243219（摘要/元数据层）</w:t>
      </w:r>
    </w:p>
    <w:p>
      <w:pPr>
        <w:spacing w:after="60" w:before="0" w:line="336" w:lineRule="auto"/>
        <w:ind w:left="340"/>
      </w:pPr>
      <w:r>
        <w:rPr>
          <w:rFonts w:ascii="Times New Roman" w:hAnsi="Times New Roman" w:eastAsia="宋体"/>
          <w:b w:val="0"/>
          <w:color w:val="1A1A1A"/>
          <w:sz w:val="21"/>
        </w:rPr>
        <w:t xml:space="preserve">24. 中华医学会消化病学分会. 中国胃食管反流病专家共识. 中华消化杂志. 2020;40(10):649-663.（元数据级，经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 xml:space="preserve"> 参考文献列表核验）</w:t>
      </w:r>
    </w:p>
    <w:p>
      <w:pPr>
        <w:spacing w:after="60" w:before="0" w:line="336" w:lineRule="auto"/>
        <w:ind w:left="340"/>
      </w:pPr>
      <w:r>
        <w:rPr>
          <w:rFonts w:ascii="Times New Roman" w:hAnsi="Times New Roman" w:eastAsia="宋体"/>
          <w:b w:val="0"/>
          <w:color w:val="1A1A1A"/>
          <w:sz w:val="21"/>
        </w:rPr>
        <w:t>25. Diagnostic Accuracy of the Proton Pump Inhibitor Test in Gastroesophageal Reflux Disease and Noncardiac Chest Pain: A Systematic Review and Meta-analysis. J Clin Gastroenterol. 2023. doi:10.1097/mcg.0000000000001686. PMID:35324483. URL:https://pubmed.ncbi.nlm.nih.gov/35324483/（摘要层）</w:t>
      </w:r>
    </w:p>
    <w:p>
      <w:pPr>
        <w:spacing w:after="60" w:before="0" w:line="336" w:lineRule="auto"/>
        <w:ind w:left="340"/>
      </w:pPr>
      <w:r>
        <w:rPr>
          <w:rFonts w:ascii="Times New Roman" w:hAnsi="Times New Roman" w:eastAsia="宋体"/>
          <w:b w:val="0"/>
          <w:color w:val="1A1A1A"/>
          <w:sz w:val="21"/>
        </w:rPr>
        <w:t xml:space="preserve">26. Bösner S, Haasenritter J, Becker A, et al. Ruling out coronary artery disease in primary care: development and validation of a simple prediction rule. CMAJ. 2010;182(12):1295-1300. doi:10.1503/cmaj.100212. PMID:20603345.（Marburg Heart Score 原始研究；经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参考文献列表核验）</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