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Benchmark fixture only; not real organizational policy or clinical evidence.</w:t>
      </w:r>
    </w:p>
    <w:p>
      <w:r>
        <w:t xml:space="preserve">Topic: deadline.</w:t>
      </w:r>
    </w:p>
    <w:p>
      <w:r>
        <w:t xml:space="preserve">What is the submission deadline? Answer: 2026-11-03 17:00 UTC.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Authored policy fixture</dc:title>
  <dc:creator>EviMed benchmark</dc:creator>
  <cp:lastModifiedBy>Un-named</cp:lastModifiedBy>
  <cp:revision>1</cp:revision>
  <dcterms:created xsi:type="dcterms:W3CDTF">2026-10-23T12:22:30.796Z</dcterms:created>
  <dcterms:modified xsi:type="dcterms:W3CDTF">2026-10-23T12:22:30.796Z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