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Benchmark fixture only; not real organizational policy or clinical evidence.</w:t>
      </w:r>
    </w:p>
    <w:p>
      <w:r>
        <w:t xml:space="preserve">Topic: locale.</w:t>
      </w:r>
    </w:p>
    <w:p>
      <w:r>
        <w:t xml:space="preserve">Which locales does the pilot support? Answer: English and Japanese.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Authored policy fixture</dc:title>
  <dc:creator>EviMed benchmark</dc:creator>
  <cp:lastModifiedBy>Un-named</cp:lastModifiedBy>
  <cp:revision>1</cp:revision>
  <dcterms:created xsi:type="dcterms:W3CDTF">2026-10-23T12:22:30.791Z</dcterms:created>
  <dcterms:modified xsi:type="dcterms:W3CDTF">2026-10-23T12:22:30.791Z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