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系统评价证据缺口报告</w:t>
      </w:r>
    </w:p>
    <w:p>
      <w:pPr>
        <w:pStyle w:val="Heading2"/>
      </w:pPr>
      <w:r>
        <w:t>研究问题</w:t>
      </w:r>
    </w:p>
    <w:p>
      <w:r>
        <w:t>SGLT2 inhibitors versus placebo for chronic kidney disease progression in adults</w:t>
      </w:r>
    </w:p>
    <w:p>
      <w:pPr>
        <w:pStyle w:val="Heading2"/>
      </w:pPr>
      <w:r>
        <w:t>当前结论</w:t>
      </w:r>
    </w:p>
    <w:p>
      <w:r>
        <w:t>本次运行被判定为 evidence_gap，状态为 blocked。系统已阻止生成投稿式 Meta 分析正文；需要先完成证据核验、全文补充或人工裁决。</w:t>
      </w:r>
    </w:p>
    <w:p>
      <w:pPr>
        <w:pStyle w:val="Heading2"/>
      </w:pPr>
      <w:r>
        <w:t>PICO</w:t>
      </w:r>
    </w:p>
    <w:p>
      <w:r>
        <w:t>- 人群：Adults (≥18 years) with chronic kidney disease (CKD), defined by an estimated glomerular filtration rate (eGFR) &lt;60 ml/min/1.73m2 and/or urine albumin-to-creatinine ratio (UACR) ≥30 mg/g, including both diabetic and non-diabetic etiologies. - 干预：SGLT2 inhibitors (e.g., dapagliflozin, empagliflozin, canagliflozin, ertugliflozin, sotagliflozin) at any dose and frequency, with or without background standard of care (including other glucose-lowering or antihypertensive medications). - 对照：Placebo, with or without identical background standard of care. - 主要结局：Kidney disease progression, defined as a composite of sustained ≥40% decline in eGFR, end-stage kidney disease (ESKD) [need for dialysis, kidney transplant, or sustained eGFR &lt;15 ml/min/1.73m2], or death due to kidney disease.</w:t>
      </w:r>
    </w:p>
    <w:p>
      <w:pPr>
        <w:pStyle w:val="Heading2"/>
      </w:pPr>
      <w:r>
        <w:t>检索与筛选概况</w:t>
      </w:r>
    </w:p>
    <w:p>
      <w:r>
        <w:t>- 检索/来源：PubMed, curated literature index, OpenAlex, ClinicalTrials.gov - 识别记录：571 - 去重后记录：555 - 题名/摘要筛选：20 - 全文评估：2 - 综述层面纳入/提取：0 - 主结局可合并研究：0</w:t>
      </w:r>
    </w:p>
    <w:p>
      <w:pPr>
        <w:pStyle w:val="Heading2"/>
      </w:pPr>
      <w:r>
        <w:t>阻断原因</w:t>
      </w:r>
    </w:p>
    <w:p>
      <w:r>
        <w:t>- insufficient_primary_effects: Primary meta-analysis has 0 computable effect(s); at least 2 are required. - evidence_gate_evidence_gap: EvidenceGate classified this run as an evidence gap (eligible=0, meta eligible=0).</w:t>
      </w:r>
    </w:p>
    <w:p>
      <w:pPr>
        <w:pStyle w:val="Heading2"/>
      </w:pPr>
      <w:r>
        <w:t>待复核警告</w:t>
      </w:r>
    </w:p>
    <w:p>
      <w:r>
        <w:t>- limited_text_sources_present: 1 retrieved/screened record(s) use limited source text (1 abstract-only).</w:t>
      </w:r>
    </w:p>
    <w:p>
      <w:pPr>
        <w:pStyle w:val="Heading2"/>
      </w:pPr>
      <w:r>
        <w:t>入池候选行审计</w:t>
      </w:r>
    </w:p>
    <w:p>
      <w:r>
        <w:t>- 未选择主结局候选行。</w:t>
      </w:r>
    </w:p>
    <w:p>
      <w:pPr>
        <w:pStyle w:val="Heading2"/>
      </w:pPr>
      <w:r>
        <w:t>Retrieval and Processing Notes</w:t>
      </w:r>
    </w:p>
    <w:p>
      <w:r>
        <w:t>1 run-level warning(s) were recorded during retrieval, parsing, analysis, or output generation. Review the project run-warning log before external use. - retrieval/clinicaltrials_fallback_failed: ClinicalTrials.gov fallback had 1 failed request(s); registry-first trials may be missing.</w:t>
      </w:r>
    </w:p>
    <w:p>
      <w:pPr>
        <w:pStyle w:val="Heading2"/>
      </w:pPr>
      <w:r>
        <w:t>下一步处理建议</w:t>
      </w:r>
    </w:p>
    <w:p>
      <w:r>
        <w:t>1. 补充或重新上传被标记为 abstract-only 的全文 PDF。 2. 在 extraction review 界面核验每个主结局数字、页码、表格和原文引用。 3. 对目标时间点不明确的行进行人工裁决，必要时改为 narrative-only。 4. 所有 blockers 清零后再生成投稿式 manuscript。</w:t>
      </w:r>
    </w:p>
    <w:p>
      <w:r>
        <w:t>Evidence readiness warning: This run is classified as evidence_gap and is not cleared for quantitative synthesis because unresolved evidence blockers remain (insufficient_primary_effects, evidence_gate_evidence_gap). See manuscript_facts.json, extraction/extraction_audit.json, and analysis/effect_selection_audit.json before external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