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Benchmark fixture only; not real organizational policy or clinical evidence.</w:t>
      </w:r>
    </w:p>
    <w:p>
      <w:r>
        <w:t xml:space="preserve">Topic: region.</w:t>
      </w:r>
    </w:p>
    <w:p>
      <w:r>
        <w:t xml:space="preserve">Which region stores the pilot data? Answer: Tokyo.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Authored policy fixture</dc:title>
  <dc:creator>EviMed benchmark</dc:creator>
  <cp:lastModifiedBy>Un-named</cp:lastModifiedBy>
  <cp:revision>1</cp:revision>
  <dcterms:created xsi:type="dcterms:W3CDTF">2026-10-23T12:22:30.809Z</dcterms:created>
  <dcterms:modified xsi:type="dcterms:W3CDTF">2026-10-23T12:22:30.809Z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