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Benchmark fixture only; not real organizational policy or clinical evidence.</w:t>
      </w:r>
    </w:p>
    <w:p>
      <w:r>
        <w:t xml:space="preserve">Topic: release.</w:t>
      </w:r>
    </w:p>
    <w:p>
      <w:r>
        <w:t xml:space="preserve">What is the launch date? Answer: 2026-11-12.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Authored policy fixture</dc:title>
  <dc:creator>EviMed benchmark</dc:creator>
  <cp:lastModifiedBy>Un-named</cp:lastModifiedBy>
  <cp:revision>1</cp:revision>
  <dcterms:created xsi:type="dcterms:W3CDTF">2026-10-23T12:22:30.761Z</dcterms:created>
  <dcterms:modified xsi:type="dcterms:W3CDTF">2026-10-23T12:22:30.761Z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