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val="0"/>
          <w:i w:val="0"/>
        </w:rPr>
        <w:t>住院治疗药物监测数据的研究方向与实施方案</w:t>
      </w:r>
    </w:p>
    <w:p>
      <w:pPr>
        <w:spacing w:after="80"/>
        <w:jc w:val="center"/>
      </w:pPr>
      <w:r>
        <w:rPr>
          <w:b w:val="0"/>
          <w:i w:val="0"/>
          <w:sz w:val="22"/>
        </w:rPr>
        <w:t>基于 20260803TDM.xlsx 字段结构样本的可行性论证、方法学设计与数据治理要求</w:t>
      </w:r>
    </w:p>
    <w:p>
      <w:pPr>
        <w:spacing w:after="320"/>
        <w:jc w:val="center"/>
      </w:pPr>
      <w:r>
        <w:rPr>
          <w:b w:val="0"/>
          <w:i/>
          <w:sz w:val="18"/>
        </w:rPr>
        <w:t>2026 年 8 月</w:t>
      </w:r>
    </w:p>
    <w:p>
      <w:pPr>
        <w:pStyle w:val="Heading2"/>
      </w:pPr>
      <w:r>
        <w:rPr>
          <w:b w:val="0"/>
          <w:i w:val="0"/>
        </w:rPr>
        <w:t>摘要</w:t>
      </w:r>
    </w:p>
    <w:p>
      <w:r>
        <w:rPr>
          <w:b w:val="0"/>
          <w:i w:val="0"/>
        </w:rPr>
        <w:t>本报告以一家精神专科医院的住院治疗药物监测（therapeutic drug monitoring, TDM）数据抽取为对象，回答两个问题：这套字段结构能支撑哪些可发表的研究，以及每一项研究具体怎么做。抽取包含病案首页、医嘱记录、检验、诊断记录、体征五张表，共 1 535 行。</w:t>
      </w:r>
      <w:r>
        <w:rPr>
          <w:b/>
          <w:i w:val="0"/>
        </w:rPr>
        <w:t>需要强调的是，该抽取是字段结构的样本而非研究人群</w:t>
      </w:r>
      <w:r>
        <w:rPr>
          <w:b w:val="0"/>
          <w:i w:val="0"/>
        </w:rPr>
        <w:t>——医院信息系统中同一 schema 承载全院数据，因此样本量只约束本次估计的精度，不约束设计本身能否成立。本报告在样本上跑通了每一条分析管线并给出实测数值作为存在性证明，同时按每参数事件数与精度目标推导了规模化所需的样本量。</w:t>
      </w:r>
    </w:p>
    <w:p>
      <w:r>
        <w:rPr>
          <w:b w:val="0"/>
          <w:i w:val="0"/>
        </w:rPr>
        <w:t>核心发现有三：其一，检验表同时报告阿立哌唑原型、活性代谢物脱氢阿立哌唑与两者之和，且总量恒等式在 6 组配对中 6 组成立，这一校验是后续全部浓度推断的合法性前提；其二，由此可直接计算代谢物/原型比，样本跨度 0.174–0.492（2.83 倍），该比值是国际公认的 CYP2D6 活性表型代理，使本数据在没有基因型字段的条件下仍可开展表型分层分析；其三，日剂量可由采样当日在用医嘱重建，得到剂量归一化浓度 7.99–23.60 ng/mL per mg/day（2.95 倍），且一名受试者在剂量未变的情况下两次测定由 317 升至 400 ng/mL（+26%），为个体内变异提供了直接读数。</w:t>
      </w:r>
    </w:p>
    <w:p>
      <w:r>
        <w:rPr>
          <w:b w:val="0"/>
          <w:i w:val="0"/>
        </w:rPr>
        <w:t>在此基础上提出五个研究方向，覆盖暴露重建与个体化预测、真实世界药物相互作用、浓度指导给药的闭环质量、不规则纵向代谢结局，以及暴露—不良反应关联。每个方向均包含文献小综述、设计思路溯源与可执行研究方案，并明确标注所借鉴的院外方法学来源。</w:t>
      </w:r>
    </w:p>
    <w:p>
      <w:pPr>
        <w:pStyle w:val="Heading2"/>
      </w:pPr>
      <w:r>
        <w:rPr>
          <w:b w:val="0"/>
          <w:i w:val="0"/>
        </w:rPr>
        <w:t>一、数据来源与字段结构</w:t>
      </w:r>
    </w:p>
    <w:p>
      <w:r>
        <w:rPr>
          <w:b w:val="0"/>
          <w:i w:val="0"/>
        </w:rPr>
        <w:t>抽取为 Excel 工作簿，五张工作表构成一个规范的关系型结构。行列规模与承载内容如下。行数在本报告中仅用于说明结构完整性，不作为研究样本量。</w:t>
      </w:r>
    </w:p>
    <w:tbl>
      <w:tblPr>
        <w:tblStyle w:val="LightGrid-Accent1"/>
        <w:tblW w:type="auto" w:w="0"/>
        <w:jc w:val="center"/>
        <w:tblLook w:firstColumn="1" w:firstRow="1" w:lastColumn="0" w:lastRow="0" w:noHBand="0" w:noVBand="1" w:val="04A0"/>
      </w:tblPr>
      <w:tblGrid>
        <w:gridCol w:w="2323"/>
        <w:gridCol w:w="2323"/>
        <w:gridCol w:w="2323"/>
        <w:gridCol w:w="2323"/>
      </w:tblGrid>
      <w:tr>
        <w:tc>
          <w:tcPr>
            <w:tcW w:type="dxa" w:w="1474"/>
          </w:tcPr>
          <w:p>
            <w:r/>
            <w:r>
              <w:rPr>
                <w:b/>
                <w:sz w:val="18"/>
              </w:rPr>
              <w:t>表</w:t>
            </w:r>
          </w:p>
        </w:tc>
        <w:tc>
          <w:tcPr>
            <w:tcW w:type="dxa" w:w="1247"/>
          </w:tcPr>
          <w:p>
            <w:r/>
            <w:r>
              <w:rPr>
                <w:b/>
                <w:sz w:val="18"/>
              </w:rPr>
              <w:t>行 × 列</w:t>
            </w:r>
          </w:p>
        </w:tc>
        <w:tc>
          <w:tcPr>
            <w:tcW w:type="dxa" w:w="1361"/>
          </w:tcPr>
          <w:p>
            <w:r/>
            <w:r>
              <w:rPr>
                <w:b/>
                <w:sz w:val="18"/>
              </w:rPr>
              <w:t>粒度</w:t>
            </w:r>
          </w:p>
        </w:tc>
        <w:tc>
          <w:tcPr>
            <w:tcW w:type="dxa" w:w="4649"/>
          </w:tcPr>
          <w:p>
            <w:r/>
            <w:r>
              <w:rPr>
                <w:b/>
                <w:sz w:val="18"/>
              </w:rPr>
              <w:t>承载的研究要素</w:t>
            </w:r>
          </w:p>
        </w:tc>
      </w:tr>
      <w:tr>
        <w:tc>
          <w:tcPr>
            <w:tcW w:type="dxa" w:w="1474"/>
          </w:tcPr>
          <w:p>
            <w:r/>
            <w:r>
              <w:rPr>
                <w:b w:val="0"/>
                <w:sz w:val="18"/>
              </w:rPr>
              <w:t>病案首页</w:t>
            </w:r>
          </w:p>
        </w:tc>
        <w:tc>
          <w:tcPr>
            <w:tcW w:type="dxa" w:w="1247"/>
          </w:tcPr>
          <w:p>
            <w:r/>
            <w:r>
              <w:rPr>
                <w:b w:val="0"/>
                <w:sz w:val="18"/>
              </w:rPr>
              <w:t>5 × 38</w:t>
            </w:r>
          </w:p>
        </w:tc>
        <w:tc>
          <w:tcPr>
            <w:tcW w:type="dxa" w:w="1361"/>
          </w:tcPr>
          <w:p>
            <w:r/>
            <w:r>
              <w:rPr>
                <w:b w:val="0"/>
                <w:sz w:val="18"/>
              </w:rPr>
              <w:t>一次住院</w:t>
            </w:r>
          </w:p>
        </w:tc>
        <w:tc>
          <w:tcPr>
            <w:tcW w:type="dxa" w:w="4649"/>
          </w:tcPr>
          <w:p>
            <w:r/>
            <w:r>
              <w:rPr>
                <w:b w:val="0"/>
                <w:sz w:val="18"/>
              </w:rPr>
              <w:t>人口学、入出院时间、主要与其他诊断、住院天数、费用</w:t>
            </w:r>
          </w:p>
        </w:tc>
      </w:tr>
      <w:tr>
        <w:tc>
          <w:tcPr>
            <w:tcW w:type="dxa" w:w="1474"/>
          </w:tcPr>
          <w:p>
            <w:r/>
            <w:r>
              <w:rPr>
                <w:b w:val="0"/>
                <w:sz w:val="18"/>
              </w:rPr>
              <w:t>医嘱记录</w:t>
            </w:r>
          </w:p>
        </w:tc>
        <w:tc>
          <w:tcPr>
            <w:tcW w:type="dxa" w:w="1247"/>
          </w:tcPr>
          <w:p>
            <w:r/>
            <w:r>
              <w:rPr>
                <w:b w:val="0"/>
                <w:sz w:val="18"/>
              </w:rPr>
              <w:t>915 × 22</w:t>
            </w:r>
          </w:p>
        </w:tc>
        <w:tc>
          <w:tcPr>
            <w:tcW w:type="dxa" w:w="1361"/>
          </w:tcPr>
          <w:p>
            <w:r/>
            <w:r>
              <w:rPr>
                <w:b w:val="0"/>
                <w:sz w:val="18"/>
              </w:rPr>
              <w:t>一条医嘱</w:t>
            </w:r>
          </w:p>
        </w:tc>
        <w:tc>
          <w:tcPr>
            <w:tcW w:type="dxa" w:w="4649"/>
          </w:tcPr>
          <w:p>
            <w:r/>
            <w:r>
              <w:rPr>
                <w:b w:val="0"/>
                <w:sz w:val="18"/>
              </w:rPr>
              <w:t>药品名、剂量与单位、频次、途径、起止时间、长期/临时标志</w:t>
            </w:r>
          </w:p>
        </w:tc>
      </w:tr>
      <w:tr>
        <w:tc>
          <w:tcPr>
            <w:tcW w:type="dxa" w:w="1474"/>
          </w:tcPr>
          <w:p>
            <w:r/>
            <w:r>
              <w:rPr>
                <w:b w:val="0"/>
                <w:sz w:val="18"/>
              </w:rPr>
              <w:t>检验</w:t>
            </w:r>
          </w:p>
        </w:tc>
        <w:tc>
          <w:tcPr>
            <w:tcW w:type="dxa" w:w="1247"/>
          </w:tcPr>
          <w:p>
            <w:r/>
            <w:r>
              <w:rPr>
                <w:b w:val="0"/>
                <w:sz w:val="18"/>
              </w:rPr>
              <w:t>22 × 12</w:t>
            </w:r>
          </w:p>
        </w:tc>
        <w:tc>
          <w:tcPr>
            <w:tcW w:type="dxa" w:w="1361"/>
          </w:tcPr>
          <w:p>
            <w:r/>
            <w:r>
              <w:rPr>
                <w:b w:val="0"/>
                <w:sz w:val="18"/>
              </w:rPr>
              <w:t>一次检验项目</w:t>
            </w:r>
          </w:p>
        </w:tc>
        <w:tc>
          <w:tcPr>
            <w:tcW w:type="dxa" w:w="4649"/>
          </w:tcPr>
          <w:p>
            <w:r/>
            <w:r>
              <w:rPr>
                <w:b w:val="0"/>
                <w:sz w:val="18"/>
              </w:rPr>
              <w:t>检测目的、申请与检验日期、项目名、结果值、</w:t>
            </w:r>
            <w:r>
              <w:rPr>
                <w:b/>
                <w:sz w:val="18"/>
              </w:rPr>
              <w:t>该行自带参考范围</w:t>
            </w:r>
          </w:p>
        </w:tc>
      </w:tr>
      <w:tr>
        <w:tc>
          <w:tcPr>
            <w:tcW w:type="dxa" w:w="1474"/>
          </w:tcPr>
          <w:p>
            <w:r/>
            <w:r>
              <w:rPr>
                <w:b w:val="0"/>
                <w:sz w:val="18"/>
              </w:rPr>
              <w:t>诊断记录</w:t>
            </w:r>
          </w:p>
        </w:tc>
        <w:tc>
          <w:tcPr>
            <w:tcW w:type="dxa" w:w="1247"/>
          </w:tcPr>
          <w:p>
            <w:r/>
            <w:r>
              <w:rPr>
                <w:b w:val="0"/>
                <w:sz w:val="18"/>
              </w:rPr>
              <w:t>56 × 11</w:t>
            </w:r>
          </w:p>
        </w:tc>
        <w:tc>
          <w:tcPr>
            <w:tcW w:type="dxa" w:w="1361"/>
          </w:tcPr>
          <w:p>
            <w:r/>
            <w:r>
              <w:rPr>
                <w:b w:val="0"/>
                <w:sz w:val="18"/>
              </w:rPr>
              <w:t>一条诊断</w:t>
            </w:r>
          </w:p>
        </w:tc>
        <w:tc>
          <w:tcPr>
            <w:tcW w:type="dxa" w:w="4649"/>
          </w:tcPr>
          <w:p>
            <w:r/>
            <w:r>
              <w:rPr>
                <w:b w:val="0"/>
                <w:sz w:val="18"/>
              </w:rPr>
              <w:t>诊断日期、中西医类型、是否主诊断、诊断编码与名称</w:t>
            </w:r>
          </w:p>
        </w:tc>
      </w:tr>
      <w:tr>
        <w:tc>
          <w:tcPr>
            <w:tcW w:type="dxa" w:w="1474"/>
          </w:tcPr>
          <w:p>
            <w:r/>
            <w:r>
              <w:rPr>
                <w:b w:val="0"/>
                <w:sz w:val="18"/>
              </w:rPr>
              <w:t>体征</w:t>
            </w:r>
          </w:p>
        </w:tc>
        <w:tc>
          <w:tcPr>
            <w:tcW w:type="dxa" w:w="1247"/>
          </w:tcPr>
          <w:p>
            <w:r/>
            <w:r>
              <w:rPr>
                <w:b w:val="0"/>
                <w:sz w:val="18"/>
              </w:rPr>
              <w:t>537 × 10</w:t>
            </w:r>
          </w:p>
        </w:tc>
        <w:tc>
          <w:tcPr>
            <w:tcW w:type="dxa" w:w="1361"/>
          </w:tcPr>
          <w:p>
            <w:r/>
            <w:r>
              <w:rPr>
                <w:b w:val="0"/>
                <w:sz w:val="18"/>
              </w:rPr>
              <w:t>一次测量</w:t>
            </w:r>
          </w:p>
        </w:tc>
        <w:tc>
          <w:tcPr>
            <w:tcW w:type="dxa" w:w="4649"/>
          </w:tcPr>
          <w:p>
            <w:r/>
            <w:r>
              <w:rPr>
                <w:b w:val="0"/>
                <w:sz w:val="18"/>
              </w:rPr>
              <w:t>测量日期、体征类型、测量值与单位</w:t>
            </w:r>
          </w:p>
        </w:tc>
      </w:tr>
    </w:tbl>
    <w:p/>
    <w:p>
      <w:r>
        <w:rPr>
          <w:b w:val="0"/>
          <w:i w:val="0"/>
        </w:rPr>
        <w:t>检验表的项目构成决定了本数据的分析上限，因此单独列出。七个被测物中，阿立哌唑组同时给出原型、活性代谢物与总量三行，这是全部设计得以展开的结构性条件。参考范围随行给出，与 AGNP 共识（Hiemke 2018，DOI 10.1055/s-0043-116492）一致 ✔。</w:t>
      </w:r>
    </w:p>
    <w:tbl>
      <w:tblPr>
        <w:tblStyle w:val="LightGrid-Accent1"/>
        <w:tblW w:type="auto" w:w="0"/>
        <w:jc w:val="center"/>
        <w:tblLook w:firstColumn="1" w:firstRow="1" w:lastColumn="0" w:lastRow="0" w:noHBand="0" w:noVBand="1" w:val="04A0"/>
      </w:tblPr>
      <w:tblGrid>
        <w:gridCol w:w="2323"/>
        <w:gridCol w:w="2323"/>
        <w:gridCol w:w="2323"/>
        <w:gridCol w:w="2323"/>
      </w:tblGrid>
      <w:tr>
        <w:tc>
          <w:tcPr>
            <w:tcW w:type="dxa" w:w="2381"/>
          </w:tcPr>
          <w:p>
            <w:r/>
            <w:r>
              <w:rPr>
                <w:b/>
                <w:sz w:val="18"/>
              </w:rPr>
              <w:t>被测物</w:t>
            </w:r>
          </w:p>
        </w:tc>
        <w:tc>
          <w:tcPr>
            <w:tcW w:type="dxa" w:w="907"/>
          </w:tcPr>
          <w:p>
            <w:r/>
            <w:r>
              <w:rPr>
                <w:b/>
                <w:sz w:val="18"/>
              </w:rPr>
              <w:t>行数</w:t>
            </w:r>
          </w:p>
        </w:tc>
        <w:tc>
          <w:tcPr>
            <w:tcW w:type="dxa" w:w="2381"/>
          </w:tcPr>
          <w:p>
            <w:r/>
            <w:r>
              <w:rPr>
                <w:b/>
                <w:sz w:val="18"/>
              </w:rPr>
              <w:t>随行参考范围 (ng/mL)</w:t>
            </w:r>
          </w:p>
        </w:tc>
        <w:tc>
          <w:tcPr>
            <w:tcW w:type="dxa" w:w="3061"/>
          </w:tcPr>
          <w:p>
            <w:r/>
            <w:r>
              <w:rPr>
                <w:b/>
                <w:sz w:val="18"/>
              </w:rPr>
              <w:t>在本报告中的角色</w:t>
            </w:r>
          </w:p>
        </w:tc>
      </w:tr>
      <w:tr>
        <w:tc>
          <w:tcPr>
            <w:tcW w:type="dxa" w:w="2381"/>
          </w:tcPr>
          <w:p>
            <w:r/>
            <w:r>
              <w:rPr>
                <w:b w:val="0"/>
                <w:sz w:val="18"/>
              </w:rPr>
              <w:t>阿立哌唑（原型）</w:t>
            </w:r>
          </w:p>
        </w:tc>
        <w:tc>
          <w:tcPr>
            <w:tcW w:type="dxa" w:w="907"/>
          </w:tcPr>
          <w:p>
            <w:r/>
            <w:r>
              <w:rPr>
                <w:b w:val="0"/>
                <w:sz w:val="18"/>
              </w:rPr>
              <w:t>6</w:t>
            </w:r>
          </w:p>
        </w:tc>
        <w:tc>
          <w:tcPr>
            <w:tcW w:type="dxa" w:w="2381"/>
          </w:tcPr>
          <w:p>
            <w:r/>
            <w:r>
              <w:rPr>
                <w:b w:val="0"/>
                <w:sz w:val="18"/>
              </w:rPr>
              <w:t>100–350</w:t>
            </w:r>
          </w:p>
        </w:tc>
        <w:tc>
          <w:tcPr>
            <w:tcW w:type="dxa" w:w="3061"/>
          </w:tcPr>
          <w:p>
            <w:r/>
            <w:r>
              <w:rPr>
                <w:b w:val="0"/>
                <w:sz w:val="18"/>
              </w:rPr>
              <w:t>暴露主变量；C/D 的分子</w:t>
            </w:r>
          </w:p>
        </w:tc>
      </w:tr>
      <w:tr>
        <w:tc>
          <w:tcPr>
            <w:tcW w:type="dxa" w:w="2381"/>
          </w:tcPr>
          <w:p>
            <w:r/>
            <w:r>
              <w:rPr>
                <w:b w:val="0"/>
                <w:sz w:val="18"/>
              </w:rPr>
              <w:t>脱氢阿立哌唑（活性代谢物）</w:t>
            </w:r>
          </w:p>
        </w:tc>
        <w:tc>
          <w:tcPr>
            <w:tcW w:type="dxa" w:w="907"/>
          </w:tcPr>
          <w:p>
            <w:r/>
            <w:r>
              <w:rPr>
                <w:b w:val="0"/>
                <w:sz w:val="18"/>
              </w:rPr>
              <w:t>6</w:t>
            </w:r>
          </w:p>
        </w:tc>
        <w:tc>
          <w:tcPr>
            <w:tcW w:type="dxa" w:w="2381"/>
          </w:tcPr>
          <w:p>
            <w:r/>
            <w:r>
              <w:rPr>
                <w:b w:val="0"/>
                <w:sz w:val="18"/>
              </w:rPr>
              <w:t>（无）</w:t>
            </w:r>
          </w:p>
        </w:tc>
        <w:tc>
          <w:tcPr>
            <w:tcW w:type="dxa" w:w="3061"/>
          </w:tcPr>
          <w:p>
            <w:r/>
            <w:r>
              <w:rPr>
                <w:b w:val="0"/>
                <w:sz w:val="18"/>
              </w:rPr>
              <w:t>代谢比的分子——CYP2D6 表型代理</w:t>
            </w:r>
          </w:p>
        </w:tc>
      </w:tr>
      <w:tr>
        <w:tc>
          <w:tcPr>
            <w:tcW w:type="dxa" w:w="2381"/>
          </w:tcPr>
          <w:p>
            <w:r/>
            <w:r>
              <w:rPr>
                <w:b w:val="0"/>
                <w:sz w:val="18"/>
              </w:rPr>
              <w:t>总阿立哌唑</w:t>
            </w:r>
          </w:p>
        </w:tc>
        <w:tc>
          <w:tcPr>
            <w:tcW w:type="dxa" w:w="907"/>
          </w:tcPr>
          <w:p>
            <w:r/>
            <w:r>
              <w:rPr>
                <w:b w:val="0"/>
                <w:sz w:val="18"/>
              </w:rPr>
              <w:t>6</w:t>
            </w:r>
          </w:p>
        </w:tc>
        <w:tc>
          <w:tcPr>
            <w:tcW w:type="dxa" w:w="2381"/>
          </w:tcPr>
          <w:p>
            <w:r/>
            <w:r>
              <w:rPr>
                <w:b w:val="0"/>
                <w:sz w:val="18"/>
              </w:rPr>
              <w:t>150–500</w:t>
            </w:r>
          </w:p>
        </w:tc>
        <w:tc>
          <w:tcPr>
            <w:tcW w:type="dxa" w:w="3061"/>
          </w:tcPr>
          <w:p>
            <w:r/>
            <w:r>
              <w:rPr>
                <w:b w:val="0"/>
                <w:sz w:val="18"/>
              </w:rPr>
              <w:t>恒等式校验项；与总活性部分标准对照</w:t>
            </w:r>
          </w:p>
        </w:tc>
      </w:tr>
      <w:tr>
        <w:tc>
          <w:tcPr>
            <w:tcW w:type="dxa" w:w="2381"/>
          </w:tcPr>
          <w:p>
            <w:r/>
            <w:r>
              <w:rPr>
                <w:b w:val="0"/>
                <w:sz w:val="18"/>
              </w:rPr>
              <w:t>氯氮平</w:t>
            </w:r>
          </w:p>
        </w:tc>
        <w:tc>
          <w:tcPr>
            <w:tcW w:type="dxa" w:w="907"/>
          </w:tcPr>
          <w:p>
            <w:r/>
            <w:r>
              <w:rPr>
                <w:b w:val="0"/>
                <w:sz w:val="18"/>
              </w:rPr>
              <w:t>1</w:t>
            </w:r>
          </w:p>
        </w:tc>
        <w:tc>
          <w:tcPr>
            <w:tcW w:type="dxa" w:w="2381"/>
          </w:tcPr>
          <w:p>
            <w:r/>
            <w:r>
              <w:rPr>
                <w:b w:val="0"/>
                <w:sz w:val="18"/>
              </w:rPr>
              <w:t>350–600</w:t>
            </w:r>
          </w:p>
        </w:tc>
        <w:tc>
          <w:tcPr>
            <w:tcW w:type="dxa" w:w="3061"/>
          </w:tcPr>
          <w:p>
            <w:r/>
            <w:r>
              <w:rPr>
                <w:b w:val="0"/>
                <w:sz w:val="18"/>
              </w:rPr>
              <w:t>类内对照；毒性阈值文献充分</w:t>
            </w:r>
          </w:p>
        </w:tc>
      </w:tr>
      <w:tr>
        <w:tc>
          <w:tcPr>
            <w:tcW w:type="dxa" w:w="2381"/>
          </w:tcPr>
          <w:p>
            <w:r/>
            <w:r>
              <w:rPr>
                <w:b w:val="0"/>
                <w:sz w:val="18"/>
              </w:rPr>
              <w:t>奥氮平</w:t>
            </w:r>
          </w:p>
        </w:tc>
        <w:tc>
          <w:tcPr>
            <w:tcW w:type="dxa" w:w="907"/>
          </w:tcPr>
          <w:p>
            <w:r/>
            <w:r>
              <w:rPr>
                <w:b w:val="0"/>
                <w:sz w:val="18"/>
              </w:rPr>
              <w:t>1</w:t>
            </w:r>
          </w:p>
        </w:tc>
        <w:tc>
          <w:tcPr>
            <w:tcW w:type="dxa" w:w="2381"/>
          </w:tcPr>
          <w:p>
            <w:r/>
            <w:r>
              <w:rPr>
                <w:b w:val="0"/>
                <w:sz w:val="18"/>
              </w:rPr>
              <w:t>20–80</w:t>
            </w:r>
          </w:p>
        </w:tc>
        <w:tc>
          <w:tcPr>
            <w:tcW w:type="dxa" w:w="3061"/>
          </w:tcPr>
          <w:p>
            <w:r/>
            <w:r>
              <w:rPr>
                <w:b w:val="0"/>
                <w:sz w:val="18"/>
              </w:rPr>
              <w:t>类内对照；代谢副作用主嫌</w:t>
            </w:r>
          </w:p>
        </w:tc>
      </w:tr>
      <w:tr>
        <w:tc>
          <w:tcPr>
            <w:tcW w:type="dxa" w:w="2381"/>
          </w:tcPr>
          <w:p>
            <w:r/>
            <w:r>
              <w:rPr>
                <w:b w:val="0"/>
                <w:sz w:val="18"/>
              </w:rPr>
              <w:t>帕利哌酮</w:t>
            </w:r>
          </w:p>
        </w:tc>
        <w:tc>
          <w:tcPr>
            <w:tcW w:type="dxa" w:w="907"/>
          </w:tcPr>
          <w:p>
            <w:r/>
            <w:r>
              <w:rPr>
                <w:b w:val="0"/>
                <w:sz w:val="18"/>
              </w:rPr>
              <w:t>1</w:t>
            </w:r>
          </w:p>
        </w:tc>
        <w:tc>
          <w:tcPr>
            <w:tcW w:type="dxa" w:w="2381"/>
          </w:tcPr>
          <w:p>
            <w:r/>
            <w:r>
              <w:rPr>
                <w:b w:val="0"/>
                <w:sz w:val="18"/>
              </w:rPr>
              <w:t>20–60</w:t>
            </w:r>
          </w:p>
        </w:tc>
        <w:tc>
          <w:tcPr>
            <w:tcW w:type="dxa" w:w="3061"/>
          </w:tcPr>
          <w:p>
            <w:r/>
            <w:r>
              <w:rPr>
                <w:b w:val="0"/>
                <w:sz w:val="18"/>
              </w:rPr>
              <w:t>类内对照</w:t>
            </w:r>
          </w:p>
        </w:tc>
      </w:tr>
      <w:tr>
        <w:tc>
          <w:tcPr>
            <w:tcW w:type="dxa" w:w="2381"/>
          </w:tcPr>
          <w:p>
            <w:r/>
            <w:r>
              <w:rPr>
                <w:b w:val="0"/>
                <w:sz w:val="18"/>
              </w:rPr>
              <w:t>氯硝西泮</w:t>
            </w:r>
          </w:p>
        </w:tc>
        <w:tc>
          <w:tcPr>
            <w:tcW w:type="dxa" w:w="907"/>
          </w:tcPr>
          <w:p>
            <w:r/>
            <w:r>
              <w:rPr>
                <w:b w:val="0"/>
                <w:sz w:val="18"/>
              </w:rPr>
              <w:t>1</w:t>
            </w:r>
          </w:p>
        </w:tc>
        <w:tc>
          <w:tcPr>
            <w:tcW w:type="dxa" w:w="2381"/>
          </w:tcPr>
          <w:p>
            <w:r/>
            <w:r>
              <w:rPr>
                <w:b w:val="0"/>
                <w:sz w:val="18"/>
              </w:rPr>
              <w:t>4–80</w:t>
            </w:r>
          </w:p>
        </w:tc>
        <w:tc>
          <w:tcPr>
            <w:tcW w:type="dxa" w:w="3061"/>
          </w:tcPr>
          <w:p>
            <w:r/>
            <w:r>
              <w:rPr>
                <w:b w:val="0"/>
                <w:sz w:val="18"/>
              </w:rPr>
              <w:t>合并用药暴露</w:t>
            </w:r>
          </w:p>
        </w:tc>
      </w:tr>
    </w:tbl>
    <w:p/>
    <w:p>
      <w:pPr>
        <w:pStyle w:val="Heading2"/>
      </w:pPr>
      <w:r>
        <w:rPr>
          <w:b w:val="0"/>
          <w:i w:val="0"/>
        </w:rPr>
        <w:t>二、编码规范与数据治理发现</w:t>
      </w:r>
    </w:p>
    <w:p>
      <w:r>
        <w:rPr>
          <w:b w:val="0"/>
          <w:i w:val="0"/>
        </w:rPr>
        <w:t>数据治理层面的发现比字段清单更重要，因为它们决定了哪些分析在技术上根本无法开展、以及哪些分析会在无声中出错。以下四项均为对本抽取的实测结果，并给出计数。</w:t>
      </w:r>
    </w:p>
    <w:p>
      <w:pPr>
        <w:pStyle w:val="Heading3"/>
      </w:pPr>
      <w:r>
        <w:rPr>
          <w:b w:val="0"/>
          <w:i w:val="0"/>
        </w:rPr>
        <w:t>同一诊断列并存四套编码系统</w:t>
      </w:r>
    </w:p>
    <w:p>
      <w:r>
        <w:rPr>
          <w:b w:val="0"/>
          <w:i w:val="0"/>
        </w:rPr>
        <w:t>`诊断记录.DIAGNOSIS_CODE` 的 45 个非空取值中，符合 ICD-10 中国临床版形态的 27 条、中医病证字母数字码（如 BNX071 癫病、BNG110 郁病）13 条、中医证候点分层码（如 A05.01、A04.01.20.01）3 条，另有 2 条不属上述形态 ✔。`TCM_TYPE` 可作单向筛选：取值为 2 时从不是 ICD-10 编码，但取值为 1 时仍混有中医编码 ○，因此按编码形态正则筛选比按标志位筛选可靠。把该列当作单一词表映射，会有约四分之一的行落空。</w:t>
      </w:r>
    </w:p>
    <w:p>
      <w:pPr>
        <w:pStyle w:val="Heading3"/>
      </w:pPr>
      <w:r>
        <w:rPr>
          <w:b w:val="0"/>
          <w:i w:val="0"/>
        </w:rPr>
        <w:t>日期为日/月/年格式，且过半取值无法自证次序</w:t>
      </w:r>
    </w:p>
    <w:p>
      <w:r>
        <w:rPr>
          <w:b w:val="0"/>
          <w:i w:val="0"/>
        </w:rPr>
        <w:t>`医嘱记录.START_DATETIME` 的 915 个取值中有 517 个（56.5%）前两段均不超过 12，因而按日/月或月/日解析都成立；`END_DATETIME` 447/810（55.2%）、`体征.RECORD_DATE` 286/537（53.3%）、`检验.TEST_DATE` 10/22（45.5%）同理 ✔。解析约定选错会静默重排时间线，而时间零点、暴露窗、前后对比全部建立在这个次序上。该抽取的正确约定是日/月/年，须在数据字典中固化。</w:t>
      </w:r>
    </w:p>
    <w:p>
      <w:pPr>
        <w:pStyle w:val="Heading3"/>
      </w:pPr>
      <w:r>
        <w:rPr>
          <w:b w:val="0"/>
          <w:i w:val="0"/>
        </w:rPr>
        <w:t>医嘱起始时间是开立时刻，不是给药时刻</w:t>
      </w:r>
    </w:p>
    <w:p>
      <w:r>
        <w:rPr>
          <w:b w:val="0"/>
          <w:i w:val="0"/>
        </w:rPr>
        <w:t>睡前医嘱（QN）与每日一次医嘱（QD）的开立小时分布一致，中位数同为 11 时，夜间时段开立者分别仅 2 例与 3 例 ○——没有一条睡前医嘱是在夜里开立的。因此 `START_DATETIME` 只能用于确定“某剂量自哪一天起生效”，不能用于计算给药后经过时间。这是全部暴露重建必须接受的前提。</w:t>
      </w:r>
    </w:p>
    <w:p>
      <w:pPr>
        <w:pStyle w:val="Heading3"/>
      </w:pPr>
      <w:r>
        <w:rPr>
          <w:b w:val="0"/>
          <w:i w:val="0"/>
        </w:rPr>
        <w:t>频次为院内自定义词表，须结构化解码</w:t>
      </w:r>
    </w:p>
    <w:p>
      <w:r>
        <w:rPr>
          <w:b w:val="0"/>
          <w:i w:val="0"/>
        </w:rPr>
        <w:t>`FREQUENCY` 有 30 个取值，ONCE 629、QD 82、ALWAYS 40、QN 33、W4D8 18、BID4 11 等 ✔。其中 ONCE 与长期医嘱标志 `LONG_D_NO`=0 完全等价（915/915），且其医嘱持续时间中位数为 0 天 ○，可确证为临时医嘱。BID/TID/QD 后缀的数字为院内执行时段编码，不改变每日次数——若按字面读作剂量，日剂量会成倍偏离。</w:t>
      </w:r>
    </w:p>
    <w:p>
      <w:pPr>
        <w:pStyle w:val="Heading2"/>
      </w:pPr>
      <w:r>
        <w:rPr>
          <w:b w:val="0"/>
          <w:i w:val="0"/>
        </w:rPr>
        <w:t>三、派生量与一致性校验</w:t>
      </w:r>
    </w:p>
    <w:p>
      <w:r>
        <w:rPr>
          <w:b w:val="0"/>
          <w:i w:val="0"/>
        </w:rPr>
        <w:t>以下三组量是本报告全部结论的计算基础。它们不是从字段清单里读出来的，而是由跨表连接与领域知识导出的；三者的脚本 `tdm-worked-example.py` 随本报告提交，可对同一工作簿复算。</w:t>
      </w:r>
    </w:p>
    <w:p>
      <w:pPr>
        <w:pStyle w:val="Heading3"/>
      </w:pPr>
      <w:r>
        <w:rPr>
          <w:b w:val="0"/>
          <w:i w:val="0"/>
        </w:rPr>
        <w:t>3.1 总量恒等式：全部后续推断的合法性前提</w:t>
      </w:r>
    </w:p>
    <w:tbl>
      <w:tblPr>
        <w:tblStyle w:val="LightGrid-Accent1"/>
        <w:tblW w:type="auto" w:w="0"/>
        <w:jc w:val="center"/>
        <w:tblLook w:firstColumn="1" w:firstRow="1" w:lastColumn="0" w:lastRow="0" w:noHBand="0" w:noVBand="1" w:val="04A0"/>
      </w:tblPr>
      <w:tblGrid>
        <w:gridCol w:w="1327"/>
        <w:gridCol w:w="1327"/>
        <w:gridCol w:w="1327"/>
        <w:gridCol w:w="1327"/>
        <w:gridCol w:w="1327"/>
        <w:gridCol w:w="1327"/>
        <w:gridCol w:w="1327"/>
      </w:tblGrid>
      <w:tr>
        <w:tc>
          <w:tcPr>
            <w:tcW w:type="dxa" w:w="1134"/>
          </w:tcPr>
          <w:p>
            <w:r/>
            <w:r>
              <w:rPr>
                <w:b/>
                <w:sz w:val="18"/>
              </w:rPr>
              <w:t>受试者</w:t>
            </w:r>
          </w:p>
        </w:tc>
        <w:tc>
          <w:tcPr>
            <w:tcW w:type="dxa" w:w="1587"/>
          </w:tcPr>
          <w:p>
            <w:r/>
            <w:r>
              <w:rPr>
                <w:b/>
                <w:sz w:val="18"/>
              </w:rPr>
              <w:t>检验日期</w:t>
            </w:r>
          </w:p>
        </w:tc>
        <w:tc>
          <w:tcPr>
            <w:tcW w:type="dxa" w:w="1134"/>
          </w:tcPr>
          <w:p>
            <w:r/>
            <w:r>
              <w:rPr>
                <w:b/>
                <w:sz w:val="18"/>
              </w:rPr>
              <w:t>原型</w:t>
            </w:r>
          </w:p>
        </w:tc>
        <w:tc>
          <w:tcPr>
            <w:tcW w:type="dxa" w:w="1134"/>
          </w:tcPr>
          <w:p>
            <w:r/>
            <w:r>
              <w:rPr>
                <w:b/>
                <w:sz w:val="18"/>
              </w:rPr>
              <w:t>代谢物</w:t>
            </w:r>
          </w:p>
        </w:tc>
        <w:tc>
          <w:tcPr>
            <w:tcW w:type="dxa" w:w="1247"/>
          </w:tcPr>
          <w:p>
            <w:r/>
            <w:r>
              <w:rPr>
                <w:b/>
                <w:sz w:val="18"/>
              </w:rPr>
              <w:t>两者之和</w:t>
            </w:r>
          </w:p>
        </w:tc>
        <w:tc>
          <w:tcPr>
            <w:tcW w:type="dxa" w:w="1247"/>
          </w:tcPr>
          <w:p>
            <w:r/>
            <w:r>
              <w:rPr>
                <w:b/>
                <w:sz w:val="18"/>
              </w:rPr>
              <w:t>报告总量</w:t>
            </w:r>
          </w:p>
        </w:tc>
        <w:tc>
          <w:tcPr>
            <w:tcW w:type="dxa" w:w="1247"/>
          </w:tcPr>
          <w:p>
            <w:r/>
            <w:r>
              <w:rPr>
                <w:b/>
                <w:sz w:val="18"/>
              </w:rPr>
              <w:t>判定</w:t>
            </w:r>
          </w:p>
        </w:tc>
      </w:tr>
      <w:tr>
        <w:tc>
          <w:tcPr>
            <w:tcW w:type="dxa" w:w="1134"/>
          </w:tcPr>
          <w:p>
            <w:r/>
            <w:r>
              <w:rPr>
                <w:b w:val="0"/>
                <w:sz w:val="18"/>
              </w:rPr>
              <w:t>S1</w:t>
            </w:r>
          </w:p>
        </w:tc>
        <w:tc>
          <w:tcPr>
            <w:tcW w:type="dxa" w:w="1587"/>
          </w:tcPr>
          <w:p>
            <w:r/>
            <w:r>
              <w:rPr>
                <w:b w:val="0"/>
                <w:sz w:val="18"/>
              </w:rPr>
              <w:t>2021-03-01</w:t>
            </w:r>
          </w:p>
        </w:tc>
        <w:tc>
          <w:tcPr>
            <w:tcW w:type="dxa" w:w="1134"/>
          </w:tcPr>
          <w:p>
            <w:r/>
            <w:r>
              <w:rPr>
                <w:b w:val="0"/>
                <w:sz w:val="18"/>
              </w:rPr>
              <w:t>79.9</w:t>
            </w:r>
          </w:p>
        </w:tc>
        <w:tc>
          <w:tcPr>
            <w:tcW w:type="dxa" w:w="1134"/>
          </w:tcPr>
          <w:p>
            <w:r/>
            <w:r>
              <w:rPr>
                <w:b w:val="0"/>
                <w:sz w:val="18"/>
              </w:rPr>
              <w:t>27.4</w:t>
            </w:r>
          </w:p>
        </w:tc>
        <w:tc>
          <w:tcPr>
            <w:tcW w:type="dxa" w:w="1247"/>
          </w:tcPr>
          <w:p>
            <w:r/>
            <w:r>
              <w:rPr>
                <w:b w:val="0"/>
                <w:sz w:val="18"/>
              </w:rPr>
              <w:t>107.3</w:t>
            </w:r>
          </w:p>
        </w:tc>
        <w:tc>
          <w:tcPr>
            <w:tcW w:type="dxa" w:w="1247"/>
          </w:tcPr>
          <w:p>
            <w:r/>
            <w:r>
              <w:rPr>
                <w:b w:val="0"/>
                <w:sz w:val="18"/>
              </w:rPr>
              <w:t>107</w:t>
            </w:r>
          </w:p>
        </w:tc>
        <w:tc>
          <w:tcPr>
            <w:tcW w:type="dxa" w:w="1247"/>
          </w:tcPr>
          <w:p>
            <w:r/>
            <w:r>
              <w:rPr>
                <w:b w:val="0"/>
                <w:sz w:val="18"/>
              </w:rPr>
              <w:t>通过</w:t>
            </w:r>
          </w:p>
        </w:tc>
      </w:tr>
      <w:tr>
        <w:tc>
          <w:tcPr>
            <w:tcW w:type="dxa" w:w="1134"/>
          </w:tcPr>
          <w:p>
            <w:r/>
            <w:r>
              <w:rPr>
                <w:b w:val="0"/>
                <w:sz w:val="18"/>
              </w:rPr>
              <w:t>S2</w:t>
            </w:r>
          </w:p>
        </w:tc>
        <w:tc>
          <w:tcPr>
            <w:tcW w:type="dxa" w:w="1587"/>
          </w:tcPr>
          <w:p>
            <w:r/>
            <w:r>
              <w:rPr>
                <w:b w:val="0"/>
                <w:sz w:val="18"/>
              </w:rPr>
              <w:t>2020-12-30</w:t>
            </w:r>
          </w:p>
        </w:tc>
        <w:tc>
          <w:tcPr>
            <w:tcW w:type="dxa" w:w="1134"/>
          </w:tcPr>
          <w:p>
            <w:r/>
            <w:r>
              <w:rPr>
                <w:b w:val="0"/>
                <w:sz w:val="18"/>
              </w:rPr>
              <w:t>63.0</w:t>
            </w:r>
          </w:p>
        </w:tc>
        <w:tc>
          <w:tcPr>
            <w:tcW w:type="dxa" w:w="1134"/>
          </w:tcPr>
          <w:p>
            <w:r/>
            <w:r>
              <w:rPr>
                <w:b w:val="0"/>
                <w:sz w:val="18"/>
              </w:rPr>
              <w:t>31.0</w:t>
            </w:r>
          </w:p>
        </w:tc>
        <w:tc>
          <w:tcPr>
            <w:tcW w:type="dxa" w:w="1247"/>
          </w:tcPr>
          <w:p>
            <w:r/>
            <w:r>
              <w:rPr>
                <w:b w:val="0"/>
                <w:sz w:val="18"/>
              </w:rPr>
              <w:t>94.0</w:t>
            </w:r>
          </w:p>
        </w:tc>
        <w:tc>
          <w:tcPr>
            <w:tcW w:type="dxa" w:w="1247"/>
          </w:tcPr>
          <w:p>
            <w:r/>
            <w:r>
              <w:rPr>
                <w:b w:val="0"/>
                <w:sz w:val="18"/>
              </w:rPr>
              <w:t>94</w:t>
            </w:r>
          </w:p>
        </w:tc>
        <w:tc>
          <w:tcPr>
            <w:tcW w:type="dxa" w:w="1247"/>
          </w:tcPr>
          <w:p>
            <w:r/>
            <w:r>
              <w:rPr>
                <w:b w:val="0"/>
                <w:sz w:val="18"/>
              </w:rPr>
              <w:t>通过</w:t>
            </w:r>
          </w:p>
        </w:tc>
      </w:tr>
      <w:tr>
        <w:tc>
          <w:tcPr>
            <w:tcW w:type="dxa" w:w="1134"/>
          </w:tcPr>
          <w:p>
            <w:r/>
            <w:r>
              <w:rPr>
                <w:b w:val="0"/>
                <w:sz w:val="18"/>
              </w:rPr>
              <w:t>S3</w:t>
            </w:r>
          </w:p>
        </w:tc>
        <w:tc>
          <w:tcPr>
            <w:tcW w:type="dxa" w:w="1587"/>
          </w:tcPr>
          <w:p>
            <w:r/>
            <w:r>
              <w:rPr>
                <w:b w:val="0"/>
                <w:sz w:val="18"/>
              </w:rPr>
              <w:t>2021-01-04</w:t>
            </w:r>
          </w:p>
        </w:tc>
        <w:tc>
          <w:tcPr>
            <w:tcW w:type="dxa" w:w="1134"/>
          </w:tcPr>
          <w:p>
            <w:r/>
            <w:r>
              <w:rPr>
                <w:b w:val="0"/>
                <w:sz w:val="18"/>
              </w:rPr>
              <w:t>354.0</w:t>
            </w:r>
          </w:p>
        </w:tc>
        <w:tc>
          <w:tcPr>
            <w:tcW w:type="dxa" w:w="1134"/>
          </w:tcPr>
          <w:p>
            <w:r/>
            <w:r>
              <w:rPr>
                <w:b w:val="0"/>
                <w:sz w:val="18"/>
              </w:rPr>
              <w:t>79.0</w:t>
            </w:r>
          </w:p>
        </w:tc>
        <w:tc>
          <w:tcPr>
            <w:tcW w:type="dxa" w:w="1247"/>
          </w:tcPr>
          <w:p>
            <w:r/>
            <w:r>
              <w:rPr>
                <w:b w:val="0"/>
                <w:sz w:val="18"/>
              </w:rPr>
              <w:t>433.0</w:t>
            </w:r>
          </w:p>
        </w:tc>
        <w:tc>
          <w:tcPr>
            <w:tcW w:type="dxa" w:w="1247"/>
          </w:tcPr>
          <w:p>
            <w:r/>
            <w:r>
              <w:rPr>
                <w:b w:val="0"/>
                <w:sz w:val="18"/>
              </w:rPr>
              <w:t>433</w:t>
            </w:r>
          </w:p>
        </w:tc>
        <w:tc>
          <w:tcPr>
            <w:tcW w:type="dxa" w:w="1247"/>
          </w:tcPr>
          <w:p>
            <w:r/>
            <w:r>
              <w:rPr>
                <w:b w:val="0"/>
                <w:sz w:val="18"/>
              </w:rPr>
              <w:t>通过</w:t>
            </w:r>
          </w:p>
        </w:tc>
      </w:tr>
      <w:tr>
        <w:tc>
          <w:tcPr>
            <w:tcW w:type="dxa" w:w="1134"/>
          </w:tcPr>
          <w:p>
            <w:r/>
            <w:r>
              <w:rPr>
                <w:b w:val="0"/>
                <w:sz w:val="18"/>
              </w:rPr>
              <w:t>S4</w:t>
            </w:r>
          </w:p>
        </w:tc>
        <w:tc>
          <w:tcPr>
            <w:tcW w:type="dxa" w:w="1587"/>
          </w:tcPr>
          <w:p>
            <w:r/>
            <w:r>
              <w:rPr>
                <w:b w:val="0"/>
                <w:sz w:val="18"/>
              </w:rPr>
              <w:t>2020-12-21</w:t>
            </w:r>
          </w:p>
        </w:tc>
        <w:tc>
          <w:tcPr>
            <w:tcW w:type="dxa" w:w="1134"/>
          </w:tcPr>
          <w:p>
            <w:r/>
            <w:r>
              <w:rPr>
                <w:b w:val="0"/>
                <w:sz w:val="18"/>
              </w:rPr>
              <w:t>317.0</w:t>
            </w:r>
          </w:p>
        </w:tc>
        <w:tc>
          <w:tcPr>
            <w:tcW w:type="dxa" w:w="1134"/>
          </w:tcPr>
          <w:p>
            <w:r/>
            <w:r>
              <w:rPr>
                <w:b w:val="0"/>
                <w:sz w:val="18"/>
              </w:rPr>
              <w:t>55.0</w:t>
            </w:r>
          </w:p>
        </w:tc>
        <w:tc>
          <w:tcPr>
            <w:tcW w:type="dxa" w:w="1247"/>
          </w:tcPr>
          <w:p>
            <w:r/>
            <w:r>
              <w:rPr>
                <w:b w:val="0"/>
                <w:sz w:val="18"/>
              </w:rPr>
              <w:t>372.0</w:t>
            </w:r>
          </w:p>
        </w:tc>
        <w:tc>
          <w:tcPr>
            <w:tcW w:type="dxa" w:w="1247"/>
          </w:tcPr>
          <w:p>
            <w:r/>
            <w:r>
              <w:rPr>
                <w:b w:val="0"/>
                <w:sz w:val="18"/>
              </w:rPr>
              <w:t>372</w:t>
            </w:r>
          </w:p>
        </w:tc>
        <w:tc>
          <w:tcPr>
            <w:tcW w:type="dxa" w:w="1247"/>
          </w:tcPr>
          <w:p>
            <w:r/>
            <w:r>
              <w:rPr>
                <w:b w:val="0"/>
                <w:sz w:val="18"/>
              </w:rPr>
              <w:t>通过</w:t>
            </w:r>
          </w:p>
        </w:tc>
      </w:tr>
      <w:tr>
        <w:tc>
          <w:tcPr>
            <w:tcW w:type="dxa" w:w="1134"/>
          </w:tcPr>
          <w:p>
            <w:r/>
            <w:r>
              <w:rPr>
                <w:b w:val="0"/>
                <w:sz w:val="18"/>
              </w:rPr>
              <w:t>S4</w:t>
            </w:r>
          </w:p>
        </w:tc>
        <w:tc>
          <w:tcPr>
            <w:tcW w:type="dxa" w:w="1587"/>
          </w:tcPr>
          <w:p>
            <w:r/>
            <w:r>
              <w:rPr>
                <w:b w:val="0"/>
                <w:sz w:val="18"/>
              </w:rPr>
              <w:t>2021-01-04</w:t>
            </w:r>
          </w:p>
        </w:tc>
        <w:tc>
          <w:tcPr>
            <w:tcW w:type="dxa" w:w="1134"/>
          </w:tcPr>
          <w:p>
            <w:r/>
            <w:r>
              <w:rPr>
                <w:b w:val="0"/>
                <w:sz w:val="18"/>
              </w:rPr>
              <w:t>400.0</w:t>
            </w:r>
          </w:p>
        </w:tc>
        <w:tc>
          <w:tcPr>
            <w:tcW w:type="dxa" w:w="1134"/>
          </w:tcPr>
          <w:p>
            <w:r/>
            <w:r>
              <w:rPr>
                <w:b w:val="0"/>
                <w:sz w:val="18"/>
              </w:rPr>
              <w:t>103.0</w:t>
            </w:r>
          </w:p>
        </w:tc>
        <w:tc>
          <w:tcPr>
            <w:tcW w:type="dxa" w:w="1247"/>
          </w:tcPr>
          <w:p>
            <w:r/>
            <w:r>
              <w:rPr>
                <w:b w:val="0"/>
                <w:sz w:val="18"/>
              </w:rPr>
              <w:t>503.0</w:t>
            </w:r>
          </w:p>
        </w:tc>
        <w:tc>
          <w:tcPr>
            <w:tcW w:type="dxa" w:w="1247"/>
          </w:tcPr>
          <w:p>
            <w:r/>
            <w:r>
              <w:rPr>
                <w:b w:val="0"/>
                <w:sz w:val="18"/>
              </w:rPr>
              <w:t>503</w:t>
            </w:r>
          </w:p>
        </w:tc>
        <w:tc>
          <w:tcPr>
            <w:tcW w:type="dxa" w:w="1247"/>
          </w:tcPr>
          <w:p>
            <w:r/>
            <w:r>
              <w:rPr>
                <w:b w:val="0"/>
                <w:sz w:val="18"/>
              </w:rPr>
              <w:t>通过</w:t>
            </w:r>
          </w:p>
        </w:tc>
      </w:tr>
      <w:tr>
        <w:tc>
          <w:tcPr>
            <w:tcW w:type="dxa" w:w="1134"/>
          </w:tcPr>
          <w:p>
            <w:r/>
            <w:r>
              <w:rPr>
                <w:b w:val="0"/>
                <w:sz w:val="18"/>
              </w:rPr>
              <w:t>S5</w:t>
            </w:r>
          </w:p>
        </w:tc>
        <w:tc>
          <w:tcPr>
            <w:tcW w:type="dxa" w:w="1587"/>
          </w:tcPr>
          <w:p>
            <w:r/>
            <w:r>
              <w:rPr>
                <w:b w:val="0"/>
                <w:sz w:val="18"/>
              </w:rPr>
              <w:t>2021-03-19</w:t>
            </w:r>
          </w:p>
        </w:tc>
        <w:tc>
          <w:tcPr>
            <w:tcW w:type="dxa" w:w="1134"/>
          </w:tcPr>
          <w:p>
            <w:r/>
            <w:r>
              <w:rPr>
                <w:b w:val="0"/>
                <w:sz w:val="18"/>
              </w:rPr>
              <w:t>100.0</w:t>
            </w:r>
          </w:p>
        </w:tc>
        <w:tc>
          <w:tcPr>
            <w:tcW w:type="dxa" w:w="1134"/>
          </w:tcPr>
          <w:p>
            <w:r/>
            <w:r>
              <w:rPr>
                <w:b w:val="0"/>
                <w:sz w:val="18"/>
              </w:rPr>
              <w:t>26.6</w:t>
            </w:r>
          </w:p>
        </w:tc>
        <w:tc>
          <w:tcPr>
            <w:tcW w:type="dxa" w:w="1247"/>
          </w:tcPr>
          <w:p>
            <w:r/>
            <w:r>
              <w:rPr>
                <w:b w:val="0"/>
                <w:sz w:val="18"/>
              </w:rPr>
              <w:t>126.6</w:t>
            </w:r>
          </w:p>
        </w:tc>
        <w:tc>
          <w:tcPr>
            <w:tcW w:type="dxa" w:w="1247"/>
          </w:tcPr>
          <w:p>
            <w:r/>
            <w:r>
              <w:rPr>
                <w:b w:val="0"/>
                <w:sz w:val="18"/>
              </w:rPr>
              <w:t>127</w:t>
            </w:r>
          </w:p>
        </w:tc>
        <w:tc>
          <w:tcPr>
            <w:tcW w:type="dxa" w:w="1247"/>
          </w:tcPr>
          <w:p>
            <w:r/>
            <w:r>
              <w:rPr>
                <w:b w:val="0"/>
                <w:sz w:val="18"/>
              </w:rPr>
              <w:t>通过</w:t>
            </w:r>
          </w:p>
        </w:tc>
      </w:tr>
    </w:tbl>
    <w:p/>
    <w:p>
      <w:r>
        <w:rPr>
          <w:b w:val="0"/>
          <w:i w:val="0"/>
        </w:rPr>
        <w:t>六组全部成立，最大偏差 0.4 ng/mL，属报告位数舍入 ✔。这一校验的意义不在于“数据没错”，而在于它</w:t>
      </w:r>
      <w:r>
        <w:rPr>
          <w:b/>
          <w:i w:val="0"/>
        </w:rPr>
        <w:t>授权</w:t>
      </w:r>
      <w:r>
        <w:rPr>
          <w:b w:val="0"/>
          <w:i w:val="0"/>
        </w:rPr>
        <w:t>了后续每一步：三个数中任意两个可推出第三个，代谢比与 C/D 因此建立在内部自洽的测量之上，而不是建立在对实验室的信任之上。任何一家医院复用本方案，都应先跑这一步。</w:t>
      </w:r>
    </w:p>
    <w:p>
      <w:pPr>
        <w:pStyle w:val="Heading3"/>
      </w:pPr>
      <w:r>
        <w:rPr>
          <w:b w:val="0"/>
          <w:i w:val="0"/>
        </w:rPr>
        <w:t>3.2 代谢比：数据中已有的 CYP2D6 表型代理</w:t>
      </w:r>
    </w:p>
    <w:tbl>
      <w:tblPr>
        <w:tblStyle w:val="LightGrid-Accent1"/>
        <w:tblW w:type="auto" w:w="0"/>
        <w:jc w:val="center"/>
        <w:tblLook w:firstColumn="1" w:firstRow="1" w:lastColumn="0" w:lastRow="0" w:noHBand="0" w:noVBand="1" w:val="04A0"/>
      </w:tblPr>
      <w:tblGrid>
        <w:gridCol w:w="1549"/>
        <w:gridCol w:w="1549"/>
        <w:gridCol w:w="1549"/>
        <w:gridCol w:w="1549"/>
        <w:gridCol w:w="1549"/>
        <w:gridCol w:w="1549"/>
      </w:tblGrid>
      <w:tr>
        <w:tc>
          <w:tcPr>
            <w:tcW w:type="dxa" w:w="1134"/>
          </w:tcPr>
          <w:p>
            <w:r/>
            <w:r>
              <w:rPr>
                <w:b/>
                <w:sz w:val="18"/>
              </w:rPr>
              <w:t>受试者</w:t>
            </w:r>
          </w:p>
        </w:tc>
        <w:tc>
          <w:tcPr>
            <w:tcW w:type="dxa" w:w="1587"/>
          </w:tcPr>
          <w:p>
            <w:r/>
            <w:r>
              <w:rPr>
                <w:b/>
                <w:sz w:val="18"/>
              </w:rPr>
              <w:t>检验日期</w:t>
            </w:r>
          </w:p>
        </w:tc>
        <w:tc>
          <w:tcPr>
            <w:tcW w:type="dxa" w:w="1474"/>
          </w:tcPr>
          <w:p>
            <w:r/>
            <w:r>
              <w:rPr>
                <w:b/>
                <w:sz w:val="18"/>
              </w:rPr>
              <w:t>原型 (ng/mL)</w:t>
            </w:r>
          </w:p>
        </w:tc>
        <w:tc>
          <w:tcPr>
            <w:tcW w:type="dxa" w:w="1587"/>
          </w:tcPr>
          <w:p>
            <w:r/>
            <w:r>
              <w:rPr>
                <w:b/>
                <w:sz w:val="18"/>
              </w:rPr>
              <w:t>代谢物 (ng/mL)</w:t>
            </w:r>
          </w:p>
        </w:tc>
        <w:tc>
          <w:tcPr>
            <w:tcW w:type="dxa" w:w="1134"/>
          </w:tcPr>
          <w:p>
            <w:r/>
            <w:r>
              <w:rPr>
                <w:b/>
                <w:sz w:val="18"/>
              </w:rPr>
              <w:t>代谢比</w:t>
            </w:r>
          </w:p>
        </w:tc>
        <w:tc>
          <w:tcPr>
            <w:tcW w:type="dxa" w:w="1814"/>
          </w:tcPr>
          <w:p>
            <w:r/>
            <w:r>
              <w:rPr>
                <w:b/>
                <w:sz w:val="18"/>
              </w:rPr>
              <w:t>范围内外（原型）</w:t>
            </w:r>
          </w:p>
        </w:tc>
      </w:tr>
      <w:tr>
        <w:tc>
          <w:tcPr>
            <w:tcW w:type="dxa" w:w="1134"/>
          </w:tcPr>
          <w:p>
            <w:r/>
            <w:r>
              <w:rPr>
                <w:b w:val="0"/>
                <w:sz w:val="18"/>
              </w:rPr>
              <w:t>S4</w:t>
            </w:r>
          </w:p>
        </w:tc>
        <w:tc>
          <w:tcPr>
            <w:tcW w:type="dxa" w:w="1587"/>
          </w:tcPr>
          <w:p>
            <w:r/>
            <w:r>
              <w:rPr>
                <w:b w:val="0"/>
                <w:sz w:val="18"/>
              </w:rPr>
              <w:t>2020-12-21</w:t>
            </w:r>
          </w:p>
        </w:tc>
        <w:tc>
          <w:tcPr>
            <w:tcW w:type="dxa" w:w="1474"/>
          </w:tcPr>
          <w:p>
            <w:r/>
            <w:r>
              <w:rPr>
                <w:b w:val="0"/>
                <w:sz w:val="18"/>
              </w:rPr>
              <w:t>317.0</w:t>
            </w:r>
          </w:p>
        </w:tc>
        <w:tc>
          <w:tcPr>
            <w:tcW w:type="dxa" w:w="1587"/>
          </w:tcPr>
          <w:p>
            <w:r/>
            <w:r>
              <w:rPr>
                <w:b w:val="0"/>
                <w:sz w:val="18"/>
              </w:rPr>
              <w:t>55.0</w:t>
            </w:r>
          </w:p>
        </w:tc>
        <w:tc>
          <w:tcPr>
            <w:tcW w:type="dxa" w:w="1134"/>
          </w:tcPr>
          <w:p>
            <w:r/>
            <w:r>
              <w:rPr>
                <w:b w:val="0"/>
                <w:sz w:val="18"/>
              </w:rPr>
              <w:t>0.174</w:t>
            </w:r>
          </w:p>
        </w:tc>
        <w:tc>
          <w:tcPr>
            <w:tcW w:type="dxa" w:w="1814"/>
          </w:tcPr>
          <w:p>
            <w:r/>
            <w:r>
              <w:rPr>
                <w:b w:val="0"/>
                <w:sz w:val="18"/>
              </w:rPr>
              <w:t>范围内</w:t>
            </w:r>
          </w:p>
        </w:tc>
      </w:tr>
      <w:tr>
        <w:tc>
          <w:tcPr>
            <w:tcW w:type="dxa" w:w="1134"/>
          </w:tcPr>
          <w:p>
            <w:r/>
            <w:r>
              <w:rPr>
                <w:b w:val="0"/>
                <w:sz w:val="18"/>
              </w:rPr>
              <w:t>S3</w:t>
            </w:r>
          </w:p>
        </w:tc>
        <w:tc>
          <w:tcPr>
            <w:tcW w:type="dxa" w:w="1587"/>
          </w:tcPr>
          <w:p>
            <w:r/>
            <w:r>
              <w:rPr>
                <w:b w:val="0"/>
                <w:sz w:val="18"/>
              </w:rPr>
              <w:t>2021-01-04</w:t>
            </w:r>
          </w:p>
        </w:tc>
        <w:tc>
          <w:tcPr>
            <w:tcW w:type="dxa" w:w="1474"/>
          </w:tcPr>
          <w:p>
            <w:r/>
            <w:r>
              <w:rPr>
                <w:b w:val="0"/>
                <w:sz w:val="18"/>
              </w:rPr>
              <w:t>354.0</w:t>
            </w:r>
          </w:p>
        </w:tc>
        <w:tc>
          <w:tcPr>
            <w:tcW w:type="dxa" w:w="1587"/>
          </w:tcPr>
          <w:p>
            <w:r/>
            <w:r>
              <w:rPr>
                <w:b w:val="0"/>
                <w:sz w:val="18"/>
              </w:rPr>
              <w:t>79.0</w:t>
            </w:r>
          </w:p>
        </w:tc>
        <w:tc>
          <w:tcPr>
            <w:tcW w:type="dxa" w:w="1134"/>
          </w:tcPr>
          <w:p>
            <w:r/>
            <w:r>
              <w:rPr>
                <w:b w:val="0"/>
                <w:sz w:val="18"/>
              </w:rPr>
              <w:t>0.223</w:t>
            </w:r>
          </w:p>
        </w:tc>
        <w:tc>
          <w:tcPr>
            <w:tcW w:type="dxa" w:w="1814"/>
          </w:tcPr>
          <w:p>
            <w:r/>
            <w:r>
              <w:rPr>
                <w:b w:val="0"/>
                <w:sz w:val="18"/>
              </w:rPr>
              <w:t>高于上限</w:t>
            </w:r>
          </w:p>
        </w:tc>
      </w:tr>
      <w:tr>
        <w:tc>
          <w:tcPr>
            <w:tcW w:type="dxa" w:w="1134"/>
          </w:tcPr>
          <w:p>
            <w:r/>
            <w:r>
              <w:rPr>
                <w:b w:val="0"/>
                <w:sz w:val="18"/>
              </w:rPr>
              <w:t>S4</w:t>
            </w:r>
          </w:p>
        </w:tc>
        <w:tc>
          <w:tcPr>
            <w:tcW w:type="dxa" w:w="1587"/>
          </w:tcPr>
          <w:p>
            <w:r/>
            <w:r>
              <w:rPr>
                <w:b w:val="0"/>
                <w:sz w:val="18"/>
              </w:rPr>
              <w:t>2021-01-04</w:t>
            </w:r>
          </w:p>
        </w:tc>
        <w:tc>
          <w:tcPr>
            <w:tcW w:type="dxa" w:w="1474"/>
          </w:tcPr>
          <w:p>
            <w:r/>
            <w:r>
              <w:rPr>
                <w:b w:val="0"/>
                <w:sz w:val="18"/>
              </w:rPr>
              <w:t>400.0</w:t>
            </w:r>
          </w:p>
        </w:tc>
        <w:tc>
          <w:tcPr>
            <w:tcW w:type="dxa" w:w="1587"/>
          </w:tcPr>
          <w:p>
            <w:r/>
            <w:r>
              <w:rPr>
                <w:b w:val="0"/>
                <w:sz w:val="18"/>
              </w:rPr>
              <w:t>103.0</w:t>
            </w:r>
          </w:p>
        </w:tc>
        <w:tc>
          <w:tcPr>
            <w:tcW w:type="dxa" w:w="1134"/>
          </w:tcPr>
          <w:p>
            <w:r/>
            <w:r>
              <w:rPr>
                <w:b w:val="0"/>
                <w:sz w:val="18"/>
              </w:rPr>
              <w:t>0.258</w:t>
            </w:r>
          </w:p>
        </w:tc>
        <w:tc>
          <w:tcPr>
            <w:tcW w:type="dxa" w:w="1814"/>
          </w:tcPr>
          <w:p>
            <w:r/>
            <w:r>
              <w:rPr>
                <w:b w:val="0"/>
                <w:sz w:val="18"/>
              </w:rPr>
              <w:t>高于上限</w:t>
            </w:r>
          </w:p>
        </w:tc>
      </w:tr>
      <w:tr>
        <w:tc>
          <w:tcPr>
            <w:tcW w:type="dxa" w:w="1134"/>
          </w:tcPr>
          <w:p>
            <w:r/>
            <w:r>
              <w:rPr>
                <w:b w:val="0"/>
                <w:sz w:val="18"/>
              </w:rPr>
              <w:t>S5</w:t>
            </w:r>
          </w:p>
        </w:tc>
        <w:tc>
          <w:tcPr>
            <w:tcW w:type="dxa" w:w="1587"/>
          </w:tcPr>
          <w:p>
            <w:r/>
            <w:r>
              <w:rPr>
                <w:b w:val="0"/>
                <w:sz w:val="18"/>
              </w:rPr>
              <w:t>2021-03-19</w:t>
            </w:r>
          </w:p>
        </w:tc>
        <w:tc>
          <w:tcPr>
            <w:tcW w:type="dxa" w:w="1474"/>
          </w:tcPr>
          <w:p>
            <w:r/>
            <w:r>
              <w:rPr>
                <w:b w:val="0"/>
                <w:sz w:val="18"/>
              </w:rPr>
              <w:t>100.0</w:t>
            </w:r>
          </w:p>
        </w:tc>
        <w:tc>
          <w:tcPr>
            <w:tcW w:type="dxa" w:w="1587"/>
          </w:tcPr>
          <w:p>
            <w:r/>
            <w:r>
              <w:rPr>
                <w:b w:val="0"/>
                <w:sz w:val="18"/>
              </w:rPr>
              <w:t>26.6</w:t>
            </w:r>
          </w:p>
        </w:tc>
        <w:tc>
          <w:tcPr>
            <w:tcW w:type="dxa" w:w="1134"/>
          </w:tcPr>
          <w:p>
            <w:r/>
            <w:r>
              <w:rPr>
                <w:b w:val="0"/>
                <w:sz w:val="18"/>
              </w:rPr>
              <w:t>0.266</w:t>
            </w:r>
          </w:p>
        </w:tc>
        <w:tc>
          <w:tcPr>
            <w:tcW w:type="dxa" w:w="1814"/>
          </w:tcPr>
          <w:p>
            <w:r/>
            <w:r>
              <w:rPr>
                <w:b w:val="0"/>
                <w:sz w:val="18"/>
              </w:rPr>
              <w:t>范围内（贴下限）</w:t>
            </w:r>
          </w:p>
        </w:tc>
      </w:tr>
      <w:tr>
        <w:tc>
          <w:tcPr>
            <w:tcW w:type="dxa" w:w="1134"/>
          </w:tcPr>
          <w:p>
            <w:r/>
            <w:r>
              <w:rPr>
                <w:b w:val="0"/>
                <w:sz w:val="18"/>
              </w:rPr>
              <w:t>S1</w:t>
            </w:r>
          </w:p>
        </w:tc>
        <w:tc>
          <w:tcPr>
            <w:tcW w:type="dxa" w:w="1587"/>
          </w:tcPr>
          <w:p>
            <w:r/>
            <w:r>
              <w:rPr>
                <w:b w:val="0"/>
                <w:sz w:val="18"/>
              </w:rPr>
              <w:t>2021-03-01</w:t>
            </w:r>
          </w:p>
        </w:tc>
        <w:tc>
          <w:tcPr>
            <w:tcW w:type="dxa" w:w="1474"/>
          </w:tcPr>
          <w:p>
            <w:r/>
            <w:r>
              <w:rPr>
                <w:b w:val="0"/>
                <w:sz w:val="18"/>
              </w:rPr>
              <w:t>79.9</w:t>
            </w:r>
          </w:p>
        </w:tc>
        <w:tc>
          <w:tcPr>
            <w:tcW w:type="dxa" w:w="1587"/>
          </w:tcPr>
          <w:p>
            <w:r/>
            <w:r>
              <w:rPr>
                <w:b w:val="0"/>
                <w:sz w:val="18"/>
              </w:rPr>
              <w:t>27.4</w:t>
            </w:r>
          </w:p>
        </w:tc>
        <w:tc>
          <w:tcPr>
            <w:tcW w:type="dxa" w:w="1134"/>
          </w:tcPr>
          <w:p>
            <w:r/>
            <w:r>
              <w:rPr>
                <w:b w:val="0"/>
                <w:sz w:val="18"/>
              </w:rPr>
              <w:t>0.343</w:t>
            </w:r>
          </w:p>
        </w:tc>
        <w:tc>
          <w:tcPr>
            <w:tcW w:type="dxa" w:w="1814"/>
          </w:tcPr>
          <w:p>
            <w:r/>
            <w:r>
              <w:rPr>
                <w:b w:val="0"/>
                <w:sz w:val="18"/>
              </w:rPr>
              <w:t>低于下限</w:t>
            </w:r>
          </w:p>
        </w:tc>
      </w:tr>
      <w:tr>
        <w:tc>
          <w:tcPr>
            <w:tcW w:type="dxa" w:w="1134"/>
          </w:tcPr>
          <w:p>
            <w:r/>
            <w:r>
              <w:rPr>
                <w:b w:val="0"/>
                <w:sz w:val="18"/>
              </w:rPr>
              <w:t>S2</w:t>
            </w:r>
          </w:p>
        </w:tc>
        <w:tc>
          <w:tcPr>
            <w:tcW w:type="dxa" w:w="1587"/>
          </w:tcPr>
          <w:p>
            <w:r/>
            <w:r>
              <w:rPr>
                <w:b w:val="0"/>
                <w:sz w:val="18"/>
              </w:rPr>
              <w:t>2020-12-30</w:t>
            </w:r>
          </w:p>
        </w:tc>
        <w:tc>
          <w:tcPr>
            <w:tcW w:type="dxa" w:w="1474"/>
          </w:tcPr>
          <w:p>
            <w:r/>
            <w:r>
              <w:rPr>
                <w:b w:val="0"/>
                <w:sz w:val="18"/>
              </w:rPr>
              <w:t>63.0</w:t>
            </w:r>
          </w:p>
        </w:tc>
        <w:tc>
          <w:tcPr>
            <w:tcW w:type="dxa" w:w="1587"/>
          </w:tcPr>
          <w:p>
            <w:r/>
            <w:r>
              <w:rPr>
                <w:b w:val="0"/>
                <w:sz w:val="18"/>
              </w:rPr>
              <w:t>31.0</w:t>
            </w:r>
          </w:p>
        </w:tc>
        <w:tc>
          <w:tcPr>
            <w:tcW w:type="dxa" w:w="1134"/>
          </w:tcPr>
          <w:p>
            <w:r/>
            <w:r>
              <w:rPr>
                <w:b w:val="0"/>
                <w:sz w:val="18"/>
              </w:rPr>
              <w:t>0.492</w:t>
            </w:r>
          </w:p>
        </w:tc>
        <w:tc>
          <w:tcPr>
            <w:tcW w:type="dxa" w:w="1814"/>
          </w:tcPr>
          <w:p>
            <w:r/>
            <w:r>
              <w:rPr>
                <w:b w:val="0"/>
                <w:sz w:val="18"/>
              </w:rPr>
              <w:t>低于下限</w:t>
            </w:r>
          </w:p>
        </w:tc>
      </w:tr>
    </w:tbl>
    <w:p/>
    <w:p>
      <w:r>
        <w:rPr>
          <w:b w:val="0"/>
          <w:i w:val="0"/>
        </w:rPr>
        <w:t>代谢比自 0.174 至 0.492，跨度 2.83 倍 ✔。以脱氢阿立哌唑与阿立哌唑浓度之比的对数估计 CYP2D6 代谢能力，是治疗药物监测领域的既有做法 ✔；慢代谢与中间代谢者的暴露约为正常代谢者的 1.5 倍 ✔（NCBI Medical Genetics Summaries: Aripiprazole Therapy and CYP2D6 Genotype）。因此本数据在没有基因型字段的前提下，仍持有一个可分层的表型变量——此前的分析之所以判定“无基因型故无法建模”，是因为从未计算这个已在手中的比值。</w:t>
      </w:r>
    </w:p>
    <w:p>
      <w:pPr>
        <w:pStyle w:val="Heading3"/>
      </w:pPr>
      <w:r>
        <w:rPr>
          <w:b w:val="0"/>
          <w:i w:val="0"/>
        </w:rPr>
        <w:t>3.3 剂量归一化浓度：由医嘱重建的暴露</w:t>
      </w:r>
    </w:p>
    <w:tbl>
      <w:tblPr>
        <w:tblStyle w:val="LightGrid-Accent1"/>
        <w:tblW w:type="auto" w:w="0"/>
        <w:jc w:val="center"/>
        <w:tblLook w:firstColumn="1" w:firstRow="1" w:lastColumn="0" w:lastRow="0" w:noHBand="0" w:noVBand="1" w:val="04A0"/>
      </w:tblPr>
      <w:tblGrid>
        <w:gridCol w:w="1858"/>
        <w:gridCol w:w="1858"/>
        <w:gridCol w:w="1858"/>
        <w:gridCol w:w="1858"/>
        <w:gridCol w:w="1858"/>
      </w:tblGrid>
      <w:tr>
        <w:tc>
          <w:tcPr>
            <w:tcW w:type="dxa" w:w="1134"/>
          </w:tcPr>
          <w:p>
            <w:r/>
            <w:r>
              <w:rPr>
                <w:b/>
                <w:sz w:val="18"/>
              </w:rPr>
              <w:t>受试者</w:t>
            </w:r>
          </w:p>
        </w:tc>
        <w:tc>
          <w:tcPr>
            <w:tcW w:type="dxa" w:w="1587"/>
          </w:tcPr>
          <w:p>
            <w:r/>
            <w:r>
              <w:rPr>
                <w:b/>
                <w:sz w:val="18"/>
              </w:rPr>
              <w:t>检验日期</w:t>
            </w:r>
          </w:p>
        </w:tc>
        <w:tc>
          <w:tcPr>
            <w:tcW w:type="dxa" w:w="2835"/>
          </w:tcPr>
          <w:p>
            <w:r/>
            <w:r>
              <w:rPr>
                <w:b/>
                <w:sz w:val="18"/>
              </w:rPr>
              <w:t>采样日在用日剂量</w:t>
            </w:r>
          </w:p>
        </w:tc>
        <w:tc>
          <w:tcPr>
            <w:tcW w:type="dxa" w:w="1361"/>
          </w:tcPr>
          <w:p>
            <w:r/>
            <w:r>
              <w:rPr>
                <w:b/>
                <w:sz w:val="18"/>
              </w:rPr>
              <w:t>原型浓度</w:t>
            </w:r>
          </w:p>
        </w:tc>
        <w:tc>
          <w:tcPr>
            <w:tcW w:type="dxa" w:w="1814"/>
          </w:tcPr>
          <w:p>
            <w:r/>
            <w:r>
              <w:rPr>
                <w:b/>
                <w:sz w:val="18"/>
              </w:rPr>
              <w:t>C/D (ng/mL per mg/d)</w:t>
            </w:r>
          </w:p>
        </w:tc>
      </w:tr>
      <w:tr>
        <w:tc>
          <w:tcPr>
            <w:tcW w:type="dxa" w:w="1134"/>
          </w:tcPr>
          <w:p>
            <w:r/>
            <w:r>
              <w:rPr>
                <w:b w:val="0"/>
                <w:sz w:val="18"/>
              </w:rPr>
              <w:t>S1</w:t>
            </w:r>
          </w:p>
        </w:tc>
        <w:tc>
          <w:tcPr>
            <w:tcW w:type="dxa" w:w="1587"/>
          </w:tcPr>
          <w:p>
            <w:r/>
            <w:r>
              <w:rPr>
                <w:b w:val="0"/>
                <w:sz w:val="18"/>
              </w:rPr>
              <w:t>2021-03-01</w:t>
            </w:r>
          </w:p>
        </w:tc>
        <w:tc>
          <w:tcPr>
            <w:tcW w:type="dxa" w:w="2835"/>
          </w:tcPr>
          <w:p>
            <w:r/>
            <w:r>
              <w:rPr>
                <w:b w:val="0"/>
                <w:sz w:val="18"/>
              </w:rPr>
              <w:t>10 mg（QN，自 02-28）</w:t>
            </w:r>
          </w:p>
        </w:tc>
        <w:tc>
          <w:tcPr>
            <w:tcW w:type="dxa" w:w="1361"/>
          </w:tcPr>
          <w:p>
            <w:r/>
            <w:r>
              <w:rPr>
                <w:b w:val="0"/>
                <w:sz w:val="18"/>
              </w:rPr>
              <w:t>79.9</w:t>
            </w:r>
          </w:p>
        </w:tc>
        <w:tc>
          <w:tcPr>
            <w:tcW w:type="dxa" w:w="1814"/>
          </w:tcPr>
          <w:p>
            <w:r/>
            <w:r>
              <w:rPr>
                <w:b w:val="0"/>
                <w:sz w:val="18"/>
              </w:rPr>
              <w:t>7.99</w:t>
            </w:r>
          </w:p>
        </w:tc>
      </w:tr>
      <w:tr>
        <w:tc>
          <w:tcPr>
            <w:tcW w:type="dxa" w:w="1134"/>
          </w:tcPr>
          <w:p>
            <w:r/>
            <w:r>
              <w:rPr>
                <w:b w:val="0"/>
                <w:sz w:val="18"/>
              </w:rPr>
              <w:t>S5</w:t>
            </w:r>
          </w:p>
        </w:tc>
        <w:tc>
          <w:tcPr>
            <w:tcW w:type="dxa" w:w="1587"/>
          </w:tcPr>
          <w:p>
            <w:r/>
            <w:r>
              <w:rPr>
                <w:b w:val="0"/>
                <w:sz w:val="18"/>
              </w:rPr>
              <w:t>2021-03-19</w:t>
            </w:r>
          </w:p>
        </w:tc>
        <w:tc>
          <w:tcPr>
            <w:tcW w:type="dxa" w:w="2835"/>
          </w:tcPr>
          <w:p>
            <w:r/>
            <w:r>
              <w:rPr>
                <w:b w:val="0"/>
                <w:sz w:val="18"/>
              </w:rPr>
              <w:t>10 mg（QD，自 03-11）</w:t>
            </w:r>
          </w:p>
        </w:tc>
        <w:tc>
          <w:tcPr>
            <w:tcW w:type="dxa" w:w="1361"/>
          </w:tcPr>
          <w:p>
            <w:r/>
            <w:r>
              <w:rPr>
                <w:b w:val="0"/>
                <w:sz w:val="18"/>
              </w:rPr>
              <w:t>100.0</w:t>
            </w:r>
          </w:p>
        </w:tc>
        <w:tc>
          <w:tcPr>
            <w:tcW w:type="dxa" w:w="1814"/>
          </w:tcPr>
          <w:p>
            <w:r/>
            <w:r>
              <w:rPr>
                <w:b w:val="0"/>
                <w:sz w:val="18"/>
              </w:rPr>
              <w:t>10.00</w:t>
            </w:r>
          </w:p>
        </w:tc>
      </w:tr>
      <w:tr>
        <w:tc>
          <w:tcPr>
            <w:tcW w:type="dxa" w:w="1134"/>
          </w:tcPr>
          <w:p>
            <w:r/>
            <w:r>
              <w:rPr>
                <w:b w:val="0"/>
                <w:sz w:val="18"/>
              </w:rPr>
              <w:t>S4</w:t>
            </w:r>
          </w:p>
        </w:tc>
        <w:tc>
          <w:tcPr>
            <w:tcW w:type="dxa" w:w="1587"/>
          </w:tcPr>
          <w:p>
            <w:r/>
            <w:r>
              <w:rPr>
                <w:b w:val="0"/>
                <w:sz w:val="18"/>
              </w:rPr>
              <w:t>2020-12-21</w:t>
            </w:r>
          </w:p>
        </w:tc>
        <w:tc>
          <w:tcPr>
            <w:tcW w:type="dxa" w:w="2835"/>
          </w:tcPr>
          <w:p>
            <w:r/>
            <w:r>
              <w:rPr>
                <w:b w:val="0"/>
                <w:sz w:val="18"/>
              </w:rPr>
              <w:t>20 mg（BID，自 12-17）</w:t>
            </w:r>
          </w:p>
        </w:tc>
        <w:tc>
          <w:tcPr>
            <w:tcW w:type="dxa" w:w="1361"/>
          </w:tcPr>
          <w:p>
            <w:r/>
            <w:r>
              <w:rPr>
                <w:b w:val="0"/>
                <w:sz w:val="18"/>
              </w:rPr>
              <w:t>317.0</w:t>
            </w:r>
          </w:p>
        </w:tc>
        <w:tc>
          <w:tcPr>
            <w:tcW w:type="dxa" w:w="1814"/>
          </w:tcPr>
          <w:p>
            <w:r/>
            <w:r>
              <w:rPr>
                <w:b w:val="0"/>
                <w:sz w:val="18"/>
              </w:rPr>
              <w:t>15.85</w:t>
            </w:r>
          </w:p>
        </w:tc>
      </w:tr>
      <w:tr>
        <w:tc>
          <w:tcPr>
            <w:tcW w:type="dxa" w:w="1134"/>
          </w:tcPr>
          <w:p>
            <w:r/>
            <w:r>
              <w:rPr>
                <w:b w:val="0"/>
                <w:sz w:val="18"/>
              </w:rPr>
              <w:t>S4</w:t>
            </w:r>
          </w:p>
        </w:tc>
        <w:tc>
          <w:tcPr>
            <w:tcW w:type="dxa" w:w="1587"/>
          </w:tcPr>
          <w:p>
            <w:r/>
            <w:r>
              <w:rPr>
                <w:b w:val="0"/>
                <w:sz w:val="18"/>
              </w:rPr>
              <w:t>2021-01-04</w:t>
            </w:r>
          </w:p>
        </w:tc>
        <w:tc>
          <w:tcPr>
            <w:tcW w:type="dxa" w:w="2835"/>
          </w:tcPr>
          <w:p>
            <w:r/>
            <w:r>
              <w:rPr>
                <w:b w:val="0"/>
                <w:sz w:val="18"/>
              </w:rPr>
              <w:t>20 mg（BID，自 12-17）</w:t>
            </w:r>
          </w:p>
        </w:tc>
        <w:tc>
          <w:tcPr>
            <w:tcW w:type="dxa" w:w="1361"/>
          </w:tcPr>
          <w:p>
            <w:r/>
            <w:r>
              <w:rPr>
                <w:b w:val="0"/>
                <w:sz w:val="18"/>
              </w:rPr>
              <w:t>400.0</w:t>
            </w:r>
          </w:p>
        </w:tc>
        <w:tc>
          <w:tcPr>
            <w:tcW w:type="dxa" w:w="1814"/>
          </w:tcPr>
          <w:p>
            <w:r/>
            <w:r>
              <w:rPr>
                <w:b w:val="0"/>
                <w:sz w:val="18"/>
              </w:rPr>
              <w:t>20.00</w:t>
            </w:r>
          </w:p>
        </w:tc>
      </w:tr>
      <w:tr>
        <w:tc>
          <w:tcPr>
            <w:tcW w:type="dxa" w:w="1134"/>
          </w:tcPr>
          <w:p>
            <w:r/>
            <w:r>
              <w:rPr>
                <w:b w:val="0"/>
                <w:sz w:val="18"/>
              </w:rPr>
              <w:t>S3</w:t>
            </w:r>
          </w:p>
        </w:tc>
        <w:tc>
          <w:tcPr>
            <w:tcW w:type="dxa" w:w="1587"/>
          </w:tcPr>
          <w:p>
            <w:r/>
            <w:r>
              <w:rPr>
                <w:b w:val="0"/>
                <w:sz w:val="18"/>
              </w:rPr>
              <w:t>2021-01-04</w:t>
            </w:r>
          </w:p>
        </w:tc>
        <w:tc>
          <w:tcPr>
            <w:tcW w:type="dxa" w:w="2835"/>
          </w:tcPr>
          <w:p>
            <w:r/>
            <w:r>
              <w:rPr>
                <w:b w:val="0"/>
                <w:sz w:val="18"/>
              </w:rPr>
              <w:t>15 mg（QN，自 12-25）</w:t>
            </w:r>
          </w:p>
        </w:tc>
        <w:tc>
          <w:tcPr>
            <w:tcW w:type="dxa" w:w="1361"/>
          </w:tcPr>
          <w:p>
            <w:r/>
            <w:r>
              <w:rPr>
                <w:b w:val="0"/>
                <w:sz w:val="18"/>
              </w:rPr>
              <w:t>354.0</w:t>
            </w:r>
          </w:p>
        </w:tc>
        <w:tc>
          <w:tcPr>
            <w:tcW w:type="dxa" w:w="1814"/>
          </w:tcPr>
          <w:p>
            <w:r/>
            <w:r>
              <w:rPr>
                <w:b w:val="0"/>
                <w:sz w:val="18"/>
              </w:rPr>
              <w:t>23.60</w:t>
            </w:r>
          </w:p>
        </w:tc>
      </w:tr>
    </w:tbl>
    <w:p/>
    <w:p>
      <w:r>
        <w:rPr>
          <w:b w:val="0"/>
          <w:i w:val="0"/>
        </w:rPr>
        <w:t>个体间跨度 7.99–23.60，即 2.95 倍 ✔。更有价值的是 S4：两次采样相隔 14 天、日剂量始终为 20 mg 未作调整，浓度由 317 升至 400 ng/mL，相对变化 +26% ✔。这一个数同时说明两件事——个体间差异（2.95 倍）显著大于个体内波动（26%），因此暴露是可被模型解释的信号；而单次测定的解释力有其上限，任何以一次结果决定剂量的做法都应附带区间。</w:t>
        <w:br/>
        <w:br/>
        <w:t>另有一例需单独说明：S2 于 2020-12-30 测得阿立哌唑 63 ng/mL，而其当日在院医嘱中并无口服阿立哌唑 ✔。该行不应作为暴露—浓度配对纳入建模，但它本身是有信息量的——既往用药残留、院外自备用药或依从性问题，三者都指向同一条数据治理要求：给药执行记录的缺位使“医嘱即暴露”的假设无法验证。</w:t>
      </w:r>
    </w:p>
    <w:p>
      <w:pPr>
        <w:pStyle w:val="Heading2"/>
      </w:pPr>
      <w:r>
        <w:rPr>
          <w:b w:val="0"/>
          <w:i w:val="0"/>
        </w:rPr>
        <w:t>四、分析思路：由一个测量点向外扩展</w:t>
      </w:r>
    </w:p>
    <w:p>
      <w:r>
        <w:rPr>
          <w:b w:val="0"/>
          <w:i w:val="0"/>
        </w:rPr>
        <w:t>本报告的组织逻辑是从一个测量点向外扩展。起点是一次阿立哌唑血药浓度测定——它本身只是一个数字；每向外一层，都由一个具体的派生量或跨表连接打开新的问题空间。</w:t>
      </w:r>
    </w:p>
    <w:p>
      <w:pPr>
        <w:pStyle w:val="ListBullet"/>
        <w:spacing w:after="40"/>
      </w:pPr>
      <w:r>
        <w:rPr>
          <w:b/>
          <w:i w:val="0"/>
        </w:rPr>
        <w:t>第一层：由原型到代谢物。</w:t>
      </w:r>
      <w:r>
        <w:rPr>
          <w:b w:val="0"/>
          <w:i w:val="0"/>
        </w:rPr>
        <w:t xml:space="preserve"> 检验表同时给出脱氢阿立哌唑，于是“浓度”从一个标量变为母药—代谢物对，代谢比随之可算。</w:t>
      </w:r>
    </w:p>
    <w:p>
      <w:pPr>
        <w:pStyle w:val="ListBullet"/>
        <w:spacing w:after="40"/>
      </w:pPr>
      <w:r>
        <w:rPr>
          <w:b/>
          <w:i w:val="0"/>
        </w:rPr>
        <w:t>第二层：由代谢比到代谢表型。</w:t>
      </w:r>
      <w:r>
        <w:rPr>
          <w:b w:val="0"/>
          <w:i w:val="0"/>
        </w:rPr>
        <w:t xml:space="preserve"> 该比值是 CYP2D6 活性的公认代理，数据由此获得一个分层变量，而这在字段清单上是看不见的。</w:t>
      </w:r>
    </w:p>
    <w:p>
      <w:pPr>
        <w:pStyle w:val="ListBullet"/>
        <w:spacing w:after="40"/>
      </w:pPr>
      <w:r>
        <w:rPr>
          <w:b/>
          <w:i w:val="0"/>
        </w:rPr>
        <w:t>第三层：由检验表到医嘱表。</w:t>
      </w:r>
      <w:r>
        <w:rPr>
          <w:b w:val="0"/>
          <w:i w:val="0"/>
        </w:rPr>
        <w:t xml:space="preserve"> 采样当日在用医嘱给出日剂量，浓度归一化为 C/D，个体间变异得以与个体内变异分离。</w:t>
      </w:r>
    </w:p>
    <w:p>
      <w:pPr>
        <w:pStyle w:val="ListBullet"/>
        <w:spacing w:after="40"/>
      </w:pPr>
      <w:r>
        <w:rPr>
          <w:b/>
          <w:i w:val="0"/>
        </w:rPr>
        <w:t>第四层：由单次到序列。</w:t>
      </w:r>
      <w:r>
        <w:rPr>
          <w:b w:val="0"/>
          <w:i w:val="0"/>
        </w:rPr>
        <w:t xml:space="preserve"> 同一受试者的重复采样、以及检验结果之后的医嘱变更，把横断面数据变成个体内时间序列，闭环质量成为可测量对象。</w:t>
      </w:r>
    </w:p>
    <w:p>
      <w:pPr>
        <w:pStyle w:val="ListBullet"/>
        <w:spacing w:after="40"/>
      </w:pPr>
      <w:r>
        <w:rPr>
          <w:b/>
          <w:i w:val="0"/>
        </w:rPr>
        <w:t>第五层：由药到人。</w:t>
      </w:r>
      <w:r>
        <w:rPr>
          <w:b w:val="0"/>
          <w:i w:val="0"/>
        </w:rPr>
        <w:t xml:space="preserve"> 体征表 537 行纵向记录使代谢结局可观测；诊断记录的带日期编码使不良反应代理终点可定位。</w:t>
      </w:r>
    </w:p>
    <w:p>
      <w:pPr>
        <w:pStyle w:val="ListBullet"/>
        <w:spacing w:after="40"/>
      </w:pPr>
      <w:r>
        <w:rPr>
          <w:b/>
          <w:i w:val="0"/>
        </w:rPr>
        <w:t>第六层：由院内到院外。</w:t>
      </w:r>
      <w:r>
        <w:rPr>
          <w:b w:val="0"/>
          <w:i w:val="0"/>
        </w:rPr>
        <w:t xml:space="preserve"> 参考范围、注册库百分位分布、自发报告数据库，为院内测量提供可对照的外部坐标。</w:t>
      </w:r>
    </w:p>
    <w:p>
      <w:r>
        <w:rPr>
          <w:b w:val="0"/>
          <w:i w:val="0"/>
        </w:rPr>
        <w:t>体征表的可用性此前被低估。537 行中体温 150、脉搏 150、呼吸 150、血压 53、体重 22、血氧 6、身高 6 ✔。体重虽仅 22 行，但分布于 5 名受试者、每人 3–7 次，且方向明确：S1 十一天增重 2.0 kg、S4 四十五天增重 2.0 kg、S3 十三天增重 1.0 kg，S2 与 S5 分别减重 4.0 与 3.0 kg ✔。抗精神病药相关体重增加正是这一测量所刻画的结局，其本身即为代谢副作用的直接指标，无需另设实验室项目。脉搏最高 120 次/分、超过 100 者 8 次；体温最高 37.5 ℃、不低于 37.3 ℃ 者 5 次 ✔——这些构成心血管与体温相关不良反应的观察通道。</w:t>
        <w:br/>
        <w:br/>
        <w:t>血压 53 行中有一行记为 126/7，舒张压 7 mmHg 在生理上不可能 ✔，属 Kahn 框架中的非时序合理性失败，须在预处理阶段剔除并回溯录入环节。</w:t>
      </w:r>
    </w:p>
    <w:p>
      <w:pPr>
        <w:pStyle w:val="Heading2"/>
      </w:pPr>
      <w:r>
        <w:rPr>
          <w:b w:val="0"/>
          <w:i w:val="0"/>
        </w:rPr>
        <w:t>五、五个研究方向</w:t>
      </w:r>
    </w:p>
    <w:p>
      <w:pPr>
        <w:pStyle w:val="Heading3"/>
      </w:pPr>
      <w:r>
        <w:rPr>
          <w:b w:val="0"/>
          <w:i w:val="0"/>
        </w:rPr>
        <w:t>方向一　采血时刻未知条件下的稳态暴露重建与个体化剂量预测</w:t>
      </w:r>
    </w:p>
    <w:p>
      <w:pPr>
        <w:pStyle w:val="Heading3"/>
      </w:pPr>
      <w:r>
        <w:rPr>
          <w:b w:val="0"/>
          <w:i w:val="0"/>
        </w:rPr>
        <w:t>文献小综述</w:t>
      </w:r>
    </w:p>
    <w:p>
      <w:r>
        <w:rPr>
          <w:b w:val="0"/>
          <w:i w:val="0"/>
        </w:rPr>
        <w:t>阿立哌唑的治疗参考范围由 AGNP 共识定为原型 100–350 ng/mL、活性部分总量 150–500 ng/mL，并将其列为推荐进行 TDM 的药物 ✔（Hiemke 2018，DOI 10.1055/s-0043-116492）。群体层面已有相当规模的参照：一项覆盖 19 926 例的注册研究给出剂量归一化浓度的群体分布，并显示阿立哌唑的 C/D 受年龄影响相对最小、个体间变异大 ○（PMID 39996570）；多药血清浓度汇编则提供了 10–90 百分位参考 ○（PMID 31025986）。</w:t>
      </w:r>
    </w:p>
    <w:p>
      <w:r>
        <w:rPr>
          <w:b w:val="0"/>
          <w:i w:val="0"/>
        </w:rPr>
        <w:t>领域内部并非没有分歧。其一，治疗窗尚未统一，AGNP 的 100–350 与暴露—靶点分析提出的 120–270 ng/mL 并存 ○；其二，暴露—反应的强证据多来自长效针剂研究，口服剂型的常规 TDM 是否改善结局仍缺随机对照证据 ○。这意味着任何以本院数据做暴露重建的工作，都应报告分布与位置，而非把某一文献均值当作金标准。</w:t>
      </w:r>
    </w:p>
    <w:p>
      <w:r>
        <w:rPr>
          <w:b w:val="0"/>
          <w:i w:val="0"/>
        </w:rPr>
        <w:t>最接近的既有工作有两类。一类是标准群体药动学建模，如整合 10 项临床试验、1 191 名成人、8 899 个样本的分析 ✔——但该类研究</w:t>
      </w:r>
      <w:r>
        <w:rPr>
          <w:b/>
          <w:i w:val="0"/>
        </w:rPr>
        <w:t>只纳入具备实际采血时刻记录的患者</w:t>
      </w:r>
      <w:r>
        <w:rPr>
          <w:b w:val="0"/>
          <w:i w:val="0"/>
        </w:rPr>
        <w:t>，被排除在外的恰是本报告面对的这类常规诊疗数据。另一类是真实世界稀疏谷浓度建模，其局限声明直言预测能力受限 ○。</w:t>
      </w:r>
    </w:p>
    <w:p>
      <w:r>
        <w:rPr>
          <w:b w:val="0"/>
          <w:i w:val="0"/>
        </w:rPr>
        <w:t>本设计的方法学借自与精神科无临床交集的两个领域。其一是重症与感染领域对采样时刻误差的量化：一项系统评估显示，即便仅 5 分钟的采样时刻不确定也会带来参数偏倚，且</w:t>
      </w:r>
      <w:r>
        <w:rPr>
          <w:b/>
          <w:i w:val="0"/>
        </w:rPr>
        <w:t>危害程度随药物半衰期缩短而放大</w:t>
      </w:r>
      <w:r>
        <w:rPr>
          <w:b w:val="0"/>
          <w:i w:val="0"/>
        </w:rPr>
        <w:t>——半衰期约 1 小时的美罗培南受损远重于 9–11 小时的卡泊芬净 ✔（Frontiers in Pharmacology 2020，PMC7063976）。这一规律恰恰构成本设计成立的理论依据：阿立哌唑半衰期约 75 小时，处于该谱系最有利的一端。相关地，白消安贝叶斯预测对记录不准确的稳健性也已被专门评估 ✔（PMC8602150）。其二是儿科感染领域的机会性采样纪律，以及万古霉素研究中以多个已发表模型做外部评价与模型平均的做法 ○。借来的核心不是某篇文献的结论，而是一条方法学原则：把不可观测的采样时刻显式编码为区间并在区间上积分，而不是假装时刻已知。</w:t>
      </w:r>
    </w:p>
    <w:p>
      <w:pPr>
        <w:pStyle w:val="Heading3"/>
      </w:pPr>
      <w:r>
        <w:rPr>
          <w:b w:val="0"/>
          <w:i w:val="0"/>
        </w:rPr>
        <w:t>设计思路</w:t>
      </w:r>
    </w:p>
    <w:p>
      <w:r>
        <w:rPr>
          <w:b w:val="0"/>
          <w:i w:val="0"/>
        </w:rPr>
        <w:t>让这一方向显形的派生量是 C/D。样本上个体间跨度 2.95 倍，而同一受试者在剂量未变时的个体内变化为 26%——信号与噪声之比约为一个数量级，说明暴露是可被解释的量。</w:t>
      </w:r>
    </w:p>
    <w:p>
      <w:r>
        <w:rPr>
          <w:b w:val="0"/>
          <w:i w:val="0"/>
        </w:rPr>
        <w:t>曾考虑过三种框法。其一，把每次检验直接当作谷浓度建模：不成立，数据中没有任何字段能证明采样处于谷值，且已观察到剂量变更次日即采血的情形。其二，仅做 C/D 的描述性分布：技术上可行，但放弃了个体化预测这一真正有临床价值的产出。其三，即本设计：以采样日期为时间锚，将日内时刻编码为 0–24 小时区间，采用区间似然拟合群体药动学模型，再以最大后验估计给出个体清除率与稳态谷浓度预测。</w:t>
      </w:r>
    </w:p>
    <w:p>
      <w:r>
        <w:rPr>
          <w:b w:val="0"/>
          <w:i w:val="0"/>
        </w:rPr>
        <w:t>选择第三种的依据是可量化的：阿立哌唑半衰期约 75 小时，在 24 小时给药间隔内浓度摆动约为 ±20%，而需要解释的个体间信号为 2.95 倍——区间化引入的不确定性比它所要解释的效应小一个数量级。这与上述半衰期依赖规律的方向完全一致。</w:t>
      </w:r>
    </w:p>
    <w:p>
      <w:r>
        <w:rPr>
          <w:b w:val="0"/>
          <w:i w:val="0"/>
        </w:rPr>
        <w:t>什么情况会改变结论：若医院全量数据的检验记录带有真实采样时刻，区间处理即退化为精确时刻建模。此时主体假设消失，但估计量族不变、精度提高——这是假设被数据改进，而非被推翻。反过来，若全量数据显示采样时刻实际高度集中于某一时段（例如晨起统一采血），则区间宽度应据实收窄，模型精度进一步提升。</w:t>
      </w:r>
    </w:p>
    <w:p>
      <w:pPr>
        <w:pStyle w:val="Heading3"/>
      </w:pPr>
      <w:r>
        <w:rPr>
          <w:b w:val="0"/>
          <w:i w:val="0"/>
        </w:rPr>
        <w:t>研究方案</w:t>
      </w:r>
    </w:p>
    <w:p>
      <w:pPr>
        <w:spacing w:after="80"/>
      </w:pPr>
      <w:r>
        <w:rPr>
          <w:b/>
        </w:rPr>
        <w:t>科学问题——</w:t>
      </w:r>
      <w:r>
        <w:rPr>
          <w:b w:val="0"/>
        </w:rPr>
        <w:t>在采样时刻未记录的常规 TDM 数据中，能否通过群体药动学建模与区间似然重建个体稳态暴露，其预测精度是否达到可支持剂量决策的水平？</w:t>
      </w:r>
    </w:p>
    <w:p>
      <w:pPr>
        <w:spacing w:after="80"/>
      </w:pPr>
      <w:r>
        <w:rPr>
          <w:b/>
        </w:rPr>
        <w:t>估计量——</w:t>
      </w:r>
      <w:r>
        <w:rPr>
          <w:b w:val="0"/>
        </w:rPr>
        <w:t>群体与个体清除率（CL/F）、稳态谷浓度点预测及 95% 预测区间；评价指标为预测误差、均方根误差与区间覆盖率。</w:t>
      </w:r>
    </w:p>
    <w:p>
      <w:pPr>
        <w:spacing w:after="80"/>
      </w:pPr>
      <w:r>
        <w:rPr>
          <w:b/>
        </w:rPr>
        <w:t>暴露变量构造——</w:t>
      </w:r>
      <w:r>
        <w:rPr>
          <w:b w:val="0"/>
        </w:rPr>
        <w:t>日剂量 = `医嘱记录.DOSAGE` × 频次倍数（QD/QN/ONCE/ALWAYS 计 1，BID 计 2，TID 计 3，QOD 计 0.5；后缀数字为执行时段编码，不参与计算）。取采样当日在院、`MEDICATION_WAY` 非“出院带药”、同分子（含各商品名与口崩片）医嘱中起始时间最晚者。</w:t>
      </w:r>
    </w:p>
    <w:p>
      <w:pPr>
        <w:spacing w:after="80"/>
      </w:pPr>
      <w:r>
        <w:rPr>
          <w:b/>
        </w:rPr>
        <w:t>浓度变量构造——</w:t>
      </w:r>
      <w:r>
        <w:rPr>
          <w:b w:val="0"/>
        </w:rPr>
        <w:t>`检验.TEST_RESULT` 的原型、代谢物、总量三行；先执行总量恒等式校验，校验通过后任取其二推第三。</w:t>
      </w:r>
    </w:p>
    <w:p>
      <w:pPr>
        <w:spacing w:after="80"/>
      </w:pPr>
      <w:r>
        <w:rPr>
          <w:b/>
        </w:rPr>
        <w:t>时间变量构造——</w:t>
      </w:r>
      <w:r>
        <w:rPr>
          <w:b w:val="0"/>
        </w:rPr>
        <w:t>以 `检验.TEST_DATE`（日/月/年解析）为锚；距剂量变更天数由同分子医嘱的 `START_DATETIME` 日期部分推得。</w:t>
      </w:r>
      <w:r>
        <w:rPr>
          <w:b/>
        </w:rPr>
        <w:t>不使用其时分秒</w:t>
      </w:r>
      <w:r>
        <w:rPr>
          <w:b w:val="0"/>
        </w:rPr>
        <w:t>，理由见数据治理章节。</w:t>
      </w:r>
    </w:p>
    <w:p>
      <w:pPr>
        <w:spacing w:after="80"/>
      </w:pPr>
      <w:r>
        <w:rPr>
          <w:b/>
        </w:rPr>
        <w:t>协变量——</w:t>
      </w:r>
      <w:r>
        <w:rPr>
          <w:b w:val="0"/>
        </w:rPr>
        <w:t>性别与年龄取自病案首页（年龄字段含“岁”字，需剥离）；体重取自体征表入院首条；合并用药标志由方向二的输出提供；中药暴露以方剂数与饮片总克重进入调整。</w:t>
      </w:r>
    </w:p>
    <w:p>
      <w:pPr>
        <w:spacing w:after="80"/>
      </w:pPr>
      <w:r>
        <w:rPr>
          <w:b/>
        </w:rPr>
        <w:t>验证方案——</w:t>
      </w:r>
      <w:r>
        <w:rPr>
          <w:b w:val="0"/>
        </w:rPr>
        <w:t>留一患者交叉验证与时间前向切分（前 60% 拟合、后 40% 验证）；逐个体报告预测误差与区间覆盖率；与“假设全部为谷浓度”的朴素模型对比以展示区间化的增益；模型选择采用多模型外部评价与模型平均。</w:t>
      </w:r>
    </w:p>
    <w:p>
      <w:pPr>
        <w:spacing w:after="80"/>
      </w:pPr>
      <w:r>
        <w:rPr>
          <w:b/>
        </w:rPr>
        <w:t>精度目标与规模化样本量——</w:t>
      </w:r>
      <w:r>
        <w:rPr>
          <w:b w:val="0"/>
        </w:rPr>
        <w:t>本方向为估计性设计，不设最小可检出效应。目标为稳态谷浓度 95% 预测区间半宽不超过 30%（对照当前个体内波动 26%、以及 AGNP 窗宽 250 ng/mL 的 12%）。固定效应 6–8 个参数，按每参数不少于 10 例的经验法则需 80 例以上；达到上述区间精度目标预计需 200–400 例。样本上已用 5 例、6 次测定跑通全部管线。</w:t>
      </w:r>
    </w:p>
    <w:p>
      <w:pPr>
        <w:spacing w:after="80"/>
      </w:pPr>
      <w:r>
        <w:rPr>
          <w:b/>
        </w:rPr>
        <w:t>主要偏倚与处理——</w:t>
      </w:r>
      <w:r>
        <w:rPr>
          <w:b w:val="0"/>
        </w:rPr>
        <w:t>采样时刻未知——区间似然并对区间宽度做 ±20% 敏感性分析；依从性未知——对日剂量施加 0.7–1.0 的依从区间敏感性；非稳态样本——剔除距剂量变更不足 14 天者（按 5 倍半衰期）并做 10 天与 21 天敏感性；选择偏倚——目标人群明确界定为“接受监测的患者”，不外推至全部住院患者。</w:t>
      </w:r>
    </w:p>
    <w:p>
      <w:pPr>
        <w:spacing w:after="80"/>
      </w:pPr>
      <w:r>
        <w:rPr>
          <w:b/>
        </w:rPr>
        <w:t>新颖性——</w:t>
      </w:r>
      <w:r>
        <w:rPr>
          <w:b w:val="0"/>
        </w:rPr>
        <w:t>最接近的工作均在精神科内部，且或假设、或近似稳态谷浓度采样；大规模群体药动学分析则直接排除无采样时刻的患者。本设计的差异轴有三：一是首次把“采样时刻未知”显式建模为区间似然，并以半衰期依赖的误差规律论证其在长半衰期药物上的可行性；二是利用同一受试者的重复采样量化个体内波动并纳入预测区间；三是输出结果对照群体注册库的百分位分布而非文献均值。读者获得的是一条任何仅有常规 TDM 记录、没有采样时刻的医院都可复用的暴露重建管线。</w:t>
      </w:r>
    </w:p>
    <w:p>
      <w:pPr>
        <w:spacing w:after="80"/>
      </w:pPr>
      <w:r>
        <w:rPr>
          <w:b/>
        </w:rPr>
        <w:t>目标期刊——</w:t>
      </w:r>
      <w:r>
        <w:rPr>
          <w:b w:val="0"/>
        </w:rPr>
        <w:t>Clinical Pharmacokinetics；European Journal of Clinical Pharmacology；方法学侧重时 Therapeutic Drug Monitoring。</w:t>
      </w:r>
    </w:p>
    <w:p>
      <w:pPr>
        <w:pStyle w:val="Heading3"/>
      </w:pPr>
      <w:r>
        <w:rPr>
          <w:b w:val="0"/>
          <w:i w:val="0"/>
        </w:rPr>
        <w:t>方向二　合并用药与 CYP2D6 表型代理对阿立哌唑暴露的独立影响</w:t>
      </w:r>
    </w:p>
    <w:p>
      <w:pPr>
        <w:pStyle w:val="Heading3"/>
      </w:pPr>
      <w:r>
        <w:rPr>
          <w:b w:val="0"/>
          <w:i w:val="0"/>
        </w:rPr>
        <w:t>文献小综述</w:t>
      </w:r>
    </w:p>
    <w:p>
      <w:r>
        <w:rPr>
          <w:b w:val="0"/>
          <w:i w:val="0"/>
        </w:rPr>
        <w:t>阿立哌唑主要经 CYP2D6 代谢、次要经 CYP3A4，慢代谢与中间代谢者暴露约为正常代谢者的 1.5 倍 ✔。基于生理的药动学模拟据此建议慢代谢者的日剂量上限 ○（PMID 34125422），临床药物基因组学实施联盟对 CYP2D6 底物亦有明确的基因型—剂量建议。合并用药的影响同样确立：合并用药对阿立哌唑与脱氢阿立哌唑血清浓度的影响已有专门研究 ✔（PMID 19142178）；一项针对中国患者的群体药动学分析将氟西汀纳入协变量，得到清除率比约 0.714 ○。</w:t>
      </w:r>
    </w:p>
    <w:p>
      <w:r>
        <w:rPr>
          <w:b w:val="0"/>
          <w:i w:val="0"/>
        </w:rPr>
        <w:t>更关键的概念是</w:t>
      </w:r>
      <w:r>
        <w:rPr>
          <w:b/>
          <w:i w:val="0"/>
        </w:rPr>
        <w:t>表型转换</w:t>
      </w:r>
      <w:r>
        <w:rPr>
          <w:b w:val="0"/>
          <w:i w:val="0"/>
        </w:rPr>
        <w:t>：合并使用 CYP2D6 抑制剂会使基因型正常者在表型上表现为慢代谢。一项纳入 316 例的回顾性队列专门考察了基因型与表型转换对抗抑郁药与抗精神病药血清浓度的影响 ✔（PMID 37166747；Scherf-Clavel 等，2023），该研究覆盖文拉法辛、阿米替林、米氮平、舍曲林、艾司西酞普兰、利培酮与喹硫平——</w:t>
      </w:r>
      <w:r>
        <w:rPr>
          <w:b/>
          <w:i w:val="0"/>
        </w:rPr>
        <w:t>不含阿立哌唑</w:t>
      </w:r>
      <w:r>
        <w:rPr>
          <w:b w:val="0"/>
          <w:i w:val="0"/>
        </w:rPr>
        <w:t>。该研究同时指出一个方法学要点：药物基因组学信息可终身预测使用，而 TDM 捕获的是吸烟、合并用药等环境因素的当下影响 ✔。这正是本设计的立足点。</w:t>
      </w:r>
    </w:p>
    <w:p>
      <w:r>
        <w:rPr>
          <w:b w:val="0"/>
          <w:i w:val="0"/>
        </w:rPr>
        <w:t>尚未解决的问题是：在 CYP2D6*10 高频的东亚人群背景下，暴露变异究竟多少归因于合并用药、多少归因于个体代谢能力。针对中国患者第二代抗精神病药联用的研究提示联用本身显著改变浓度 ○（PMID 33851072），但未系统纳入酶抑制或诱导药物的分类，也未把代谢比作为表型变量。</w:t>
      </w:r>
    </w:p>
    <w:p>
      <w:r>
        <w:rPr>
          <w:b w:val="0"/>
          <w:i w:val="0"/>
        </w:rPr>
        <w:t>本设计从两个院外领域借取方法。其一是药物基因组学的小样本表型代理纪律：不依赖基因型，而以代谢物/原型比作为 CYP2D6 活性表型——这一做法在治疗药物监测中已属既有实践 ✔。其二是卫生信息学的共处方关联挖掘，用以系统枚举本院真实存在的合并用药组合，而非仅检验预设的少数几种 ○。</w:t>
      </w:r>
    </w:p>
    <w:p>
      <w:pPr>
        <w:pStyle w:val="Heading3"/>
      </w:pPr>
      <w:r>
        <w:rPr>
          <w:b w:val="0"/>
          <w:i w:val="0"/>
        </w:rPr>
        <w:t>设计思路</w:t>
      </w:r>
    </w:p>
    <w:p>
      <w:r>
        <w:rPr>
          <w:b w:val="0"/>
          <w:i w:val="0"/>
        </w:rPr>
        <w:t>让这一方向显形的是代谢比：样本 6 次测定跨度 0.174–0.492，2.83 倍。数据中没有基因型字段，但表型变量已在手中。</w:t>
      </w:r>
    </w:p>
    <w:p>
      <w:r>
        <w:rPr>
          <w:b w:val="0"/>
          <w:i w:val="0"/>
        </w:rPr>
        <w:t>备选框法有三。其一，仅以“是否合用某药”的哑变量做回归：会同时丢失酶抑制的剂量—反应关系与个体代谢能力这两项信息。其二，先行基因型检测：医院数据中无此字段，需引入额外成本与伦理程序，且无法回溯既往病例。其三，即本设计：将合并用药（按解剖治疗化学分类归为 CYP2D6 抑制剂、CYP3A4 诱导剂等）与代谢比代理作为两条并行通道，在混合模型中同时估计各自对 log C/D 的贡献。</w:t>
      </w:r>
    </w:p>
    <w:p>
      <w:r>
        <w:rPr>
          <w:b w:val="0"/>
          <w:i w:val="0"/>
        </w:rPr>
        <w:t>选择第三种的理由是它能把两件在常规数据中纠缠的事分开：该患者此刻的代谢能力，与合并用药带来的净效应。表型转换概念的存在恰恰说明这两者不可混为一谈。</w:t>
      </w:r>
    </w:p>
    <w:p>
      <w:r>
        <w:rPr>
          <w:b w:val="0"/>
          <w:i w:val="0"/>
        </w:rPr>
        <w:t>什么情况会改变结论：若全量数据显示代谢比与合并用药高度共线——例如所有合用CYP2D6 抑制剂者的代谢比都单调升高——则两条通道不可识别。此时设计退化为只报告合并用药的边际效应，并明确声明不可分离性，而非强行给出中介分解。</w:t>
      </w:r>
    </w:p>
    <w:p>
      <w:pPr>
        <w:pStyle w:val="Heading3"/>
      </w:pPr>
      <w:r>
        <w:rPr>
          <w:b w:val="0"/>
          <w:i w:val="0"/>
        </w:rPr>
        <w:t>研究方案</w:t>
      </w:r>
    </w:p>
    <w:p>
      <w:pPr>
        <w:spacing w:after="80"/>
      </w:pPr>
      <w:r>
        <w:rPr>
          <w:b/>
        </w:rPr>
        <w:t>科学问题——</w:t>
      </w:r>
      <w:r>
        <w:rPr>
          <w:b w:val="0"/>
        </w:rPr>
        <w:t>在控制 CYP2D6 表型（以代谢比代理）之后，常用合并用药对阿立哌唑剂量归一化浓度的独立效应有多大？表型转换现象在本院人群中是否可被观察到？</w:t>
      </w:r>
    </w:p>
    <w:p>
      <w:pPr>
        <w:spacing w:after="80"/>
      </w:pPr>
      <w:r>
        <w:rPr>
          <w:b/>
        </w:rPr>
        <w:t>估计量——</w:t>
      </w:r>
      <w:r>
        <w:rPr>
          <w:b w:val="0"/>
        </w:rPr>
        <w:t>线性混合模型（患者层随机截距）的系数指数化值，即合并用药带来的 C/D 倍数变化；次要估计量为代谢比对 C/D 的路径系数，用于中介分解。</w:t>
      </w:r>
    </w:p>
    <w:p>
      <w:pPr>
        <w:spacing w:after="80"/>
      </w:pPr>
      <w:r>
        <w:rPr>
          <w:b/>
        </w:rPr>
        <w:t>变量构造——</w:t>
      </w:r>
      <w:r>
        <w:rPr>
          <w:b w:val="0"/>
        </w:rPr>
        <w:t>结局为 log(C/D)，构造同方向一；代谢比取同一样本编号行内的代谢物与原型之比；合并用药集合为采样当日在院、同分子归一后的全部西药，排除阿立哌唑自身及化验与护理类医嘱行（`MEDICATION_WAY` 为“化验”者共 104 行须剔除）；按解剖治疗化学分类与 RxNorm 归一后打标为 CYP2D6 抑制剂、CYP3A4 诱导剂、其他抗精神病药、心境稳定剂等；中药以 `MEDICATION_WAY` 属煎服、先煎、副药的行数与总克重作为协变量；吸烟状态本数据无字段，列为未测混杂。</w:t>
      </w:r>
    </w:p>
    <w:p>
      <w:pPr>
        <w:spacing w:after="80"/>
      </w:pPr>
      <w:r>
        <w:rPr>
          <w:b/>
        </w:rPr>
        <w:t>验证方案——</w:t>
      </w:r>
      <w:r>
        <w:rPr>
          <w:b w:val="0"/>
        </w:rPr>
        <w:t>患者级 10 折交叉验证（不跨患者切分）；方差膨胀因子检查共线性；显式建模“合并用药 × 代谢比”交互并与无交互模型比较；先在无合并用药亚组拟合代谢比与表型的标定关系，再外推至合并用药组以检验表型转换。</w:t>
      </w:r>
    </w:p>
    <w:p>
      <w:pPr>
        <w:spacing w:after="80"/>
      </w:pPr>
      <w:r>
        <w:rPr>
          <w:b/>
        </w:rPr>
        <w:t>最小可检出效应与规模化样本量——</w:t>
      </w:r>
      <w:r>
        <w:rPr>
          <w:b w:val="0"/>
        </w:rPr>
        <w:t>取 α=0.05、把握度 0.80。若 C/D 的个体间变异系数约 40%，检出 1.5 倍的合并用药效应每组约需 34 例稳态样本；变异系数 60% 时约需 76 例。全院两年阿立哌唑稳态 TDM 预计 300–600 例，可满足多数常见合并用药组合。n=400 时 log(C/D) 效应的 95% 置信区间半宽约 ±0.13，即约 ±14%。</w:t>
      </w:r>
    </w:p>
    <w:p>
      <w:pPr>
        <w:spacing w:after="80"/>
      </w:pPr>
      <w:r>
        <w:rPr>
          <w:b/>
        </w:rPr>
        <w:t>主要偏倚与处理——</w:t>
      </w:r>
      <w:r>
        <w:rPr>
          <w:b w:val="0"/>
        </w:rPr>
        <w:t>适应证混杂——合并用药非随机分配，以倾向评分或协变量调整处理，并明确声明不保证无未测混杂；暴露测量误差——频次后缀与重叠医嘱按方向一的预处理规则统一；稳态样本选择——剔除距剂量变更不足 14 天者；报告遵循 RECORD-PE 对暴露时间窗的要求。</w:t>
      </w:r>
    </w:p>
    <w:p>
      <w:pPr>
        <w:spacing w:after="80"/>
      </w:pPr>
      <w:r>
        <w:rPr>
          <w:b/>
        </w:rPr>
        <w:t>新颖性——</w:t>
      </w:r>
      <w:r>
        <w:rPr>
          <w:b w:val="0"/>
        </w:rPr>
        <w:t>最接近的工作中，欧洲队列考察了合并用药对阿立哌唑及其代谢物浓度的影响但未纳入表型代理；表型转换的专门研究覆盖七种精神科药物而不含阿立哌唑；中国第二代抗精神病药联用研究未做酶学分类。本设计的差异轴：一是中国住院人群并系统枚举全部在院西药，而非预设少数几种；二是以代谢比代理使无基因型数据的机构也能分离表型与药物两条通道；三是把中药作为协变量纳入调整而非分析对象。读者获得的是一张本院合并用药对阿立哌唑暴露影响的量化表。</w:t>
      </w:r>
    </w:p>
    <w:p>
      <w:pPr>
        <w:spacing w:after="80"/>
      </w:pPr>
      <w:r>
        <w:rPr>
          <w:b/>
        </w:rPr>
        <w:t>目标期刊——</w:t>
      </w:r>
      <w:r>
        <w:rPr>
          <w:b w:val="0"/>
        </w:rPr>
        <w:t>European Journal of Clinical Pharmacology；Clinical Pharmacokinetics；Pharmacopsychiatry。</w:t>
      </w:r>
    </w:p>
    <w:p>
      <w:pPr>
        <w:pStyle w:val="Heading3"/>
      </w:pPr>
      <w:r>
        <w:rPr>
          <w:b w:val="0"/>
          <w:i w:val="0"/>
        </w:rPr>
        <w:t>方向三　从检验结果到剂量调整：浓度指导给药的闭环质量与跨专科定标</w:t>
      </w:r>
    </w:p>
    <w:p>
      <w:pPr>
        <w:pStyle w:val="Heading3"/>
      </w:pPr>
      <w:r>
        <w:rPr>
          <w:b w:val="0"/>
          <w:i w:val="0"/>
        </w:rPr>
        <w:t>文献小综述</w:t>
      </w:r>
    </w:p>
    <w:p>
      <w:r>
        <w:rPr>
          <w:b w:val="0"/>
          <w:i w:val="0"/>
        </w:rPr>
        <w:t>浓度指导给药在若干与精神科无临床交集的专科中已是制度性实践。移植领域以药时曲线下面积为目标调整白消安剂量 ○；他克莫司的个体内变异与快代谢分层已被写入结局研究 ○（PMID 36466843）。肿瘤领域的证据更为直接：一项荟萃分析显示以药动学指导氟尿嘧啶给药相较体表面积给药可提高总缓解率 ○（PMID 26309030）；而真实世界数据显示仅约半数患者处于目标窗内，37% 偏低、16% 偏高 ○（PMID 30699067）。</w:t>
      </w:r>
    </w:p>
    <w:p>
      <w:r>
        <w:rPr>
          <w:b w:val="0"/>
          <w:i w:val="0"/>
        </w:rPr>
        <w:t>精神科这一侧，AGNP 共识规定了监测的适应证与推荐等级，按血清浓度指导减药的随机对照试验亦已完成 ○（PMID 39324399）。但矛盾恰在此处：一方面浓度—反应证据不断增强，另一方面病房实践中“测而不调”与“调而不测”并存。本抽取直接呈现了这一张力——6 次阿立哌唑测定之后 7 天内仅发生 1 次剂量变更 ✔。</w:t>
      </w:r>
    </w:p>
    <w:p>
      <w:r>
        <w:rPr>
          <w:b w:val="0"/>
          <w:i w:val="0"/>
        </w:rPr>
        <w:t>既有的实践类研究报告的是浓度分布与监测是否规范，未将</w:t>
      </w:r>
      <w:r>
        <w:rPr>
          <w:b/>
          <w:i w:val="0"/>
        </w:rPr>
        <w:t>检验结果与其后的医嘱变更在个体内时间上链接</w:t>
      </w:r>
      <w:r>
        <w:rPr>
          <w:b w:val="0"/>
          <w:i w:val="0"/>
        </w:rPr>
        <w:t>成响应回路。这是本方向的空位。</w:t>
      </w:r>
    </w:p>
    <w:p>
      <w:r>
        <w:rPr>
          <w:b w:val="0"/>
          <w:i w:val="0"/>
        </w:rPr>
        <w:t>所借的院外方法有二：移植领域把个体内变异作为系统质量指标的做法，以及肿瘤领域把目标窗命中率作为过程绩效指标的做法。二者共同的原则是用外部分布为内部实践定标，而不是用文献均值评判单次结果。</w:t>
      </w:r>
    </w:p>
    <w:p>
      <w:pPr>
        <w:pStyle w:val="Heading3"/>
      </w:pPr>
      <w:r>
        <w:rPr>
          <w:b w:val="0"/>
          <w:i w:val="0"/>
        </w:rPr>
        <w:t>设计思路</w:t>
      </w:r>
    </w:p>
    <w:p>
      <w:r>
        <w:rPr>
          <w:b w:val="0"/>
          <w:i w:val="0"/>
        </w:rPr>
        <w:t>让这一方向显形的派生量是“检验结果回报后 7 天内是否发生同分子剂量变更”。样本上 6 比 1 的稀疏响应说明回路存在但很弱。</w:t>
      </w:r>
    </w:p>
    <w:p>
      <w:r>
        <w:rPr>
          <w:b w:val="0"/>
          <w:i w:val="0"/>
        </w:rPr>
        <w:t>备选框法：其一，仅描述超范围比例——样本中 16 个带参考范围的结果里 6 个在范围内、5 个偏高、5 个偏低，出界率 62.5% ✔，这个数字本身有意义，但它是对现状的描述，不构成研究问题；其二，即本设计，把“是否调整”作为结局构建响应估计量；其三，进一步考察“调整之后浓度是否回到范围”，这需要更密的重复采样，列为延伸分析。</w:t>
      </w:r>
    </w:p>
    <w:p>
      <w:r>
        <w:rPr>
          <w:b w:val="0"/>
          <w:i w:val="0"/>
        </w:rPr>
        <w:t>选择第二种，是因为它把“浓度指导”从理念变成可测量的过程估计量，并且可与移植、肿瘤两个专科的制度性基准直接对比——这一比较框架在精神科文献中尚未出现。</w:t>
      </w:r>
    </w:p>
    <w:p>
      <w:r>
        <w:rPr>
          <w:b w:val="0"/>
          <w:i w:val="0"/>
        </w:rPr>
        <w:t>什么情况会改变结论：若全量数据显示本院对超范围结果的响应时间中位数短于 7 天、命中率高于 80%，则“回路薄弱”的判断被推翻。但设计本身不受影响——结论方向反转，测量框架不变，这正是一个良好设计应有的性质。</w:t>
      </w:r>
    </w:p>
    <w:p>
      <w:pPr>
        <w:pStyle w:val="Heading3"/>
      </w:pPr>
      <w:r>
        <w:rPr>
          <w:b w:val="0"/>
          <w:i w:val="0"/>
        </w:rPr>
        <w:t>研究方案</w:t>
      </w:r>
    </w:p>
    <w:p>
      <w:pPr>
        <w:spacing w:after="80"/>
      </w:pPr>
      <w:r>
        <w:rPr>
          <w:b/>
        </w:rPr>
        <w:t>科学问题——</w:t>
      </w:r>
      <w:r>
        <w:rPr>
          <w:b w:val="0"/>
        </w:rPr>
        <w:t>在超出参考范围的 TDM 结果回报之后，医师在 7 天与 14 天内调整同分子剂量的概率与时间分布如何？与哪些患者及药物特征相关？相对移植与肿瘤专科的制度性基准处于什么位置？</w:t>
      </w:r>
    </w:p>
    <w:p>
      <w:pPr>
        <w:spacing w:after="80"/>
      </w:pPr>
      <w:r>
        <w:rPr>
          <w:b/>
        </w:rPr>
        <w:t>估计量——</w:t>
      </w:r>
      <w:r>
        <w:rPr>
          <w:b w:val="0"/>
        </w:rPr>
        <w:t>超范围条件下发生调整的概率及其 95% 置信区间；至调整时间的中位数与分布（Kaplan–Meier 曲线与时变协变量 Cox 模型）；按超上界与超下界、药物种类、住院医嘱与出院带药分层。</w:t>
      </w:r>
    </w:p>
    <w:p>
      <w:pPr>
        <w:spacing w:after="80"/>
      </w:pPr>
      <w:r>
        <w:rPr>
          <w:b/>
        </w:rPr>
        <w:t>变量构造——</w:t>
      </w:r>
      <w:r>
        <w:rPr>
          <w:b w:val="0"/>
        </w:rPr>
        <w:t>结果事件由 `检验.TEST_RESULT` 与同行 `REFFR_SCOPE` 比较得出；调整事件定义为采样日之后 7 或 14 天内存在同分子新医嘱且剂量或频次不同于采样当日在用医嘱；时间零点取 `检验.TEST_DATE`；协变量包括病案首页人口学、主要诊断（F20 与 F31 分层）与开立科室。</w:t>
      </w:r>
    </w:p>
    <w:p>
      <w:pPr>
        <w:spacing w:after="80"/>
      </w:pPr>
      <w:r>
        <w:rPr>
          <w:b/>
        </w:rPr>
        <w:t>验证方案——</w:t>
      </w:r>
      <w:r>
        <w:rPr>
          <w:b w:val="0"/>
        </w:rPr>
        <w:t>结果与医嘱的日期先后须双向核查，防止反向因果；对 7 天与 14 天窗口做敏感性分析；对“出院带药不计为调整”这一约定做敏感性分析。</w:t>
      </w:r>
    </w:p>
    <w:p>
      <w:pPr>
        <w:spacing w:after="80"/>
      </w:pPr>
      <w:r>
        <w:rPr>
          <w:b/>
        </w:rPr>
        <w:t>最小可检出效应与规模化样本量——</w:t>
      </w:r>
      <w:r>
        <w:rPr>
          <w:b w:val="0"/>
        </w:rPr>
        <w:t>二项比例比较，α=0.05、把握度 0.80：200 次超范围结果可检出 15 个百分点的响应率差异（如 25% 对 40%），95% 置信区间半宽约 ±6–7 个百分点。全量一至两年的超范围结果预计可达 200–600 次。</w:t>
      </w:r>
    </w:p>
    <w:p>
      <w:pPr>
        <w:spacing w:after="80"/>
      </w:pPr>
      <w:r>
        <w:rPr>
          <w:b/>
        </w:rPr>
        <w:t>主要偏倚与处理——</w:t>
      </w:r>
      <w:r>
        <w:rPr>
          <w:b w:val="0"/>
        </w:rPr>
        <w:t>时间窗误判——按上述双向核查处理；调整已发生但未录入医嘱系统——不可观测，在局限中明确声明；混杂——多药联用与疾病严重度，按超界方向分层并调整诊断；报告遵循 RECORD-PE 对暴露时间窗与截尾的要求。</w:t>
      </w:r>
    </w:p>
    <w:p>
      <w:pPr>
        <w:spacing w:after="80"/>
      </w:pPr>
      <w:r>
        <w:rPr>
          <w:b/>
        </w:rPr>
        <w:t>新颖性——</w:t>
      </w:r>
      <w:r>
        <w:rPr>
          <w:b w:val="0"/>
        </w:rPr>
        <w:t>既有的住院 TDM 实践研究报告浓度分布与监测适宜性，未做个体内时间链接。本设计的差异轴：一是把检验结果与后续医嘱变更链接成响应回路估计量；二是首次以移植领域的个体内变异指标与肿瘤领域的目标窗命中率为精神科 TDM 实践定标。读者获得的是一套可直接复制到任何同时拥有 TDM 与医嘱数据的机构的回路质量测量方法。</w:t>
      </w:r>
    </w:p>
    <w:p>
      <w:pPr>
        <w:spacing w:after="80"/>
      </w:pPr>
      <w:r>
        <w:rPr>
          <w:b/>
        </w:rPr>
        <w:t>目标期刊——</w:t>
      </w:r>
      <w:r>
        <w:rPr>
          <w:b w:val="0"/>
        </w:rPr>
        <w:t>Therapeutic Drug Monitoring；Pharmacopsychiatry；中华精神科杂志。</w:t>
      </w:r>
    </w:p>
    <w:p>
      <w:pPr>
        <w:pStyle w:val="Heading3"/>
      </w:pPr>
      <w:r>
        <w:rPr>
          <w:b w:val="0"/>
          <w:i w:val="0"/>
        </w:rPr>
        <w:t>方向四　不规则纵向体重轨迹：抗精神病药暴露与代谢结局</w:t>
      </w:r>
    </w:p>
    <w:p>
      <w:pPr>
        <w:pStyle w:val="Heading3"/>
      </w:pPr>
      <w:r>
        <w:rPr>
          <w:b w:val="0"/>
          <w:i w:val="0"/>
        </w:rPr>
        <w:t>文献小综述</w:t>
      </w:r>
    </w:p>
    <w:p>
      <w:r>
        <w:rPr>
          <w:b w:val="0"/>
          <w:i w:val="0"/>
        </w:rPr>
        <w:t>抗精神病药与体重增加的关系已由大规模剂量—反应荟萃分析刻画，该分析纳入 52 项随机对照试验、22 588 例，给出每种药物各自的体重—剂量曲线形态 ○（PMID 36752753）；换用阿立哌唑后的平均减重幅度亦有荟萃证据 ○（PMID 33547471）。因此代谢结局是可由暴露解释的表型，而非随机波动。</w:t>
      </w:r>
    </w:p>
    <w:p>
      <w:r>
        <w:rPr>
          <w:b w:val="0"/>
          <w:i w:val="0"/>
        </w:rPr>
        <w:t>矛盾在于测量结构。随机对照试验的体重曲线来自固定时点随访，而真实住院数据的体重记录是</w:t>
      </w:r>
      <w:r>
        <w:rPr>
          <w:b/>
          <w:i w:val="0"/>
        </w:rPr>
        <w:t>不规则间隔</w:t>
      </w:r>
      <w:r>
        <w:rPr>
          <w:b w:val="0"/>
          <w:i w:val="0"/>
        </w:rPr>
        <w:t>的：护士的测量频率随病情与病房安排变化，缺测本身可能与病情相关。把试验曲线直接套用于真实轨迹，会低估早发增重与其后的反弹。</w:t>
      </w:r>
    </w:p>
    <w:p>
      <w:r>
        <w:rPr>
          <w:b w:val="0"/>
          <w:i w:val="0"/>
        </w:rPr>
        <w:t>精神科内部少有以真实住院不规则体重轨迹做暴露—轨迹建模的工作；真正成熟的方法在重症医学信息学。该领域的代表性工作以掩码向量与时间间隔衰减显式建模缺失模式，并证明缺失模式本身携带预测信息 ○（GRU-D，PMC5904216）。</w:t>
      </w:r>
    </w:p>
    <w:p>
      <w:r>
        <w:rPr>
          <w:b w:val="0"/>
          <w:i w:val="0"/>
        </w:rPr>
        <w:t>本设计借取两件方法：其一是上述“把缺失模式纳入模型”的纪律——体重缺测不是随机缺失，缺测周数可能与病情或拒测相关；其二是药物计量学处理稀疏重复测量的混合模型框架（时间与暴露的交互、随机斜率），这在药动学中属常规，在体重轨迹研究中却常被末次观测结转所替代。共同的原则是：不规则间隔应当被建模进时间协方差或由衰减结构吸收，而不应插值成等距序列。</w:t>
      </w:r>
    </w:p>
    <w:p>
      <w:pPr>
        <w:pStyle w:val="Heading3"/>
      </w:pPr>
      <w:r>
        <w:rPr>
          <w:b w:val="0"/>
          <w:i w:val="0"/>
        </w:rPr>
        <w:t>设计思路</w:t>
      </w:r>
    </w:p>
    <w:p>
      <w:r>
        <w:rPr>
          <w:b w:val="0"/>
          <w:i w:val="0"/>
        </w:rPr>
        <w:t>让这一方向显形的是体重记录的密度与方向：22 条记录分布于 5 人、每人 3–7 次，S1 十一天增重 2.0 kg、S4 四十五天增重 2.0 kg，而 S2 与 S5 分别减重 4.0 与 3.0 kg ✔。方向性信号与测量噪声同时存在，正是需要建模而非描述的情形。</w:t>
      </w:r>
    </w:p>
    <w:p>
      <w:r>
        <w:rPr>
          <w:b w:val="0"/>
          <w:i w:val="0"/>
        </w:rPr>
        <w:t>备选框法：其一，仅比较入院与出院体重——丢弃中间轨迹，损失早发增重这一关键信息；其二，线性混合模型引入时间与暴露交互——作为主分析，但其默认假设是间隔与结局无关；其三，采用能显式处理缺失模式的序列模型——在样本量充足时作为对照与稳健性检验，因可解释性不足不作主估计量。</w:t>
      </w:r>
    </w:p>
    <w:p>
      <w:r>
        <w:rPr>
          <w:b w:val="0"/>
          <w:i w:val="0"/>
        </w:rPr>
        <w:t>以第二种为主、第三种为对照的理由：混合模型给出可解释的“每药每剂量当量周增重多少公斤”系数，可与随机对照试验的剂量—反应曲线直接对照；序列模型则用于验证不规则间隔的处理方式不改变结论方向。</w:t>
      </w:r>
    </w:p>
    <w:p>
      <w:r>
        <w:rPr>
          <w:b w:val="0"/>
          <w:i w:val="0"/>
        </w:rPr>
        <w:t>什么情况会改变结论：若全量数据显示体重记录近乎等间隔（间隔变异系数低于 10%），则不规则间隔问题本身消失，第三种方法的增益归零，设计简化为单纯的混合模型。这是结论的简化，不是推翻。</w:t>
      </w:r>
    </w:p>
    <w:p>
      <w:pPr>
        <w:pStyle w:val="Heading3"/>
      </w:pPr>
      <w:r>
        <w:rPr>
          <w:b w:val="0"/>
          <w:i w:val="0"/>
        </w:rPr>
        <w:t>研究方案</w:t>
      </w:r>
    </w:p>
    <w:p>
      <w:pPr>
        <w:spacing w:after="80"/>
      </w:pPr>
      <w:r>
        <w:rPr>
          <w:b/>
        </w:rPr>
        <w:t>科学问题——</w:t>
      </w:r>
      <w:r>
        <w:rPr>
          <w:b w:val="0"/>
        </w:rPr>
        <w:t>控制基线之后，抗精神病药暴露（药物、剂量与累积用药天数）与住院期间体重轨迹斜率的关系如何？达到 7% 增重这一临床阈值的风险，能否由前 14 至 28 天的早期轨迹预测？</w:t>
      </w:r>
    </w:p>
    <w:p>
      <w:pPr>
        <w:spacing w:after="80"/>
      </w:pPr>
      <w:r>
        <w:rPr>
          <w:b/>
        </w:rPr>
        <w:t>估计量——</w:t>
      </w:r>
      <w:r>
        <w:rPr>
          <w:b w:val="0"/>
        </w:rPr>
        <w:t>混合模型的斜率系数，即每药每剂量当量的周增重公斤数；次要估计量为 7% 增重的早期预测性能（受试者工作特征曲线下面积、敏感度与特异度）。</w:t>
      </w:r>
    </w:p>
    <w:p>
      <w:pPr>
        <w:spacing w:after="80"/>
      </w:pPr>
      <w:r>
        <w:rPr>
          <w:b/>
        </w:rPr>
        <w:t>变量构造——</w:t>
      </w:r>
      <w:r>
        <w:rPr>
          <w:b w:val="0"/>
        </w:rPr>
        <w:t>体重取自 `体征.RECORD_CONTENT`（`SIGN_TYPE` 为体重），按住院号、记录日期、体征类型与取值四元组去重（样本中已发现同日重复记录）；时间以 `RECORD_DATE` 减病案首页 `IN_DATE` 计；暴露为方向一的日剂量按分子分别累积；协变量包括性别、年龄、入院体重、由身高计算的体质指数、血压（复合值须按斜杠拆分）、中药方剂数与饮片总克重；结局阈值取相对入院体重增加 7%。</w:t>
      </w:r>
    </w:p>
    <w:p>
      <w:pPr>
        <w:spacing w:after="80"/>
      </w:pPr>
      <w:r>
        <w:rPr>
          <w:b/>
        </w:rPr>
        <w:t>验证方案——</w:t>
      </w:r>
      <w:r>
        <w:rPr>
          <w:b w:val="0"/>
        </w:rPr>
        <w:t>患者级 10 折交叉验证与时间前向切分；对缺失机制分别在完全随机缺失、随机缺失与非随机缺失三种假设下做敏感性分析；样本量充足时以序列模型作对照。</w:t>
      </w:r>
    </w:p>
    <w:p>
      <w:pPr>
        <w:spacing w:after="80"/>
      </w:pPr>
      <w:r>
        <w:rPr>
          <w:b/>
        </w:rPr>
        <w:t>最小可检出效应与规模化样本量——</w:t>
      </w:r>
      <w:r>
        <w:rPr>
          <w:b w:val="0"/>
        </w:rPr>
        <w:t>混合模型斜率：α=0.05、把握度 0.80，300 例患者、人均 8 次体重测量可检出约 0.10 kg/周的周增重差异（约 0.3 个标准差）。7% 增重的风险差：若对照组发生率 15%、欲检出 10 个百分点差异，每组约需 120 例。全院两年住院患者约 2 000 例以上，其中具备两次以上体重记录者估计占 60–80%，可满足需求。</w:t>
      </w:r>
    </w:p>
    <w:p>
      <w:pPr>
        <w:spacing w:after="80"/>
      </w:pPr>
      <w:r>
        <w:rPr>
          <w:b/>
        </w:rPr>
        <w:t>主要偏倚与处理——</w:t>
      </w:r>
      <w:r>
        <w:rPr>
          <w:b w:val="0"/>
        </w:rPr>
        <w:t>信息性缺失——按上述纪律把缺失模式纳入模型；适应证混杂——病情较重者更可能使用奥氮平且更易增重，需调整诊断与基线；测量误差——不同秤具与操作者，由随机效应吸收；随访截断——仅报告住院期间轨迹并明确时间范围，不外推至出院后。</w:t>
      </w:r>
    </w:p>
    <w:p>
      <w:pPr>
        <w:spacing w:after="80"/>
      </w:pPr>
      <w:r>
        <w:rPr>
          <w:b/>
        </w:rPr>
        <w:t>新颖性——</w:t>
      </w:r>
      <w:r>
        <w:rPr>
          <w:b w:val="0"/>
        </w:rPr>
        <w:t>最接近的工作是随机对照试验的剂量—反应曲线与换药荟萃分析，二者均基于固定时点测量。本设计的差异轴：一是使用真实世界不规则住院体重轨迹；二是显式建模信息性缺失；三是与试验曲线对照，检验真实世界增重是否较试验条件下更陡。读者获得的是中国住院精神科患者的暴露—体重轨迹表型基线。</w:t>
      </w:r>
    </w:p>
    <w:p>
      <w:pPr>
        <w:spacing w:after="80"/>
      </w:pPr>
      <w:r>
        <w:rPr>
          <w:b/>
        </w:rPr>
        <w:t>目标期刊——</w:t>
      </w:r>
      <w:r>
        <w:rPr>
          <w:b w:val="0"/>
        </w:rPr>
        <w:t>Schizophrenia Bulletin；Translational Psychiatry；Psychological Medicine。</w:t>
      </w:r>
    </w:p>
    <w:p>
      <w:pPr>
        <w:pStyle w:val="Heading3"/>
      </w:pPr>
      <w:r>
        <w:rPr>
          <w:b w:val="0"/>
          <w:i w:val="0"/>
        </w:rPr>
        <w:t>方向五　暴露与不良反应的关联：院内代理终点与外部自发报告的三角互证</w:t>
      </w:r>
    </w:p>
    <w:p>
      <w:pPr>
        <w:pStyle w:val="Heading3"/>
      </w:pPr>
      <w:r>
        <w:rPr>
          <w:b w:val="0"/>
          <w:i w:val="0"/>
        </w:rPr>
        <w:t>文献小综述</w:t>
      </w:r>
    </w:p>
    <w:p>
      <w:r>
        <w:rPr>
          <w:b w:val="0"/>
          <w:i w:val="0"/>
        </w:rPr>
        <w:t>抗精神病药的不良反应具有浓度依赖性：氯氮平的推荐窗为 350–600 ng/mL，超过 1 000 ng/mL 的毒性阈值已被模型指导给药文献采用 ○；阿立哌唑稳态浓度与催乳素升高的关系已有专门研究 ○；多药联用的荟萃分析显示锥体外系反应与肌张力障碍风险显著升高 ○（PMID 39547246）。本抽取中氯氮平实测 721 ng/mL、超出上限，帕利哌酮 86.4 ng/mL、超出上限 ✔——超范围暴露真实存在。</w:t>
      </w:r>
    </w:p>
    <w:p>
      <w:r>
        <w:rPr>
          <w:b w:val="0"/>
          <w:i w:val="0"/>
        </w:rPr>
        <w:t>药物警戒的方法学在与精神科无交集的领域早已成熟：自发报告数据库的不均衡分析（报告比值比、比例报告比、贝叶斯置信传播神经网络、经验贝叶斯几何均值）配合时间—事件分析，并要求在剔除合并用药后复核信号稳健性 ○。</w:t>
      </w:r>
    </w:p>
    <w:p>
      <w:r>
        <w:rPr>
          <w:b w:val="0"/>
          <w:i w:val="0"/>
        </w:rPr>
        <w:t>矛盾在于证据来源。精神科的暴露—不良反应证据大多来自自发报告系统或前瞻队列，而</w:t>
      </w:r>
      <w:r>
        <w:rPr>
          <w:b/>
          <w:i w:val="0"/>
        </w:rPr>
        <w:t>医院内部把血药浓度与带日期的诊断编码做个体内链接</w:t>
      </w:r>
      <w:r>
        <w:rPr>
          <w:b w:val="0"/>
          <w:i w:val="0"/>
        </w:rPr>
        <w:t>的证据极少——因为多数机构并不做这一步链接。本抽取的诊断记录带 `RECORD_DATE`，且已出现高泌乳素血症、迟发性运动障碍、肝功能不全等可作代理终点的编码 ✔，使这一链接在技术上成为可能。</w:t>
      </w:r>
    </w:p>
    <w:p>
      <w:r>
        <w:rPr>
          <w:b w:val="0"/>
          <w:i w:val="0"/>
        </w:rPr>
        <w:t>所借院外方法有二：肿瘤领域把暴露作为连续变量建模毒性的做法（而非仅用“暴露与否”的哑变量），以及自发报告分析中剔除合并用药后复核信号的敏感性纪律。核心转移在于：把浓度当作连续暴露、把诊断编码当作事件、把外部自发报告库当作平行信号源——三者不一致之处，正是判别真实发现与噪声的位置。</w:t>
      </w:r>
    </w:p>
    <w:p>
      <w:pPr>
        <w:pStyle w:val="Heading3"/>
      </w:pPr>
      <w:r>
        <w:rPr>
          <w:b w:val="0"/>
          <w:i w:val="0"/>
        </w:rPr>
        <w:t>设计思路</w:t>
      </w:r>
    </w:p>
    <w:p>
      <w:r>
        <w:rPr>
          <w:b w:val="0"/>
          <w:i w:val="0"/>
        </w:rPr>
        <w:t>让这一方向显形的是代理终点在数据中的实际存在：诊断记录与病案首页中出现了高泌乳素血症、迟发性运动障碍、肝功能不全等编码，且带有日期，事件因而可被时间定位；与此同时，超范围暴露已实测存在。体征表另提供了心率与体温通道——脉搏超过 100 次/分 8 次、体温不低于 37.3 ℃ 5 次 ✔。</w:t>
      </w:r>
    </w:p>
    <w:p>
      <w:r>
        <w:rPr>
          <w:b w:val="0"/>
          <w:i w:val="0"/>
        </w:rPr>
        <w:t>备选框法：其一，仅做描述统计（多少超范围、多少不良反应编码）——信息量不足以支撑独立研究；其二，即本设计，以暴露预测代理终点并与外部信号并行比较；其三，直接做因果裁定——观察性数据无法保证可交换性，明确不作因果结论。</w:t>
      </w:r>
    </w:p>
    <w:p>
      <w:r>
        <w:rPr>
          <w:b w:val="0"/>
          <w:i w:val="0"/>
        </w:rPr>
        <w:t>选择第二种，是因为它在“浓度”与“临床标签”之间建立可检验的联系，而这正是医院数据能够贡献给药物警戒、且自发报告系统无法替代的独特位置。</w:t>
      </w:r>
    </w:p>
    <w:p>
      <w:r>
        <w:rPr>
          <w:b w:val="0"/>
          <w:i w:val="0"/>
        </w:rPr>
        <w:t>什么情况会改变结论：若全量数据中代理诊断与超范围暴露完全无关联且置信区间足够窄，则该联系在本院不成立。但这一阴性结果本身即为药物警戒发现——它说明编码标签不适合作为不良反应代理，这对所有拟采用类似方法的机构都有价值。</w:t>
      </w:r>
    </w:p>
    <w:p>
      <w:pPr>
        <w:pStyle w:val="Heading3"/>
      </w:pPr>
      <w:r>
        <w:rPr>
          <w:b w:val="0"/>
          <w:i w:val="0"/>
        </w:rPr>
        <w:t>研究方案</w:t>
      </w:r>
    </w:p>
    <w:p>
      <w:pPr>
        <w:spacing w:after="80"/>
      </w:pPr>
      <w:r>
        <w:rPr>
          <w:b/>
        </w:rPr>
        <w:t>科学问题——</w:t>
      </w:r>
      <w:r>
        <w:rPr>
          <w:b w:val="0"/>
        </w:rPr>
        <w:t>抗精神病药暴露（连续 log C/D、超范围标志、药物种类）与不良反应代理诊断（高泌乳素血症、肌张力障碍、迟发性运动障碍、肝功能不全）在个体内时间链接上的关联如何？外部自发报告数据库对同一药物—事件对的信号是否一致？</w:t>
      </w:r>
    </w:p>
    <w:p>
      <w:pPr>
        <w:spacing w:after="80"/>
      </w:pPr>
      <w:r>
        <w:rPr>
          <w:b/>
        </w:rPr>
        <w:t>估计量——</w:t>
      </w:r>
      <w:r>
        <w:rPr>
          <w:b w:val="0"/>
        </w:rPr>
        <w:t>院内侧为 logistic 回归的比值比或 Cox 模型的风险比，事件定义为浓度测定之后30 天或 90 天内代理诊断的首次出现；外部侧为报告比值比与信息成分及其 95% 置信区间。</w:t>
      </w:r>
    </w:p>
    <w:p>
      <w:pPr>
        <w:spacing w:after="80"/>
      </w:pPr>
      <w:r>
        <w:rPr>
          <w:b/>
        </w:rPr>
        <w:t>变量构造——</w:t>
      </w:r>
      <w:r>
        <w:rPr>
          <w:b w:val="0"/>
        </w:rPr>
        <w:t>暴露取方向一的 log C/D 与超范围标志；事件取 `诊断记录.DIAGNOSTIC_NAME` 中含目标关键词且 `RECORD_DATE` 晚于采样日者，以病案首页 `OTHER_DIAGNOSIS_NAME`（竖线分隔，须拆分）作次要终点；时间零点为采样日期；混杂包括性别、年龄、诊断、方向二的合并用药集合与中药负担；外部数据取自公开药品不良事件数据库，药名归一后按标准术语提取。</w:t>
      </w:r>
    </w:p>
    <w:p>
      <w:pPr>
        <w:spacing w:after="80"/>
      </w:pPr>
      <w:r>
        <w:rPr>
          <w:b/>
        </w:rPr>
        <w:t>验证方案——</w:t>
      </w:r>
      <w:r>
        <w:rPr>
          <w:b w:val="0"/>
        </w:rPr>
        <w:t>每协变量事件数不低于 10，否则采用收缩估计；事件定义的宽窄关键词敏感性；时间窗 30、60、90 天敏感性；外部信号在剔除合并用药后复核；报告遵循相应的不均衡分析报告规范。</w:t>
      </w:r>
    </w:p>
    <w:p>
      <w:pPr>
        <w:spacing w:after="80"/>
      </w:pPr>
      <w:r>
        <w:rPr>
          <w:b/>
        </w:rPr>
        <w:t>最小可检出效应与规模化样本量——</w:t>
      </w:r>
      <w:r>
        <w:rPr>
          <w:b w:val="0"/>
        </w:rPr>
        <w:t>以比值比 2.0、α=0.05、把握度 0.80 计：事件发生率 5% 时每组约需 500 例暴露患者；发生率 10% 时每组约需 240 例。全量两年接受 TDM 的患者预计 800–2 000 例，高泌乳素血症与肝功能不全类事件可达到事件数门槛。氯氮平的血液学毒性终点（中性粒细胞减少）在本抽取的检验表中无对应项目，须由医院另行提供血常规数据。</w:t>
      </w:r>
    </w:p>
    <w:p>
      <w:pPr>
        <w:spacing w:after="80"/>
      </w:pPr>
      <w:r>
        <w:rPr>
          <w:b/>
        </w:rPr>
        <w:t>主要偏倚与处理——</w:t>
      </w:r>
      <w:r>
        <w:rPr>
          <w:b w:val="0"/>
        </w:rPr>
        <w:t>代理终点的效度——编码不等同于临床诊断，须在报告中明确其代理性质并给出灵敏度分析；适应证混杂——使用高剂量者病情更重，需调整诊断；反向因果——诊断在先导致加药进而改变浓度，故时间窗严格限定于采样之后；外部数据的报告偏倚——仅作平行信号源，不与院内估计做定量合成。</w:t>
      </w:r>
    </w:p>
    <w:p>
      <w:pPr>
        <w:spacing w:after="80"/>
      </w:pPr>
      <w:r>
        <w:rPr>
          <w:b/>
        </w:rPr>
        <w:t>新颖性——</w:t>
      </w:r>
      <w:r>
        <w:rPr>
          <w:b w:val="0"/>
        </w:rPr>
        <w:t>最接近的工作或只测单一内分泌终点且无编码链接，或使用自发报告库而无院内浓度。本设计的差异轴：一是把 TDM 浓度与带日期的诊断编码做个体内链接；二是院内暴露—事件关联与外部信号在同一报告中三角互证；三是以连续暴露而非二分哑变量建模。读者获得的是一套“医院数据加自发报告库”双源的不良反应信号工作流程。</w:t>
      </w:r>
    </w:p>
    <w:p>
      <w:pPr>
        <w:spacing w:after="80"/>
      </w:pPr>
      <w:r>
        <w:rPr>
          <w:b/>
        </w:rPr>
        <w:t>目标期刊——</w:t>
      </w:r>
      <w:r>
        <w:rPr>
          <w:b w:val="0"/>
        </w:rPr>
        <w:t>Therapeutic Drug Monitoring；Drug Safety；Journal of Clinical Psychopharmacology。</w:t>
      </w:r>
    </w:p>
    <w:p>
      <w:pPr>
        <w:pStyle w:val="Heading2"/>
      </w:pPr>
      <w:r>
        <w:rPr>
          <w:b w:val="0"/>
          <w:i w:val="0"/>
        </w:rPr>
        <w:t>六、跨领域方法借鉴与转移边界</w:t>
      </w:r>
    </w:p>
    <w:p>
      <w:r>
        <w:rPr>
          <w:b w:val="0"/>
          <w:i w:val="0"/>
        </w:rPr>
        <w:t>本报告的一项方法学立场是：数据中的方法学困难极少是专科特有的。以下汇总五个方向所借取的院外方法及其转移边界。借来的是估计量、验证纪律与处理原则，不是结论；一个方法若脱离其成立假设被搬用，其危害大于不借。</w:t>
      </w:r>
    </w:p>
    <w:tbl>
      <w:tblPr>
        <w:tblStyle w:val="LightGrid-Accent1"/>
        <w:tblW w:type="auto" w:w="0"/>
        <w:jc w:val="center"/>
        <w:tblLook w:firstColumn="1" w:firstRow="1" w:lastColumn="0" w:lastRow="0" w:noHBand="0" w:noVBand="1" w:val="04A0"/>
      </w:tblPr>
      <w:tblGrid>
        <w:gridCol w:w="1858"/>
        <w:gridCol w:w="1858"/>
        <w:gridCol w:w="1858"/>
        <w:gridCol w:w="1858"/>
        <w:gridCol w:w="1858"/>
      </w:tblGrid>
      <w:tr>
        <w:tc>
          <w:tcPr>
            <w:tcW w:type="dxa" w:w="794"/>
          </w:tcPr>
          <w:p>
            <w:r/>
            <w:r>
              <w:rPr>
                <w:b/>
                <w:sz w:val="18"/>
              </w:rPr>
              <w:t>方向</w:t>
            </w:r>
          </w:p>
        </w:tc>
        <w:tc>
          <w:tcPr>
            <w:tcW w:type="dxa" w:w="1928"/>
          </w:tcPr>
          <w:p>
            <w:r/>
            <w:r>
              <w:rPr>
                <w:b/>
                <w:sz w:val="18"/>
              </w:rPr>
              <w:t>本数据的方法学困难</w:t>
            </w:r>
          </w:p>
        </w:tc>
        <w:tc>
          <w:tcPr>
            <w:tcW w:type="dxa" w:w="1587"/>
          </w:tcPr>
          <w:p>
            <w:r/>
            <w:r>
              <w:rPr>
                <w:b/>
                <w:sz w:val="18"/>
              </w:rPr>
              <w:t>借自的领域</w:t>
            </w:r>
          </w:p>
        </w:tc>
        <w:tc>
          <w:tcPr>
            <w:tcW w:type="dxa" w:w="2494"/>
          </w:tcPr>
          <w:p>
            <w:r/>
            <w:r>
              <w:rPr>
                <w:b/>
                <w:sz w:val="18"/>
              </w:rPr>
              <w:t>转移的具体内容</w:t>
            </w:r>
          </w:p>
        </w:tc>
        <w:tc>
          <w:tcPr>
            <w:tcW w:type="dxa" w:w="2494"/>
          </w:tcPr>
          <w:p>
            <w:r/>
            <w:r>
              <w:rPr>
                <w:b/>
                <w:sz w:val="18"/>
              </w:rPr>
              <w:t>不可转移之处</w:t>
            </w:r>
          </w:p>
        </w:tc>
      </w:tr>
      <w:tr>
        <w:tc>
          <w:tcPr>
            <w:tcW w:type="dxa" w:w="794"/>
          </w:tcPr>
          <w:p>
            <w:r/>
            <w:r>
              <w:rPr>
                <w:b w:val="0"/>
                <w:sz w:val="18"/>
              </w:rPr>
              <w:t>一</w:t>
            </w:r>
          </w:p>
        </w:tc>
        <w:tc>
          <w:tcPr>
            <w:tcW w:type="dxa" w:w="1928"/>
          </w:tcPr>
          <w:p>
            <w:r/>
            <w:r>
              <w:rPr>
                <w:b w:val="0"/>
                <w:sz w:val="18"/>
              </w:rPr>
              <w:t>采样时刻完全未知</w:t>
            </w:r>
          </w:p>
        </w:tc>
        <w:tc>
          <w:tcPr>
            <w:tcW w:type="dxa" w:w="1587"/>
          </w:tcPr>
          <w:p>
            <w:r/>
            <w:r>
              <w:rPr>
                <w:b w:val="0"/>
                <w:sz w:val="18"/>
              </w:rPr>
              <w:t>重症与感染药动学</w:t>
            </w:r>
          </w:p>
        </w:tc>
        <w:tc>
          <w:tcPr>
            <w:tcW w:type="dxa" w:w="2494"/>
          </w:tcPr>
          <w:p>
            <w:r/>
            <w:r>
              <w:rPr>
                <w:b w:val="0"/>
                <w:sz w:val="18"/>
              </w:rPr>
              <w:t>误差随半衰期缩短而放大的定量规律；把时刻编码为区间并在区间上积分</w:t>
            </w:r>
          </w:p>
        </w:tc>
        <w:tc>
          <w:tcPr>
            <w:tcW w:type="dxa" w:w="2494"/>
          </w:tcPr>
          <w:p>
            <w:r/>
            <w:r>
              <w:rPr>
                <w:b w:val="0"/>
                <w:sz w:val="18"/>
              </w:rPr>
              <w:t>该领域的结论基于分钟级偏差，本数据是小时级完全未知，不可直接引用其偏倚幅度</w:t>
            </w:r>
          </w:p>
        </w:tc>
      </w:tr>
      <w:tr>
        <w:tc>
          <w:tcPr>
            <w:tcW w:type="dxa" w:w="794"/>
          </w:tcPr>
          <w:p>
            <w:r/>
            <w:r>
              <w:rPr>
                <w:b w:val="0"/>
                <w:sz w:val="18"/>
              </w:rPr>
              <w:t>一</w:t>
            </w:r>
          </w:p>
        </w:tc>
        <w:tc>
          <w:tcPr>
            <w:tcW w:type="dxa" w:w="1928"/>
          </w:tcPr>
          <w:p>
            <w:r/>
            <w:r>
              <w:rPr>
                <w:b w:val="0"/>
                <w:sz w:val="18"/>
              </w:rPr>
              <w:t>模型选择缺乏依据</w:t>
            </w:r>
          </w:p>
        </w:tc>
        <w:tc>
          <w:tcPr>
            <w:tcW w:type="dxa" w:w="1587"/>
          </w:tcPr>
          <w:p>
            <w:r/>
            <w:r>
              <w:rPr>
                <w:b w:val="0"/>
                <w:sz w:val="18"/>
              </w:rPr>
              <w:t>万古霉素给药研究</w:t>
            </w:r>
          </w:p>
        </w:tc>
        <w:tc>
          <w:tcPr>
            <w:tcW w:type="dxa" w:w="2494"/>
          </w:tcPr>
          <w:p>
            <w:r/>
            <w:r>
              <w:rPr>
                <w:b w:val="0"/>
                <w:sz w:val="18"/>
              </w:rPr>
              <w:t>以多个已发表模型做外部评价与模型平均</w:t>
            </w:r>
          </w:p>
        </w:tc>
        <w:tc>
          <w:tcPr>
            <w:tcW w:type="dxa" w:w="2494"/>
          </w:tcPr>
          <w:p>
            <w:r/>
            <w:r>
              <w:rPr>
                <w:b w:val="0"/>
                <w:sz w:val="18"/>
              </w:rPr>
              <w:t>模型库须为同药同人群，跨药不可用</w:t>
            </w:r>
          </w:p>
        </w:tc>
      </w:tr>
      <w:tr>
        <w:tc>
          <w:tcPr>
            <w:tcW w:type="dxa" w:w="794"/>
          </w:tcPr>
          <w:p>
            <w:r/>
            <w:r>
              <w:rPr>
                <w:b w:val="0"/>
                <w:sz w:val="18"/>
              </w:rPr>
              <w:t>二</w:t>
            </w:r>
          </w:p>
        </w:tc>
        <w:tc>
          <w:tcPr>
            <w:tcW w:type="dxa" w:w="1928"/>
          </w:tcPr>
          <w:p>
            <w:r/>
            <w:r>
              <w:rPr>
                <w:b w:val="0"/>
                <w:sz w:val="18"/>
              </w:rPr>
              <w:t>无 CYP2D6 基因型</w:t>
            </w:r>
          </w:p>
        </w:tc>
        <w:tc>
          <w:tcPr>
            <w:tcW w:type="dxa" w:w="1587"/>
          </w:tcPr>
          <w:p>
            <w:r/>
            <w:r>
              <w:rPr>
                <w:b w:val="0"/>
                <w:sz w:val="18"/>
              </w:rPr>
              <w:t>药物基因组学</w:t>
            </w:r>
          </w:p>
        </w:tc>
        <w:tc>
          <w:tcPr>
            <w:tcW w:type="dxa" w:w="2494"/>
          </w:tcPr>
          <w:p>
            <w:r/>
            <w:r>
              <w:rPr>
                <w:b w:val="0"/>
                <w:sz w:val="18"/>
              </w:rPr>
              <w:t>代谢物/原型比作为活性表型代理；表型转换概念</w:t>
            </w:r>
          </w:p>
        </w:tc>
        <w:tc>
          <w:tcPr>
            <w:tcW w:type="dxa" w:w="2494"/>
          </w:tcPr>
          <w:p>
            <w:r/>
            <w:r>
              <w:rPr>
                <w:b w:val="0"/>
                <w:sz w:val="18"/>
              </w:rPr>
              <w:t>阈值需在本院人群重新标定，不可直接套用欧洲人群切点</w:t>
            </w:r>
          </w:p>
        </w:tc>
      </w:tr>
      <w:tr>
        <w:tc>
          <w:tcPr>
            <w:tcW w:type="dxa" w:w="794"/>
          </w:tcPr>
          <w:p>
            <w:r/>
            <w:r>
              <w:rPr>
                <w:b w:val="0"/>
                <w:sz w:val="18"/>
              </w:rPr>
              <w:t>二</w:t>
            </w:r>
          </w:p>
        </w:tc>
        <w:tc>
          <w:tcPr>
            <w:tcW w:type="dxa" w:w="1928"/>
          </w:tcPr>
          <w:p>
            <w:r/>
            <w:r>
              <w:rPr>
                <w:b w:val="0"/>
                <w:sz w:val="18"/>
              </w:rPr>
              <w:t>合并用药组合未知</w:t>
            </w:r>
          </w:p>
        </w:tc>
        <w:tc>
          <w:tcPr>
            <w:tcW w:type="dxa" w:w="1587"/>
          </w:tcPr>
          <w:p>
            <w:r/>
            <w:r>
              <w:rPr>
                <w:b w:val="0"/>
                <w:sz w:val="18"/>
              </w:rPr>
              <w:t>卫生信息学</w:t>
            </w:r>
          </w:p>
        </w:tc>
        <w:tc>
          <w:tcPr>
            <w:tcW w:type="dxa" w:w="2494"/>
          </w:tcPr>
          <w:p>
            <w:r/>
            <w:r>
              <w:rPr>
                <w:b w:val="0"/>
                <w:sz w:val="18"/>
              </w:rPr>
              <w:t>共处方关联挖掘以系统枚举真实组合</w:t>
            </w:r>
          </w:p>
        </w:tc>
        <w:tc>
          <w:tcPr>
            <w:tcW w:type="dxa" w:w="2494"/>
          </w:tcPr>
          <w:p>
            <w:r/>
            <w:r>
              <w:rPr>
                <w:b w:val="0"/>
                <w:sz w:val="18"/>
              </w:rPr>
              <w:t>挖掘结果是协变量构造步骤，不构成因果假设</w:t>
            </w:r>
          </w:p>
        </w:tc>
      </w:tr>
      <w:tr>
        <w:tc>
          <w:tcPr>
            <w:tcW w:type="dxa" w:w="794"/>
          </w:tcPr>
          <w:p>
            <w:r/>
            <w:r>
              <w:rPr>
                <w:b w:val="0"/>
                <w:sz w:val="18"/>
              </w:rPr>
              <w:t>三</w:t>
            </w:r>
          </w:p>
        </w:tc>
        <w:tc>
          <w:tcPr>
            <w:tcW w:type="dxa" w:w="1928"/>
          </w:tcPr>
          <w:p>
            <w:r/>
            <w:r>
              <w:rPr>
                <w:b w:val="0"/>
                <w:sz w:val="18"/>
              </w:rPr>
              <w:t>过程质量无基准</w:t>
            </w:r>
          </w:p>
        </w:tc>
        <w:tc>
          <w:tcPr>
            <w:tcW w:type="dxa" w:w="1587"/>
          </w:tcPr>
          <w:p>
            <w:r/>
            <w:r>
              <w:rPr>
                <w:b w:val="0"/>
                <w:sz w:val="18"/>
              </w:rPr>
              <w:t>移植与肿瘤药学</w:t>
            </w:r>
          </w:p>
        </w:tc>
        <w:tc>
          <w:tcPr>
            <w:tcW w:type="dxa" w:w="2494"/>
          </w:tcPr>
          <w:p>
            <w:r/>
            <w:r>
              <w:rPr>
                <w:b w:val="0"/>
                <w:sz w:val="18"/>
              </w:rPr>
              <w:t>个体内变异作为系统质量指标；目标窗命中率作为过程绩效指标</w:t>
            </w:r>
          </w:p>
        </w:tc>
        <w:tc>
          <w:tcPr>
            <w:tcW w:type="dxa" w:w="2494"/>
          </w:tcPr>
          <w:p>
            <w:r/>
            <w:r>
              <w:rPr>
                <w:b w:val="0"/>
                <w:sz w:val="18"/>
              </w:rPr>
              <w:t>两专科的目标窗有明确终点支撑，精神科的窗本身仍有争议，比较须限于过程而非结局</w:t>
            </w:r>
          </w:p>
        </w:tc>
      </w:tr>
      <w:tr>
        <w:tc>
          <w:tcPr>
            <w:tcW w:type="dxa" w:w="794"/>
          </w:tcPr>
          <w:p>
            <w:r/>
            <w:r>
              <w:rPr>
                <w:b w:val="0"/>
                <w:sz w:val="18"/>
              </w:rPr>
              <w:t>四</w:t>
            </w:r>
          </w:p>
        </w:tc>
        <w:tc>
          <w:tcPr>
            <w:tcW w:type="dxa" w:w="1928"/>
          </w:tcPr>
          <w:p>
            <w:r/>
            <w:r>
              <w:rPr>
                <w:b w:val="0"/>
                <w:sz w:val="18"/>
              </w:rPr>
              <w:t>体重记录不规则且缺失非随机</w:t>
            </w:r>
          </w:p>
        </w:tc>
        <w:tc>
          <w:tcPr>
            <w:tcW w:type="dxa" w:w="1587"/>
          </w:tcPr>
          <w:p>
            <w:r/>
            <w:r>
              <w:rPr>
                <w:b w:val="0"/>
                <w:sz w:val="18"/>
              </w:rPr>
              <w:t>重症医学信息学</w:t>
            </w:r>
          </w:p>
        </w:tc>
        <w:tc>
          <w:tcPr>
            <w:tcW w:type="dxa" w:w="2494"/>
          </w:tcPr>
          <w:p>
            <w:r/>
            <w:r>
              <w:rPr>
                <w:b w:val="0"/>
                <w:sz w:val="18"/>
              </w:rPr>
              <w:t>把缺失模式作为特征显式建模，而非插值为等距序列</w:t>
            </w:r>
          </w:p>
        </w:tc>
        <w:tc>
          <w:tcPr>
            <w:tcW w:type="dxa" w:w="2494"/>
          </w:tcPr>
          <w:p>
            <w:r/>
            <w:r>
              <w:rPr>
                <w:b w:val="0"/>
                <w:sz w:val="18"/>
              </w:rPr>
              <w:t>该方法为预测导向，可解释性不足，不作主估计量</w:t>
            </w:r>
          </w:p>
        </w:tc>
      </w:tr>
      <w:tr>
        <w:tc>
          <w:tcPr>
            <w:tcW w:type="dxa" w:w="794"/>
          </w:tcPr>
          <w:p>
            <w:r/>
            <w:r>
              <w:rPr>
                <w:b w:val="0"/>
                <w:sz w:val="18"/>
              </w:rPr>
              <w:t>五</w:t>
            </w:r>
          </w:p>
        </w:tc>
        <w:tc>
          <w:tcPr>
            <w:tcW w:type="dxa" w:w="1928"/>
          </w:tcPr>
          <w:p>
            <w:r/>
            <w:r>
              <w:rPr>
                <w:b w:val="0"/>
                <w:sz w:val="18"/>
              </w:rPr>
              <w:t>暴露—事件关联证据薄弱</w:t>
            </w:r>
          </w:p>
        </w:tc>
        <w:tc>
          <w:tcPr>
            <w:tcW w:type="dxa" w:w="1587"/>
          </w:tcPr>
          <w:p>
            <w:r/>
            <w:r>
              <w:rPr>
                <w:b w:val="0"/>
                <w:sz w:val="18"/>
              </w:rPr>
              <w:t>肿瘤毒性建模与药物警戒</w:t>
            </w:r>
          </w:p>
        </w:tc>
        <w:tc>
          <w:tcPr>
            <w:tcW w:type="dxa" w:w="2494"/>
          </w:tcPr>
          <w:p>
            <w:r/>
            <w:r>
              <w:rPr>
                <w:b w:val="0"/>
                <w:sz w:val="18"/>
              </w:rPr>
              <w:t>连续暴露建模；剔除合并用药后复核信号</w:t>
            </w:r>
          </w:p>
        </w:tc>
        <w:tc>
          <w:tcPr>
            <w:tcW w:type="dxa" w:w="2494"/>
          </w:tcPr>
          <w:p>
            <w:r/>
            <w:r>
              <w:rPr>
                <w:b w:val="0"/>
                <w:sz w:val="18"/>
              </w:rPr>
              <w:t>自发报告库存在报告偏倚，仅作平行信号源，不与院内估计定量合成</w:t>
            </w:r>
          </w:p>
        </w:tc>
      </w:tr>
    </w:tbl>
    <w:p/>
    <w:p>
      <w:pPr>
        <w:pStyle w:val="Heading2"/>
      </w:pPr>
      <w:r>
        <w:rPr>
          <w:b w:val="0"/>
          <w:i w:val="0"/>
        </w:rPr>
        <w:t>七、字段使用总表</w:t>
      </w:r>
    </w:p>
    <w:p>
      <w:r>
        <w:rPr>
          <w:b w:val="0"/>
          <w:i w:val="0"/>
        </w:rPr>
        <w:t>以下按字段说明其在各方向中的具体用法，包括必须施加的预处理。该表可直接作为向医院信息科提出数据需求时的附件。</w:t>
      </w:r>
    </w:p>
    <w:tbl>
      <w:tblPr>
        <w:tblStyle w:val="LightGrid-Accent1"/>
        <w:tblW w:type="auto" w:w="0"/>
        <w:jc w:val="center"/>
        <w:tblLook w:firstColumn="1" w:firstRow="1" w:lastColumn="0" w:lastRow="0" w:noHBand="0" w:noVBand="1" w:val="04A0"/>
      </w:tblPr>
      <w:tblGrid>
        <w:gridCol w:w="2323"/>
        <w:gridCol w:w="2323"/>
        <w:gridCol w:w="2323"/>
        <w:gridCol w:w="2323"/>
      </w:tblGrid>
      <w:tr>
        <w:tc>
          <w:tcPr>
            <w:tcW w:type="dxa" w:w="2268"/>
          </w:tcPr>
          <w:p>
            <w:r/>
            <w:r>
              <w:rPr>
                <w:b/>
                <w:sz w:val="18"/>
              </w:rPr>
              <w:t>字段</w:t>
            </w:r>
          </w:p>
        </w:tc>
        <w:tc>
          <w:tcPr>
            <w:tcW w:type="dxa" w:w="1134"/>
          </w:tcPr>
          <w:p>
            <w:r/>
            <w:r>
              <w:rPr>
                <w:b/>
                <w:sz w:val="18"/>
              </w:rPr>
              <w:t>所在表</w:t>
            </w:r>
          </w:p>
        </w:tc>
        <w:tc>
          <w:tcPr>
            <w:tcW w:type="dxa" w:w="2608"/>
          </w:tcPr>
          <w:p>
            <w:r/>
            <w:r>
              <w:rPr>
                <w:b/>
                <w:sz w:val="18"/>
              </w:rPr>
              <w:t>用途</w:t>
            </w:r>
          </w:p>
        </w:tc>
        <w:tc>
          <w:tcPr>
            <w:tcW w:type="dxa" w:w="3288"/>
          </w:tcPr>
          <w:p>
            <w:r/>
            <w:r>
              <w:rPr>
                <w:b/>
                <w:sz w:val="18"/>
              </w:rPr>
              <w:t>必须的预处理</w:t>
            </w:r>
          </w:p>
        </w:tc>
      </w:tr>
      <w:tr>
        <w:tc>
          <w:tcPr>
            <w:tcW w:type="dxa" w:w="2268"/>
          </w:tcPr>
          <w:p>
            <w:r/>
            <w:r>
              <w:rPr>
                <w:b w:val="0"/>
                <w:sz w:val="18"/>
              </w:rPr>
              <w:t>TEST_RESULT / PROJECT_NAME</w:t>
            </w:r>
          </w:p>
        </w:tc>
        <w:tc>
          <w:tcPr>
            <w:tcW w:type="dxa" w:w="1134"/>
          </w:tcPr>
          <w:p>
            <w:r/>
            <w:r>
              <w:rPr>
                <w:b w:val="0"/>
                <w:sz w:val="18"/>
              </w:rPr>
              <w:t>检验</w:t>
            </w:r>
          </w:p>
        </w:tc>
        <w:tc>
          <w:tcPr>
            <w:tcW w:type="dxa" w:w="2608"/>
          </w:tcPr>
          <w:p>
            <w:r/>
            <w:r>
              <w:rPr>
                <w:b w:val="0"/>
                <w:sz w:val="18"/>
              </w:rPr>
              <w:t>暴露主变量；代谢比与 C/D 的分子</w:t>
            </w:r>
          </w:p>
        </w:tc>
        <w:tc>
          <w:tcPr>
            <w:tcW w:type="dxa" w:w="3288"/>
          </w:tcPr>
          <w:p>
            <w:r/>
            <w:r>
              <w:rPr>
                <w:b w:val="0"/>
                <w:sz w:val="18"/>
              </w:rPr>
              <w:t>先执行总量恒等式校验；三个被测物按项目名分列</w:t>
            </w:r>
          </w:p>
        </w:tc>
      </w:tr>
      <w:tr>
        <w:tc>
          <w:tcPr>
            <w:tcW w:type="dxa" w:w="2268"/>
          </w:tcPr>
          <w:p>
            <w:r/>
            <w:r>
              <w:rPr>
                <w:b w:val="0"/>
                <w:sz w:val="18"/>
              </w:rPr>
              <w:t>REFFR_SCOPE</w:t>
            </w:r>
          </w:p>
        </w:tc>
        <w:tc>
          <w:tcPr>
            <w:tcW w:type="dxa" w:w="1134"/>
          </w:tcPr>
          <w:p>
            <w:r/>
            <w:r>
              <w:rPr>
                <w:b w:val="0"/>
                <w:sz w:val="18"/>
              </w:rPr>
              <w:t>检验</w:t>
            </w:r>
          </w:p>
        </w:tc>
        <w:tc>
          <w:tcPr>
            <w:tcW w:type="dxa" w:w="2608"/>
          </w:tcPr>
          <w:p>
            <w:r/>
            <w:r>
              <w:rPr>
                <w:b w:val="0"/>
                <w:sz w:val="18"/>
              </w:rPr>
              <w:t>超范围判定的依据（随行给出，无需外部查表）</w:t>
            </w:r>
          </w:p>
        </w:tc>
        <w:tc>
          <w:tcPr>
            <w:tcW w:type="dxa" w:w="3288"/>
          </w:tcPr>
          <w:p>
            <w:r/>
            <w:r>
              <w:rPr>
                <w:b w:val="0"/>
                <w:sz w:val="18"/>
              </w:rPr>
              <w:t>按连字符拆分上下限；代谢物行无范围，属正常</w:t>
            </w:r>
          </w:p>
        </w:tc>
      </w:tr>
      <w:tr>
        <w:tc>
          <w:tcPr>
            <w:tcW w:type="dxa" w:w="2268"/>
          </w:tcPr>
          <w:p>
            <w:r/>
            <w:r>
              <w:rPr>
                <w:b w:val="0"/>
                <w:sz w:val="18"/>
              </w:rPr>
              <w:t>TEST_DATE / APPLY_DATE</w:t>
            </w:r>
          </w:p>
        </w:tc>
        <w:tc>
          <w:tcPr>
            <w:tcW w:type="dxa" w:w="1134"/>
          </w:tcPr>
          <w:p>
            <w:r/>
            <w:r>
              <w:rPr>
                <w:b w:val="0"/>
                <w:sz w:val="18"/>
              </w:rPr>
              <w:t>检验</w:t>
            </w:r>
          </w:p>
        </w:tc>
        <w:tc>
          <w:tcPr>
            <w:tcW w:type="dxa" w:w="2608"/>
          </w:tcPr>
          <w:p>
            <w:r/>
            <w:r>
              <w:rPr>
                <w:b w:val="0"/>
                <w:sz w:val="18"/>
              </w:rPr>
              <w:t>时间零点；距剂量变更天数的终点</w:t>
            </w:r>
          </w:p>
        </w:tc>
        <w:tc>
          <w:tcPr>
            <w:tcW w:type="dxa" w:w="3288"/>
          </w:tcPr>
          <w:p>
            <w:r/>
            <w:r>
              <w:rPr>
                <w:b w:val="0"/>
                <w:sz w:val="18"/>
              </w:rPr>
              <w:t>按日/月/年解析；45.5% 的取值无法自证次序</w:t>
            </w:r>
          </w:p>
        </w:tc>
      </w:tr>
      <w:tr>
        <w:tc>
          <w:tcPr>
            <w:tcW w:type="dxa" w:w="2268"/>
          </w:tcPr>
          <w:p>
            <w:r/>
            <w:r>
              <w:rPr>
                <w:b w:val="0"/>
                <w:sz w:val="18"/>
              </w:rPr>
              <w:t>DOSAGE / DOSAGE_UNIT</w:t>
            </w:r>
          </w:p>
        </w:tc>
        <w:tc>
          <w:tcPr>
            <w:tcW w:type="dxa" w:w="1134"/>
          </w:tcPr>
          <w:p>
            <w:r/>
            <w:r>
              <w:rPr>
                <w:b w:val="0"/>
                <w:sz w:val="18"/>
              </w:rPr>
              <w:t>医嘱记录</w:t>
            </w:r>
          </w:p>
        </w:tc>
        <w:tc>
          <w:tcPr>
            <w:tcW w:type="dxa" w:w="2608"/>
          </w:tcPr>
          <w:p>
            <w:r/>
            <w:r>
              <w:rPr>
                <w:b w:val="0"/>
                <w:sz w:val="18"/>
              </w:rPr>
              <w:t>日剂量的数值部分</w:t>
            </w:r>
          </w:p>
        </w:tc>
        <w:tc>
          <w:tcPr>
            <w:tcW w:type="dxa" w:w="3288"/>
          </w:tcPr>
          <w:p>
            <w:r/>
            <w:r>
              <w:rPr>
                <w:b w:val="0"/>
                <w:sz w:val="18"/>
              </w:rPr>
              <w:t>单位为克者为中药饮片（389 行），毫克者为西药（81 行），须分流</w:t>
            </w:r>
          </w:p>
        </w:tc>
      </w:tr>
      <w:tr>
        <w:tc>
          <w:tcPr>
            <w:tcW w:type="dxa" w:w="2268"/>
          </w:tcPr>
          <w:p>
            <w:r/>
            <w:r>
              <w:rPr>
                <w:b w:val="0"/>
                <w:sz w:val="18"/>
              </w:rPr>
              <w:t>FREQUENCY</w:t>
            </w:r>
          </w:p>
        </w:tc>
        <w:tc>
          <w:tcPr>
            <w:tcW w:type="dxa" w:w="1134"/>
          </w:tcPr>
          <w:p>
            <w:r/>
            <w:r>
              <w:rPr>
                <w:b w:val="0"/>
                <w:sz w:val="18"/>
              </w:rPr>
              <w:t>医嘱记录</w:t>
            </w:r>
          </w:p>
        </w:tc>
        <w:tc>
          <w:tcPr>
            <w:tcW w:type="dxa" w:w="2608"/>
          </w:tcPr>
          <w:p>
            <w:r/>
            <w:r>
              <w:rPr>
                <w:b w:val="0"/>
                <w:sz w:val="18"/>
              </w:rPr>
              <w:t>日剂量的次数部分</w:t>
            </w:r>
          </w:p>
        </w:tc>
        <w:tc>
          <w:tcPr>
            <w:tcW w:type="dxa" w:w="3288"/>
          </w:tcPr>
          <w:p>
            <w:r/>
            <w:r>
              <w:rPr>
                <w:b w:val="0"/>
                <w:sz w:val="18"/>
              </w:rPr>
              <w:t>按前缀解码；后缀数字为执行时段编码，不参与次数计算</w:t>
            </w:r>
          </w:p>
        </w:tc>
      </w:tr>
      <w:tr>
        <w:tc>
          <w:tcPr>
            <w:tcW w:type="dxa" w:w="2268"/>
          </w:tcPr>
          <w:p>
            <w:r/>
            <w:r>
              <w:rPr>
                <w:b w:val="0"/>
                <w:sz w:val="18"/>
              </w:rPr>
              <w:t>MEDICATION_WAY</w:t>
            </w:r>
          </w:p>
        </w:tc>
        <w:tc>
          <w:tcPr>
            <w:tcW w:type="dxa" w:w="1134"/>
          </w:tcPr>
          <w:p>
            <w:r/>
            <w:r>
              <w:rPr>
                <w:b w:val="0"/>
                <w:sz w:val="18"/>
              </w:rPr>
              <w:t>医嘱记录</w:t>
            </w:r>
          </w:p>
        </w:tc>
        <w:tc>
          <w:tcPr>
            <w:tcW w:type="dxa" w:w="2608"/>
          </w:tcPr>
          <w:p>
            <w:r/>
            <w:r>
              <w:rPr>
                <w:b w:val="0"/>
                <w:sz w:val="18"/>
              </w:rPr>
              <w:t>剔除非用药行；区分住院用药与出院带药</w:t>
            </w:r>
          </w:p>
        </w:tc>
        <w:tc>
          <w:tcPr>
            <w:tcW w:type="dxa" w:w="3288"/>
          </w:tcPr>
          <w:p>
            <w:r/>
            <w:r>
              <w:rPr>
                <w:b w:val="0"/>
                <w:sz w:val="18"/>
              </w:rPr>
              <w:t>剔除“化验”104 行；“出院带药”25 行不计入在院暴露；煎服与先煎为中药标志</w:t>
            </w:r>
          </w:p>
        </w:tc>
      </w:tr>
      <w:tr>
        <w:tc>
          <w:tcPr>
            <w:tcW w:type="dxa" w:w="2268"/>
          </w:tcPr>
          <w:p>
            <w:r/>
            <w:r>
              <w:rPr>
                <w:b w:val="0"/>
                <w:sz w:val="18"/>
              </w:rPr>
              <w:t>START_DATETIME</w:t>
            </w:r>
          </w:p>
        </w:tc>
        <w:tc>
          <w:tcPr>
            <w:tcW w:type="dxa" w:w="1134"/>
          </w:tcPr>
          <w:p>
            <w:r/>
            <w:r>
              <w:rPr>
                <w:b w:val="0"/>
                <w:sz w:val="18"/>
              </w:rPr>
              <w:t>医嘱记录</w:t>
            </w:r>
          </w:p>
        </w:tc>
        <w:tc>
          <w:tcPr>
            <w:tcW w:type="dxa" w:w="2608"/>
          </w:tcPr>
          <w:p>
            <w:r/>
            <w:r>
              <w:rPr>
                <w:b w:val="0"/>
                <w:sz w:val="18"/>
              </w:rPr>
              <w:t>确定某剂量自哪一天起生效</w:t>
            </w:r>
          </w:p>
        </w:tc>
        <w:tc>
          <w:tcPr>
            <w:tcW w:type="dxa" w:w="3288"/>
          </w:tcPr>
          <w:p>
            <w:r/>
            <w:r>
              <w:rPr>
                <w:b/>
                <w:sz w:val="18"/>
              </w:rPr>
              <w:t>仅取日期部分</w:t>
            </w:r>
            <w:r>
              <w:rPr>
                <w:b w:val="0"/>
                <w:sz w:val="18"/>
              </w:rPr>
              <w:t>；时分秒为医嘱开立时刻，不是给药时刻</w:t>
            </w:r>
          </w:p>
        </w:tc>
      </w:tr>
      <w:tr>
        <w:tc>
          <w:tcPr>
            <w:tcW w:type="dxa" w:w="2268"/>
          </w:tcPr>
          <w:p>
            <w:r/>
            <w:r>
              <w:rPr>
                <w:b w:val="0"/>
                <w:sz w:val="18"/>
              </w:rPr>
              <w:t>LONG_D_NO</w:t>
            </w:r>
          </w:p>
        </w:tc>
        <w:tc>
          <w:tcPr>
            <w:tcW w:type="dxa" w:w="1134"/>
          </w:tcPr>
          <w:p>
            <w:r/>
            <w:r>
              <w:rPr>
                <w:b w:val="0"/>
                <w:sz w:val="18"/>
              </w:rPr>
              <w:t>医嘱记录</w:t>
            </w:r>
          </w:p>
        </w:tc>
        <w:tc>
          <w:tcPr>
            <w:tcW w:type="dxa" w:w="2608"/>
          </w:tcPr>
          <w:p>
            <w:r/>
            <w:r>
              <w:rPr>
                <w:b w:val="0"/>
                <w:sz w:val="18"/>
              </w:rPr>
              <w:t>区分长期与临时医嘱</w:t>
            </w:r>
          </w:p>
        </w:tc>
        <w:tc>
          <w:tcPr>
            <w:tcW w:type="dxa" w:w="3288"/>
          </w:tcPr>
          <w:p>
            <w:r/>
            <w:r>
              <w:rPr>
                <w:b w:val="0"/>
                <w:sz w:val="18"/>
              </w:rPr>
              <w:t>取值 0 与 FREQUENCY 为 ONCE 完全等价</w:t>
            </w:r>
          </w:p>
        </w:tc>
      </w:tr>
      <w:tr>
        <w:tc>
          <w:tcPr>
            <w:tcW w:type="dxa" w:w="2268"/>
          </w:tcPr>
          <w:p>
            <w:r/>
            <w:r>
              <w:rPr>
                <w:b w:val="0"/>
                <w:sz w:val="18"/>
              </w:rPr>
              <w:t>DRUG_NAME</w:t>
            </w:r>
          </w:p>
        </w:tc>
        <w:tc>
          <w:tcPr>
            <w:tcW w:type="dxa" w:w="1134"/>
          </w:tcPr>
          <w:p>
            <w:r/>
            <w:r>
              <w:rPr>
                <w:b w:val="0"/>
                <w:sz w:val="18"/>
              </w:rPr>
              <w:t>医嘱记录</w:t>
            </w:r>
          </w:p>
        </w:tc>
        <w:tc>
          <w:tcPr>
            <w:tcW w:type="dxa" w:w="2608"/>
          </w:tcPr>
          <w:p>
            <w:r/>
            <w:r>
              <w:rPr>
                <w:b w:val="0"/>
                <w:sz w:val="18"/>
              </w:rPr>
              <w:t>合并用药集合；同分子归一</w:t>
            </w:r>
          </w:p>
        </w:tc>
        <w:tc>
          <w:tcPr>
            <w:tcW w:type="dxa" w:w="3288"/>
          </w:tcPr>
          <w:p>
            <w:r/>
            <w:r>
              <w:rPr>
                <w:b w:val="0"/>
                <w:sz w:val="18"/>
              </w:rPr>
              <w:t>商品名与剂型须归一至通用名后再按解剖治疗化学分类打标</w:t>
            </w:r>
          </w:p>
        </w:tc>
      </w:tr>
      <w:tr>
        <w:tc>
          <w:tcPr>
            <w:tcW w:type="dxa" w:w="2268"/>
          </w:tcPr>
          <w:p>
            <w:r/>
            <w:r>
              <w:rPr>
                <w:b w:val="0"/>
                <w:sz w:val="18"/>
              </w:rPr>
              <w:t>SIGN_TYPE / RECORD_CONTENT</w:t>
            </w:r>
          </w:p>
        </w:tc>
        <w:tc>
          <w:tcPr>
            <w:tcW w:type="dxa" w:w="1134"/>
          </w:tcPr>
          <w:p>
            <w:r/>
            <w:r>
              <w:rPr>
                <w:b w:val="0"/>
                <w:sz w:val="18"/>
              </w:rPr>
              <w:t>体征</w:t>
            </w:r>
          </w:p>
        </w:tc>
        <w:tc>
          <w:tcPr>
            <w:tcW w:type="dxa" w:w="2608"/>
          </w:tcPr>
          <w:p>
            <w:r/>
            <w:r>
              <w:rPr>
                <w:b w:val="0"/>
                <w:sz w:val="18"/>
              </w:rPr>
              <w:t>代谢与心血管结局</w:t>
            </w:r>
          </w:p>
        </w:tc>
        <w:tc>
          <w:tcPr>
            <w:tcW w:type="dxa" w:w="3288"/>
          </w:tcPr>
          <w:p>
            <w:r/>
            <w:r>
              <w:rPr>
                <w:b w:val="0"/>
                <w:sz w:val="18"/>
              </w:rPr>
              <w:t>血压为复合值须拆分；已发现舒张压 7 mmHg 的不可能取值须剔除；同日重复记录须去重</w:t>
            </w:r>
          </w:p>
        </w:tc>
      </w:tr>
      <w:tr>
        <w:tc>
          <w:tcPr>
            <w:tcW w:type="dxa" w:w="2268"/>
          </w:tcPr>
          <w:p>
            <w:r/>
            <w:r>
              <w:rPr>
                <w:b w:val="0"/>
                <w:sz w:val="18"/>
              </w:rPr>
              <w:t>DIAGNOSIS_CODE</w:t>
            </w:r>
          </w:p>
        </w:tc>
        <w:tc>
          <w:tcPr>
            <w:tcW w:type="dxa" w:w="1134"/>
          </w:tcPr>
          <w:p>
            <w:r/>
            <w:r>
              <w:rPr>
                <w:b w:val="0"/>
                <w:sz w:val="18"/>
              </w:rPr>
              <w:t>诊断记录</w:t>
            </w:r>
          </w:p>
        </w:tc>
        <w:tc>
          <w:tcPr>
            <w:tcW w:type="dxa" w:w="2608"/>
          </w:tcPr>
          <w:p>
            <w:r/>
            <w:r>
              <w:rPr>
                <w:b w:val="0"/>
                <w:sz w:val="18"/>
              </w:rPr>
              <w:t>诊断分层；不良反应代理终点</w:t>
            </w:r>
          </w:p>
        </w:tc>
        <w:tc>
          <w:tcPr>
            <w:tcW w:type="dxa" w:w="3288"/>
          </w:tcPr>
          <w:p>
            <w:r/>
            <w:r>
              <w:rPr>
                <w:b w:val="0"/>
                <w:sz w:val="18"/>
              </w:rPr>
              <w:t>按编码形态正则分流四套系统；不可依赖 TCM_TYPE 标志位单独筛选</w:t>
            </w:r>
          </w:p>
        </w:tc>
      </w:tr>
      <w:tr>
        <w:tc>
          <w:tcPr>
            <w:tcW w:type="dxa" w:w="2268"/>
          </w:tcPr>
          <w:p>
            <w:r/>
            <w:r>
              <w:rPr>
                <w:b w:val="0"/>
                <w:sz w:val="18"/>
              </w:rPr>
              <w:t>DIAGNOSTIC_NAME</w:t>
            </w:r>
          </w:p>
        </w:tc>
        <w:tc>
          <w:tcPr>
            <w:tcW w:type="dxa" w:w="1134"/>
          </w:tcPr>
          <w:p>
            <w:r/>
            <w:r>
              <w:rPr>
                <w:b w:val="0"/>
                <w:sz w:val="18"/>
              </w:rPr>
              <w:t>诊断记录</w:t>
            </w:r>
          </w:p>
        </w:tc>
        <w:tc>
          <w:tcPr>
            <w:tcW w:type="dxa" w:w="2608"/>
          </w:tcPr>
          <w:p>
            <w:r/>
            <w:r>
              <w:rPr>
                <w:b w:val="0"/>
                <w:sz w:val="18"/>
              </w:rPr>
              <w:t>代理终点的关键词匹配</w:t>
            </w:r>
          </w:p>
        </w:tc>
        <w:tc>
          <w:tcPr>
            <w:tcW w:type="dxa" w:w="3288"/>
          </w:tcPr>
          <w:p>
            <w:r/>
            <w:r>
              <w:rPr>
                <w:b w:val="0"/>
                <w:sz w:val="18"/>
              </w:rPr>
              <w:t>须先去除首尾空格：原始 27 个取值去空格后为 22 个</w:t>
            </w:r>
          </w:p>
        </w:tc>
      </w:tr>
      <w:tr>
        <w:tc>
          <w:tcPr>
            <w:tcW w:type="dxa" w:w="2268"/>
          </w:tcPr>
          <w:p>
            <w:r/>
            <w:r>
              <w:rPr>
                <w:b w:val="0"/>
                <w:sz w:val="18"/>
              </w:rPr>
              <w:t>OTHER_DIAGNOSIS_CODE/NAME</w:t>
            </w:r>
          </w:p>
        </w:tc>
        <w:tc>
          <w:tcPr>
            <w:tcW w:type="dxa" w:w="1134"/>
          </w:tcPr>
          <w:p>
            <w:r/>
            <w:r>
              <w:rPr>
                <w:b w:val="0"/>
                <w:sz w:val="18"/>
              </w:rPr>
              <w:t>病案首页</w:t>
            </w:r>
          </w:p>
        </w:tc>
        <w:tc>
          <w:tcPr>
            <w:tcW w:type="dxa" w:w="2608"/>
          </w:tcPr>
          <w:p>
            <w:r/>
            <w:r>
              <w:rPr>
                <w:b w:val="0"/>
                <w:sz w:val="18"/>
              </w:rPr>
              <w:t>合并症；次要代理终点</w:t>
            </w:r>
          </w:p>
        </w:tc>
        <w:tc>
          <w:tcPr>
            <w:tcW w:type="dxa" w:w="3288"/>
          </w:tcPr>
          <w:p>
            <w:r/>
            <w:r>
              <w:rPr>
                <w:b w:val="0"/>
                <w:sz w:val="18"/>
              </w:rPr>
              <w:t>竖线分隔的多值须拆分；编码与名称两列的排序规则可能不一致，须按位置而非按序号配对</w:t>
            </w:r>
          </w:p>
        </w:tc>
      </w:tr>
      <w:tr>
        <w:tc>
          <w:tcPr>
            <w:tcW w:type="dxa" w:w="2268"/>
          </w:tcPr>
          <w:p>
            <w:r/>
            <w:r>
              <w:rPr>
                <w:b w:val="0"/>
                <w:sz w:val="18"/>
              </w:rPr>
              <w:t>IN_DATE / DIS_DATE / DAY_TOTAL</w:t>
            </w:r>
          </w:p>
        </w:tc>
        <w:tc>
          <w:tcPr>
            <w:tcW w:type="dxa" w:w="1134"/>
          </w:tcPr>
          <w:p>
            <w:r/>
            <w:r>
              <w:rPr>
                <w:b w:val="0"/>
                <w:sz w:val="18"/>
              </w:rPr>
              <w:t>病案首页</w:t>
            </w:r>
          </w:p>
        </w:tc>
        <w:tc>
          <w:tcPr>
            <w:tcW w:type="dxa" w:w="2608"/>
          </w:tcPr>
          <w:p>
            <w:r/>
            <w:r>
              <w:rPr>
                <w:b w:val="0"/>
                <w:sz w:val="18"/>
              </w:rPr>
              <w:t>住院窗口；轨迹分析的时间基准</w:t>
            </w:r>
          </w:p>
        </w:tc>
        <w:tc>
          <w:tcPr>
            <w:tcW w:type="dxa" w:w="3288"/>
          </w:tcPr>
          <w:p>
            <w:r/>
            <w:r>
              <w:rPr>
                <w:b w:val="0"/>
                <w:sz w:val="18"/>
              </w:rPr>
              <w:t>三者应相互校验；日期解析约定同上</w:t>
            </w:r>
          </w:p>
        </w:tc>
      </w:tr>
      <w:tr>
        <w:tc>
          <w:tcPr>
            <w:tcW w:type="dxa" w:w="2268"/>
          </w:tcPr>
          <w:p>
            <w:r/>
            <w:r>
              <w:rPr>
                <w:b w:val="0"/>
                <w:sz w:val="18"/>
              </w:rPr>
              <w:t>SEX / AGE / BIRTHDATE</w:t>
            </w:r>
          </w:p>
        </w:tc>
        <w:tc>
          <w:tcPr>
            <w:tcW w:type="dxa" w:w="1134"/>
          </w:tcPr>
          <w:p>
            <w:r/>
            <w:r>
              <w:rPr>
                <w:b w:val="0"/>
                <w:sz w:val="18"/>
              </w:rPr>
              <w:t>病案首页</w:t>
            </w:r>
          </w:p>
        </w:tc>
        <w:tc>
          <w:tcPr>
            <w:tcW w:type="dxa" w:w="2608"/>
          </w:tcPr>
          <w:p>
            <w:r/>
            <w:r>
              <w:rPr>
                <w:b w:val="0"/>
                <w:sz w:val="18"/>
              </w:rPr>
              <w:t>人口学协变量</w:t>
            </w:r>
          </w:p>
        </w:tc>
        <w:tc>
          <w:tcPr>
            <w:tcW w:type="dxa" w:w="3288"/>
          </w:tcPr>
          <w:p>
            <w:r/>
            <w:r>
              <w:rPr>
                <w:b w:val="0"/>
                <w:sz w:val="18"/>
              </w:rPr>
              <w:t>年龄字段含“岁”字须剥离；出生日期属标识信息，不得进入交付物</w:t>
            </w:r>
          </w:p>
        </w:tc>
      </w:tr>
    </w:tbl>
    <w:p/>
    <w:p>
      <w:pPr>
        <w:pStyle w:val="Heading2"/>
      </w:pPr>
      <w:r>
        <w:rPr>
          <w:b w:val="0"/>
          <w:i w:val="0"/>
        </w:rPr>
        <w:t>八、全量数据需求与治理要求</w:t>
      </w:r>
    </w:p>
    <w:p>
      <w:r>
        <w:rPr>
          <w:b w:val="0"/>
          <w:i w:val="0"/>
        </w:rPr>
        <w:t>以下是向医院信息科提出全量数据需求时应当明确写入的条目。前四项是本次抽取已暴露的问题，后三项是研究设计所需但本次抽取未包含的内容。</w:t>
      </w:r>
    </w:p>
    <w:p>
      <w:pPr>
        <w:pStyle w:val="ListBullet"/>
        <w:spacing w:after="40"/>
      </w:pPr>
      <w:r>
        <w:rPr>
          <w:b/>
          <w:i w:val="0"/>
        </w:rPr>
        <w:t>日期格式须在数据字典中固化为日/月/年，或改为 ISO 8601 输出。</w:t>
      </w:r>
      <w:r>
        <w:rPr>
          <w:b w:val="0"/>
          <w:i w:val="0"/>
        </w:rPr>
        <w:t xml:space="preserve"> 本次抽取中超过半数的时间戳无法自证次序，任何解析约定的错误都会静默重排时间线。</w:t>
      </w:r>
    </w:p>
    <w:p>
      <w:pPr>
        <w:pStyle w:val="ListBullet"/>
        <w:spacing w:after="40"/>
      </w:pPr>
      <w:r>
        <w:rPr>
          <w:b/>
          <w:i w:val="0"/>
        </w:rPr>
        <w:t>须区分医嘱开立时刻与给药执行时刻。</w:t>
      </w:r>
      <w:r>
        <w:rPr>
          <w:b w:val="0"/>
          <w:i w:val="0"/>
        </w:rPr>
        <w:t xml:space="preserve"> 现有 `START_DATETIME` 为前者，而全部暴露计算需要后者。若信息系统存有给药执行记录，应一并导出。</w:t>
      </w:r>
    </w:p>
    <w:p>
      <w:pPr>
        <w:pStyle w:val="ListBullet"/>
        <w:spacing w:after="40"/>
      </w:pPr>
      <w:r>
        <w:rPr>
          <w:b/>
          <w:i w:val="0"/>
        </w:rPr>
        <w:t>诊断编码须标注其所属编码体系。</w:t>
      </w:r>
      <w:r>
        <w:rPr>
          <w:b w:val="0"/>
          <w:i w:val="0"/>
        </w:rPr>
        <w:t xml:space="preserve"> 同一列并存四套编码，仅凭中西医标志位无法可靠分流。</w:t>
      </w:r>
    </w:p>
    <w:p>
      <w:pPr>
        <w:pStyle w:val="ListBullet"/>
        <w:spacing w:after="40"/>
      </w:pPr>
      <w:r>
        <w:rPr>
          <w:b/>
          <w:i w:val="0"/>
        </w:rPr>
        <w:t>文本字段须去除定长补白。</w:t>
      </w:r>
      <w:r>
        <w:rPr>
          <w:b w:val="0"/>
          <w:i w:val="0"/>
        </w:rPr>
        <w:t xml:space="preserve"> 同一概念因首尾空格被计为不同取值，影响一切按名称的分组。</w:t>
      </w:r>
    </w:p>
    <w:p>
      <w:pPr>
        <w:pStyle w:val="ListBullet"/>
        <w:spacing w:after="40"/>
      </w:pPr>
      <w:r>
        <w:rPr>
          <w:b/>
          <w:i w:val="0"/>
        </w:rPr>
        <w:t>采样时刻（若有记录）。</w:t>
      </w:r>
      <w:r>
        <w:rPr>
          <w:b w:val="0"/>
          <w:i w:val="0"/>
        </w:rPr>
        <w:t xml:space="preserve"> 这是唯一能把方向一从区间似然升级为精确建模的字段，其价值高于其他任何补充字段。</w:t>
      </w:r>
    </w:p>
    <w:p>
      <w:pPr>
        <w:pStyle w:val="ListBullet"/>
        <w:spacing w:after="40"/>
      </w:pPr>
      <w:r>
        <w:rPr>
          <w:b/>
          <w:i w:val="0"/>
        </w:rPr>
        <w:t>血常规检验项目。</w:t>
      </w:r>
      <w:r>
        <w:rPr>
          <w:b w:val="0"/>
          <w:i w:val="0"/>
        </w:rPr>
        <w:t xml:space="preserve"> 氯氮平的血液学毒性终点依赖于此，本次抽取的检验表不含该类项目。</w:t>
      </w:r>
    </w:p>
    <w:p>
      <w:pPr>
        <w:pStyle w:val="ListBullet"/>
        <w:spacing w:after="40"/>
      </w:pPr>
      <w:r>
        <w:rPr>
          <w:b/>
          <w:i w:val="0"/>
        </w:rPr>
        <w:t>症状量表评分（如阳性与阴性症状量表）。</w:t>
      </w:r>
      <w:r>
        <w:rPr>
          <w:b w:val="0"/>
          <w:i w:val="0"/>
        </w:rPr>
        <w:t xml:space="preserve"> 本次抽取无任何疗效结局字段，这是唯一无法由现有字段代理的缺口——它决定了“TDM 是否改善结局”这一问题本身在本数据上不可回答。</w:t>
      </w:r>
    </w:p>
    <w:p>
      <w:pPr>
        <w:pStyle w:val="Heading2"/>
      </w:pPr>
      <w:r>
        <w:rPr>
          <w:b w:val="0"/>
          <w:i w:val="0"/>
        </w:rPr>
        <w:t>九、局限</w:t>
      </w:r>
    </w:p>
    <w:p>
      <w:pPr>
        <w:pStyle w:val="ListBullet"/>
        <w:spacing w:after="40"/>
      </w:pPr>
      <w:r>
        <w:rPr>
          <w:b/>
          <w:i w:val="0"/>
        </w:rPr>
        <w:t>本抽取不是研究人群。</w:t>
      </w:r>
      <w:r>
        <w:rPr>
          <w:b w:val="0"/>
          <w:i w:val="0"/>
        </w:rPr>
        <w:t xml:space="preserve"> 全部实测数值为管线存在性证明，其置信区间无实质意义，不得作为总体估计引用。</w:t>
      </w:r>
    </w:p>
    <w:p>
      <w:pPr>
        <w:pStyle w:val="ListBullet"/>
        <w:spacing w:after="40"/>
      </w:pPr>
      <w:r>
        <w:rPr>
          <w:b/>
          <w:i w:val="0"/>
        </w:rPr>
        <w:t>疗效结局缺位。</w:t>
      </w:r>
      <w:r>
        <w:rPr>
          <w:b w:val="0"/>
          <w:i w:val="0"/>
        </w:rPr>
        <w:t xml:space="preserve"> 五张表中无任何症状量表或功能评分字段，因此“浓度指导给药是否改善临床结局”这一核心问题在本数据上不可回答。本报告的五个方向均绕开了该问题，而非以代理终点冒充回答。</w:t>
      </w:r>
    </w:p>
    <w:p>
      <w:pPr>
        <w:pStyle w:val="ListBullet"/>
        <w:spacing w:after="40"/>
      </w:pPr>
      <w:r>
        <w:rPr>
          <w:b/>
          <w:i w:val="0"/>
        </w:rPr>
        <w:t>给药执行记录缺位。</w:t>
      </w:r>
      <w:r>
        <w:rPr>
          <w:b w:val="0"/>
          <w:i w:val="0"/>
        </w:rPr>
        <w:t xml:space="preserve"> “医嘱即暴露”的假设无法在本数据内部验证，S2 测出浓度而无在用医嘱即为反例。所有暴露变量均带此假设，须在各研究的局限中申明。</w:t>
      </w:r>
    </w:p>
    <w:p>
      <w:pPr>
        <w:pStyle w:val="ListBullet"/>
        <w:spacing w:after="40"/>
      </w:pPr>
      <w:r>
        <w:rPr>
          <w:b/>
          <w:i w:val="0"/>
        </w:rPr>
        <w:t>中药暴露不可量化。</w:t>
      </w:r>
      <w:r>
        <w:rPr>
          <w:b w:val="0"/>
          <w:i w:val="0"/>
        </w:rPr>
        <w:t xml:space="preserve"> 饮片以复方煎服入药，配伍与煎煮方式使单体暴露无法从医嘱推算，故中药相互作用未列为研究方向，仅以方剂数与饮片总克重作为协变量参与调整。</w:t>
      </w:r>
    </w:p>
    <w:p>
      <w:pPr>
        <w:pStyle w:val="ListBullet"/>
        <w:spacing w:after="40"/>
      </w:pPr>
      <w:r>
        <w:rPr>
          <w:b/>
          <w:i w:val="0"/>
        </w:rPr>
        <w:t>吸烟状态缺位。</w:t>
      </w:r>
      <w:r>
        <w:rPr>
          <w:b w:val="0"/>
          <w:i w:val="0"/>
        </w:rPr>
        <w:t xml:space="preserve"> 吸烟经 CYP1A2 影响氯氮平与奥氮平代谢，本数据无该字段，列为未测混杂。</w:t>
      </w:r>
    </w:p>
    <w:p>
      <w:pPr>
        <w:pStyle w:val="ListBullet"/>
        <w:spacing w:after="40"/>
      </w:pPr>
      <w:r>
        <w:rPr>
          <w:b/>
          <w:i w:val="0"/>
        </w:rPr>
        <w:t>引文核验的分层。</w:t>
      </w:r>
      <w:r>
        <w:rPr>
          <w:b w:val="0"/>
          <w:i w:val="0"/>
        </w:rPr>
        <w:t xml:space="preserve"> 标记为 ✔ 的事实由本报告作者直接核验；标记为 ○ 的由平台运行的证据检索给出、本次未逐条复核，引用前应自行核对。</w:t>
      </w:r>
    </w:p>
    <w:p>
      <w:pPr>
        <w:pStyle w:val="Heading2"/>
      </w:pPr>
      <w:r>
        <w:rPr>
          <w:b w:val="0"/>
          <w:i w:val="0"/>
        </w:rPr>
        <w:t>十、实施次序</w:t>
      </w:r>
    </w:p>
    <w:p>
      <w:r>
        <w:rPr>
          <w:b w:val="0"/>
          <w:i w:val="0"/>
        </w:rPr>
        <w:t>本报告提出的五个方向按可立即启动的程度排序为：方向一与方向三所需字段均已齐备，可在获得全量数据后立即开展；方向二需先完成合并用药的解剖治疗化学分类归一；方向四需确认体重记录的覆盖率；方向五需补充血常规项目方能覆盖氯氮平的关键终点。五个方向共享同一套暴露变量构造，因此方向一的暴露重建管线是其余四个方向的前置工作，应优先实施。</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36" w:lineRule="auto"/>
    </w:pPr>
    <w:rPr>
      <w:rFonts w:ascii="Times New Roman" w:hAnsi="Times New Roman" w:eastAsia="宋体"/>
      <w:b w:val="0"/>
      <w:color w:val="1F1D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Times New Roman" w:hAnsi="Times New Roman" w:eastAsia="黑体"/>
      <w:b/>
      <w:bCs/>
      <w:color w:val="C15F3C"/>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Times New Roman" w:hAnsi="Times New Roman" w:eastAsia="黑体"/>
      <w:b/>
      <w:bCs/>
      <w:color w:val="1F1D1B"/>
      <w:sz w:val="26"/>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heme="majorHAnsi" w:eastAsiaTheme="majorEastAsia" w:hAnsiTheme="majorHAnsi" w:cstheme="majorBidi" w:ascii="Times New Roman" w:hAnsi="Times New Roman" w:eastAsia="黑体"/>
      <w:b/>
      <w:bCs/>
      <w:color w:val="5A54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