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Benchmark fixture only; not real organizational policy or clinical evidence.</w:t>
      </w:r>
    </w:p>
    <w:p>
      <w:r>
        <w:t xml:space="preserve">Topic: queue.</w:t>
      </w:r>
    </w:p>
    <w:p>
      <w:r>
        <w:t xml:space="preserve">Which queue handles failed jobs? Answer: recovery-low.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Authored policy fixture</dc:title>
  <dc:creator>EviMed benchmark</dc:creator>
  <cp:lastModifiedBy>Un-named</cp:lastModifiedBy>
  <cp:revision>1</cp:revision>
  <dcterms:created xsi:type="dcterms:W3CDTF">2026-10-23T12:22:30.800Z</dcterms:created>
  <dcterms:modified xsi:type="dcterms:W3CDTF">2026-10-23T12:22:30.800Z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