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差旅费报销制度</w:t>
      </w:r>
    </w:p>
    <w:p>
      <w:r>
        <w:t>第一条　出差须提前在 OA 系统提交出差申请，经部门总监审批后方可订票。</w:t>
      </w:r>
    </w:p>
    <w:p>
      <w:r>
        <w:t>第二条　住宿标准：一线城市每晚不超过 600 元，其他城市每晚不超过 400 元。</w:t>
      </w:r>
    </w:p>
    <w:p>
      <w:r>
        <w:t>第三条　报销时限：出差结束后 15 个自然日内提交报销单和全部发票原件，逾期不予受理。</w:t>
      </w:r>
    </w:p>
    <w:p>
      <w:r>
        <w:t>第四条　交通：高铁二等座、经济舱机票可全额报销；商务座需总经理书面批准。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