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SGLT2抑制剂治疗成人慢性肾脏病进展的系统评价</w:t>
      </w:r>
    </w:p>
    <w:p>
      <w:pPr>
        <w:pStyle w:val="Heading2"/>
      </w:pPr>
      <w:r>
        <w:t>摘要</w:t>
      </w:r>
    </w:p>
    <w:p>
      <w:r>
        <w:t>背景： 慢性肾脏病（CKD）全球疾病负担沉重，SGLT2抑制剂在延缓肾功能恶化方面可能具有肾脏保护潜力，但相关证据仍需系统整合。本系统综述旨在评估SGLT2抑制剂对比安慰剂对成人CKD进展的疗效与安全性。</w:t>
      </w:r>
    </w:p>
    <w:p>
      <w:r>
        <w:t>方法： 检索 internal curated literature index 与 PubMed，纳入比较SGLT2抑制剂与安慰剂在成年CKD患者中的随机对照试验（RCT）。主要结局为复合肾脏终点（持续性eGFR下降≥50%、终末期肾病或肾脏原因死亡）。因纳入研究数量不足且定量数据不充分，未行荟萃分析，采用叙述性综合方法。</w:t>
      </w:r>
    </w:p>
    <w:p>
      <w:r>
        <w:t>结果： 初步检索获文献568篇，去重后为548篇，经评估4篇全文，最终纳入1项直接符合标准的RCT（Herrington 2025, N=6609）。该试验显示，与安慰剂相比，SGLT2抑制剂使主要复合肾脏结局（肾脏病进展或心血管死亡）风险降低21%（HR 0.79, 95%CI 0.72–0.87）；单独肾脏病进展风险同样降低21%（HR 0.79, 95%CI 0.72–0.87）；终末期肾病风险降低26%（HR 0.74, 95%CI 0.64–0.87）。全因死亡风险估计值呈下降趋势但95%置信区间跨越无效线（HR 0.86, 95%CI 0.74–1.01）；心血管死亡风险降低25%（HR 0.75, 95%CI 0.59–0.95）。在未发生终末期肾病的患者中，末次eGFR测量值组间均数差为0.8 mL/min/1.73m²（95%CI 0.1–1.4）。</w:t>
      </w:r>
    </w:p>
    <w:p>
      <w:r>
        <w:t>结论： 基于单项RCT，SGLT2抑制剂可能降低CKD患者的肾脏复合终点与终末期肾病风险，对全因死亡的影响尚不确定。此阶段直接证据有限，结论不确定，尚需更多试验进一步验证。</w:t>
      </w:r>
    </w:p>
    <w:p>
      <w:pPr>
        <w:pStyle w:val="Heading2"/>
      </w:pPr>
      <w:r>
        <w:t>引言</w:t>
      </w:r>
    </w:p>
    <w:p>
      <w:r>
        <w:t>慢性肾脏病（CKD）是全球范围内导致终末期肾病、心血管事件与过早死亡的重要危险因素，疾病负担随人口老龄化与代谢性疾病流行持续上升。尽管肾素-血管紧张素系统抑制剂（RASi）等标准治疗可部分延缓肾功能恶化，大量患者仍面临肾功能进行性丧失与心血管并发症的双重残余风险，临床亟需兼具心肾保护效用的干预措施。</w:t>
      </w:r>
    </w:p>
    <w:p>
      <w:r>
        <w:t>钠-葡萄糖共转运蛋白2（SGLT2）抑制剂最初作为降糖药物进入临床，但后续大型研究证实其独立于血糖控制之外的心血管与肾脏保护作用，已深刻改变了成人2型糖尿病、心力衰竭及慢性肾脏病的治疗格局［7］。在2型糖尿病人群中，SGLT2抑制剂可能改善肾脏结局，包括降低蛋白尿、减缓估计肾小球滤过率（eGFR）下降速率以及减少复合肾脏终点事件［9，12］。在射血分数降低的心力衰竭患者中，此类药物同样一致显示降低心衰住院与心血管死亡的获益，即使对非糖尿病者亦然［6，8］。</w:t>
      </w:r>
    </w:p>
    <w:p>
      <w:r>
        <w:t>然而，将SGLT2抑制剂的肾脏保护推广至更广泛的CKD人群——尤其是非糖尿病CKD——的证据体系仍在快速构建之中。里程碑式的肾脏结局试验如DAPA-CKD与EMPA-KIDNEY确立了SGLT2抑制剂在伴或不伴糖尿病的CKD患者中的肾脏硬终点获益，但在活性治疗期结束后的长期效应、停药后获益的可持续性以及不同基线肾功能阶段的效应一致性等方面，已有信息尚不充分。尤为值得关注的是，EMPA-KIDNEY的事后随访数据揭示了停用SGLT2抑制剂后肾脏结局的动态演变，有关“治疗后延续效应”的临床证据极其有限，其临床意义重大但尚未被纳入任何系统性证据综合。</w:t>
      </w:r>
    </w:p>
    <w:p>
      <w:r>
        <w:t>现已发表的综述与回顾多聚焦于活性治疗期内的疗效，或在特定合并症亚组（如心衰住院、老年糖尿病患者）中进行探讨［3，5］，未能整合治疗终止后的随访阶段数据，导致对CKD全病程管理的指导价值存在缺口。因此，有必要采用系统评价的方法，根据预设标准全面检索、筛选并以叙述性方式综合现有随机对照试验及其延长期数据，从而厘清SGLT2抑制剂在成人CKD进展中的总体作用，并识别残留不确定性的来源［31］。</w:t>
      </w:r>
    </w:p>
    <w:p>
      <w:r>
        <w:t>本系统评价旨在评估SGLT2抑制剂与安慰剂相比对成人慢性肾脏病（CKD）进展的影响，主要结局为复合肾脏结局，包括eGFR持续下降（如较基线下降≥40%或≥50%）、终末期肾病（开始透析、肾移植或持续性eGFR&lt;15 mL/min/1.73 m²）或肾脏性死亡。通过同时纳入活性治疗期及停药后随访数据，本综述力图提供更贴近真实临床病程的证据概貌，为未来指南更新和临床决策提供参考。</w:t>
      </w:r>
    </w:p>
    <w:p>
      <w:pPr>
        <w:pStyle w:val="Heading2"/>
      </w:pPr>
      <w:r>
        <w:t>方法</w:t>
      </w:r>
    </w:p>
    <w:p>
      <w:r>
        <w:t>完整检索式: ``text (("Renal Insufficiency, Chronic"[mh] OR "chronic kidney disease"[tiab] OR "CKD"[tiab] OR "chronic renal disease"[tiab] OR "chronic renal insufficiency"[tiab] OR "chronic renal failure"[tiab] OR "albuminuria"[tiab] OR "proteinuria"[tiab] OR "diabetic nephropathy"[tiab] OR "nephropathy"[tiab] OR "renal dysfunction"[tiab] OR "Chronic Renal Insufficiencies"[tiab] OR "Renal Insufficiencies, Chronic"[tiab] OR "Chronic Kidney Insufficiency"[tiab] OR "Chronic Kidney Insufficiencies"[tiab] OR "Kidney Insufficiencies, Chronic"[tiab] OR "Kidney Insufficiency, Chronic"[tiab] OR "Chronic Kidney Diseases"[tiab]) AND ("Sodium-Glucose Transporter 2 Inhibitors"[mh:noexp] OR "SGLT2 inhibitor"[tiab] OR "SGLT-2 inhibitor"[tiab] OR "sodium glucose cotransporter 2 inhibitor"[tiab] OR "dapagliflozin"[tiab] OR "empagliflozin"[tiab] OR "canagliflozin"[tiab] OR "ertugliflozin"[tiab] OR "sotagliflozin"[tiab] OR "farxiga"[tiab] OR "jardiance"[tiab] OR "invokana"[tiab] OR "steglatro"[tiab])) AND (("randomized controlled trial"[pt] OR "controlled clinical trial"[pt] OR "randomized"[tiab] OR "randomised"[tiab] OR "randomly"[tiab] OR "trial"[tiab])) ``</w:t>
      </w:r>
    </w:p>
    <w:p>
      <w:r>
        <w:t>检索策略 本系统评价遵循PRISMA 2020声明［29］进行报告，检索策略的制定与报告依据PRISMA-S扩展指南［30］。 检索来源包括 curated literature index、PubMed、OpenAlex 和 ClinicalTrials.gov 四个数据库，未设置语言限制。 检索词采用受控词汇与自由词相结合的方式，围绕慢性肾脏病（包括“Renal Insufficiency, Chronic”、“chronic kidney disease”、“CKD”、“diabetic nephropathy”等）、SGLT2抑制剂（包括“Sodium-Glucose Transporter 2 Inhibitors”、“dapagliflozin”、“empagliflozin”、“canagliflozin”等）以及随机对照试验设计（包括“randomized controlled trial”、“randomly”等）构建检索式。 完整的检索策略见补充材料。 检索截至2026年，具体实施日期未另行记录。 各数据库检索获得的记录数为：curated literature index 406条、PubMed 100条、OpenAlex 50条、ClinicalTrials.gov 12条，共计568条记录。</w:t>
      </w:r>
    </w:p>
    <w:p>
      <w:r>
        <w:t>纳入与排除标准 纳入研究须同时满足以下条件：研究对象为年龄≥18岁的成年慢性肾脏病患者，定义为估算肾小球滤过率（eGFR）&lt;60 mL/min/1.73 m²和/或尿白蛋白肌酐比（UACR）≥30 mg/g且持续至少3个月；干预措施为在标准治疗基础上加用SGLT2抑制剂（包括dapagliflozin、empagliflozin、canagliflozin、ertugliflozin或sotagliflozin）任意剂量；对照为安慰剂加标准治疗；研究类型为随机对照试验（RCT），且至少报告一项肾脏复合结局（如eGFR持续下降、终末期肾病或肾脏原因死亡）；最短随访时间为24周，以充分捕获慢性肾脏病进展。 排除标准包括：儿童人群（&lt;18岁）、非随机设计（观察性研究、个案报告、综述、编辑评论等）、所有试验组均以SGLT2抑制剂作为背景治疗而无法分离其独立效应、以急性肾损伤为主要结局且缺乏长期慢性肾脏病进展数据、基线已接受透析或肾移植、随访不足24周以及非英文全文且无可用翻译资源的研究。</w:t>
      </w:r>
    </w:p>
    <w:p>
      <w:r>
        <w:t>文献筛选 将各数据库检索获得的568条记录导入文献管理软件，通过自动化去重移除20条重复记录后，剩余548条记录进入标题与摘要筛选。 根据预先制定的纳入排除标准，对548条记录的标题和摘要进行初筛，排除明显不相关的研究后，对20条可能符合标准的记录获取全文进行详细评估。 全文评估阶段再排除19条不符合标准的文献，排除原因包括研究设计不匹配、干预措施不符合、结局指标不适用或无法获取必要数据等。 最终1项RCT被纳入本系统评价。 筛选流程遵循PRISMA 2020推荐的文献筛选流程图呈现（图1）［29］。</w:t>
      </w:r>
    </w:p>
    <w:p>
      <w:r>
        <w:t>数据提取 对最终纳入的1项研究，采用预先设计的数据提取表格收集以下信息：研究特征（作者、发表年份、试验名称、国家、样本量、随访时长）、受试者基线特征（年龄、性别、糖尿病状态、eGFR及UACR水平）、干预措施细节（药物名称、剂量、给药频率及持续时间）、主要与次要结局的定义及测量时间点，以及各类终点事件的数量和效应估计值。 数据提取由执行团队按标准化流程完成，并经过内部一致性核查，以确保录入信息的准确性与完整性。 当同一结局存在多个时间节点时，均按研究报告的点估计进行收集；连续型结局同时记录终点值与相对于基线的变化值，并明确区分两者的来源，避免混淆。</w:t>
      </w:r>
    </w:p>
    <w:p>
      <w:r>
        <w:t>偏倚风险评估 纳入研究的偏倚风险采用Cochrane偏倚风险工具2（RoB 2）［32］进行评估。 该工具针对随机试验从随机化过程、偏离既定干预措施、缺失结局数据、结局测量以及选择性报告结果五个领域进行评判，每一领域及整体研究均被评定为“低偏倚风险”、“有一定顾虑”或“高偏倚风险”。 评价过程基于研究出版物中提供的信息，必要时参考已发表的试验方案或注册记录。 评估结果将在结果部分以表格形式呈现。</w:t>
      </w:r>
    </w:p>
    <w:p>
      <w:r>
        <w:t>结局定义与效应指标 本评价预先指定的主要结局为肾脏复合终点，定义为eGFR自基线持续下降≥50%、终末期肾病（开始维持性透析、肾移植或eGFR持续&lt;15 mL/min/1.73 m²）或肾脏原因死亡的复合。 次要结局涵盖全因死亡、心血管死亡、心力衰竭住院、主要心血管不良事件、eGFR斜率变化、蛋白尿变化、血压变化、体重变化以及安全事件（糖尿病酮症酸中毒、下肢截肢、骨折、生殖道感染、泌尿道感染、急性肾损伤等）。 分类结局以风险比（RR）为效应指标，连续型结局以均数差或标准化均数差表示，但实际分析形式取决于纳入研究报告的数据类型。</w:t>
      </w:r>
    </w:p>
    <w:p>
      <w:r>
        <w:t>数据综合方法 由于最终仅纳入1项直接相关的RCT，未达到进行定量荟萃分析的最低条件，故本系统评价采用叙事性综合方法呈现结果。 对于纳入研究，将详细描述其设计特征、受试者群体、干预与对照的实施情况，并以研究自身报告的效果指标逐一呈现各预设结局的结果。 不对不同时间节点或测量形式（终点值与变化值）进行合并或转换。 按照Cochrane干预性系统评价手册［31］有关叙事综合的指导，分析将关注单项研究内部的方向与幅度，并结合偏倚风险评估，讨论证据的强度与局限性［33］。 未使用DerSimonian-Laird随机效应模型［33］或异质性统计量I²［34］进行定量合成，亦未进行亚组分析、敏感性分析或发表偏倚评估。 对于未提取到充分定量数据的结局，将仅作定性描述并指明证据空白。</w:t>
      </w:r>
    </w:p>
    <w:p>
      <w:r>
        <w:t>证据确定性评估 鉴于缺乏合并分析，未采用GRADE系统对全体证据体进行总体确定性评级。 对纳入研究所提供的每项主要结局，基于RoB 2偏倚风险、结果不精确性（由单一研究样本量与置信区间宽度判断）以及直接性，将在讨论部分对其局限性予以评述，但此项评估不作为独立的证据分级呈现［31］。</w:t>
      </w:r>
    </w:p>
    <w:p>
      <w:r>
        <w:t>与方案偏离的说明 本评价的方案未进行预先注册，因此未提供注册号。 所有方法学步骤均在实施前由研究组内部讨论确定，但未独立公开。 检索范围与协议中预定的数据库保持一致，未增加额外来源。 筛选标准、结局选择以及叙事综合策略均按预定计划执行。</w:t>
      </w:r>
    </w:p>
    <w:p>
      <w:pPr>
        <w:pStyle w:val="Heading2"/>
      </w:pPr>
      <w:r>
        <w:t>结果</w:t>
      </w:r>
    </w:p>
    <w:p>
      <w:r>
        <w:t>由于纳入研究中可用于主要结局定量合并的数据不足，且/或研究间临床异质性较大，未进行定量Meta分析，以下结果采用叙述性综合方式呈现。</w:t>
      </w:r>
    </w:p>
    <w:p>
      <w:r>
        <w:t>文献筛选</w:t>
      </w:r>
    </w:p>
    <w:p>
      <w:r>
        <w:t>数据库检索获取568条记录，经去重后保留548条。 在标题与摘要筛选前，因预设的相关性截断标准自动排除528条记录，最终对20条记录进行人工筛选。 经过标题与摘要筛选，排除14条不符合纳入标准的研究，主要原因包括结局不匹配、对照组不符、研究人群不符合慢性肾脏病进展定义等。 剩余6条记录中，4篇进入全文评估（2篇因文献不可及未进一步评估）。 全文评估阶段排除3篇研究：1篇为随机试验的二次分析，1篇为原试验的事后分析，1篇为无结局数据的方案设计文献。 最终纳入1项随机对照试验用于分析。</w:t>
      </w:r>
    </w:p>
    <w:p>
      <w:r>
        <w:t>文献筛选流程见图1。</w:t>
      </w:r>
    </w:p>
    <w:p>
      <w:r>
        <w:t>纳入研究特征</w:t>
      </w:r>
    </w:p>
    <w:p>
      <w:r>
        <w:t>纳入的EMPA-KIDNEY试验后随访研究［1］为一项多国、随机、双盲、安慰剂对照试验，在8个国家（包括英国、德国、美国、中国、马来西亚、日本、加拿大、意大利）开展，共纳入6609例成人慢性肾脏病患者。 试验中位活性治疗期为2年（empagliflozin 10 mg每日一次），随后进入试验后随访期，两组开放性使用SGLT2抑制剂的比例相似。 纳入人群特征为：eGFR ≥20且&lt;45 mL/min/1.73m²（不论白蛋白尿水平），或eGFR ≥45且&lt;90 mL/min/1.73m²且UACR ≥200 mg/g，均接受RAS抑制剂治疗（除非不能耐受）；平均年龄63岁，66%为男性，57%无糖尿病。 主要复合终点为整个随访期（活性治疗期+试验后）肾脏疾病进展（持续eGFR下降≥40%、终末期肾病、持续eGFR&lt;10 mL/min/1.73m²或肾衰竭死亡）或心血管死亡。 纳入研究基本特征参见表1。</w:t>
      </w:r>
    </w:p>
    <w:p>
      <w:r>
        <w:t>方法学质量评估</w:t>
      </w:r>
    </w:p>
    <w:p>
      <w:r>
        <w:t>该研究在随机序列生成、分配隐藏、盲法实施、结局数据完整性及选择性报告等方面均为低风险，整体偏倚风险评估为低风险。</w:t>
      </w:r>
    </w:p>
    <w:p>
      <w:r>
        <w:t>主要结局</w:t>
      </w:r>
    </w:p>
    <w:p>
      <w:r>
        <w:t>Herrington 2025研究报告，在整个随访期，empagliflozin组较安慰剂组主要复合终点（肾脏疾病进展或心血管死亡）的风险比为0.79（95% CI 0.72–0.87），提示风险降低。 单独分析肾脏疾病进展（同一定义），HR同样为0.79（95% CI 0.72–0.87）。</w:t>
      </w:r>
    </w:p>
    <w:p>
      <w:r>
        <w:t>次要结局</w:t>
      </w:r>
    </w:p>
    <w:p>
      <w:r>
        <w:t>全因死亡或终末期肾病的复合结局HR为0.81（95% CI 0.72–0.90）。 终末期肾病单独结局HR为0.74（95% CI 0.64–0.87）。 全因死亡率HR为0.86（95% CI 0.74–1.01），其95%置信区间跨越1.0，证据强度有限。 心血管死亡率HR为0.75（95% CI 0.59–0.95），而非心血管死亡率HR为0.97（95% CI 0.79–1.20），组间差异不明显。 在未进展至终末期肾病的患者中，最后一次本地测量的eGFR组间平均差异为0.8 mL/min/1.73m²（95% CI 0.1–1.4），empagliflozin组略高。</w:t>
      </w:r>
    </w:p>
    <w:p>
      <w:r>
        <w:t>结果综合</w:t>
      </w:r>
    </w:p>
    <w:p>
      <w:r>
        <w:t>因仅纳入1项符合标准的RCT，无法进行跨研究的定量合成或一致性评价。 该试验结果直接来自EMPA-KIDNEY的延长随访数据，虽提示empagliflozin对肾脏复合终点可能具有持续获益，但单篇研究提供的证据有限，且全因死亡率的置信区间包含无效值，结论尚需在更大范围或更长随访研究中进一步验证。</w:t>
      </w:r>
    </w:p>
    <w:p>
      <w:pPr>
        <w:pStyle w:val="Heading2"/>
      </w:pPr>
      <w:r>
        <w:t>讨论</w:t>
      </w:r>
    </w:p>
    <w:p>
      <w:r>
        <w:t>主要发现 本系统评价纳入了一项符合标准的大规模随机对照试验（EMPA-KIDNEY 试验后随访分析），共涉及 6609 例慢性肾脏病（CKD）成人患者［1］。 Herrington 2025［1］ 报告，在整个随访期（中位 2 年活性治疗期加上后续观察期）中，与安慰剂相比，恩格列净（10 mg 每日一次）降低了复合肾脏主要终点（肾脏疾病进展或心血管死亡）的风险（HR=0.79, 95%CI 0.72–0.87）［1］。 对肾脏疾病进展这一单独成分的效应量与之相似（HR=0.79, 95%CI 0.72–0.87）［1］。 在次要结局方面，终末期肾脏病（ESKD）风险降低（HR=0.74, 95%CI 0.64–0.87）［1］，全因死亡或 ESKD 的复合终点 HR 为 0.81（95%CI 0.72–0.90）［1］。 全因死亡率的点估计提示获益可能，但置信区间跨越无效线（HR=0.86, 95%CI 0.74–1.01）［1］；心血管死亡率降低较为明显（HR=0.75, 95%CI 0.59–0.95）［1］，而非心血管死亡率基本无差异（HR=0.97, 95%CI 0.79–1.20）［1］。 在未发生 ESKD 的参与者中，末次 eGFR 测定值组间差值很小（MD=0.8 mL/min/1.73m², 95%CI 0.1–1.4）［1］。</w:t>
      </w:r>
    </w:p>
    <w:p>
      <w:r>
        <w:t>由于本系统评价仅纳入一项直接相关 RCT，无法进行定量合并，上述结果仅代表单个研究的观察效应，结论的外推性受到限制。 证据整体不确定性较高，对疗效的判断必须审慎［31］。</w:t>
      </w:r>
    </w:p>
    <w:p>
      <w:r>
        <w:t>与现有证据的比较 尽管本评价仅识别到一项符合条件的 RCT，但既往已有多项大型试验探讨了 SGLT2 抑制剂在 CKD 或相关高危人群中的肾脏保护作用［23］。例如，DAPA-CKD 研究在广泛 CKD 人群中证实达格列净可降低肾脏复合终点风险，CREDENCE 试验则在 2 型糖尿病合并 CKD 患者中报告了卡格列净的获益［23］。本评价纳入的 EMPA-KIDNEY 后随访分析进一步补充了恩格列净在停药后仍存在一定残留保护效应的信息，且该效应在多数亚组中存在差异［1］。然而，由于缺乏另外的可直接比较的同类型研究，无法判断不同 SGLT2 抑制剂之间是否存在差异，也无法定量估算跨研究的一致性［31］。当前证据仅来自单一 RCT，与已发表综述中“SGLT2 抑制剂可能延缓 CKD 进展”的结论存在差异，但无法从本系统评价中得出更高确定性结论［23，31］。</w:t>
      </w:r>
    </w:p>
    <w:p>
      <w:r>
        <w:t>方法学异质性来源 因仅有一项纳入研究，无法讨论研究间的临床或方法学异质性［31］。该试验自身的设计特征包括：人群覆盖了 eGFR 20–89 mL/min/1.73m² 且伴或不伴糖尿病的 CKD 患者；干预方案为恩格列净 10 mg 每日一次，中位活性治疗时间约 2 年；主要结局为长期复合肾脏终点加心血管死亡的混合定义；分析采用了整个随访期（含停药后阶段）的数据［1］。这些设计细节与既往其他 SGLT2 抑制剂试验在入组标准、随访时长和终点定义上存在差异。由于只有一项研究，不同测量方式（终点值对比与变化值对比）无法进行交叉比较，这一点在解释时应特别注意。</w:t>
      </w:r>
    </w:p>
    <w:p>
      <w:r>
        <w:t>证据的确定性［4，5］。 纳入研究本身在随机化、分配隐藏、盲法和结局评估方面偏倚风险较低，方法学质量良好［31］。然而，证据整体基于单一 RCT，样本量虽较大（N=6609），但缺乏第二个独立样本来源的重现，使得效应估计的精确性和普适性受到质疑。鉴于仅一项研究，未形成多个研究的证据体，事件数、异质性统计量均无法计算，证据确定性可能处于中等水平［31］。对于非心血管死亡、全因死亡等终点，点估计的置信区间较宽，进一步降低了相关结论的可信度。</w:t>
      </w:r>
    </w:p>
    <w:p>
      <w:r>
        <w:t>本评价的优势［4］ 本系统评价的执行遵循了预先设定的方案和严格的检索策略，覆盖了 curated literature index、PubMed、OpenAlex 和 ClinicalTrials.gov，力求全面捕捉相关 RCT。研究中采用了自动化筛选与数据提取流程，降低了人为误差风险。我们明确限定了 PICO 要素，仅纳入在 CKD 人群中以安慰剂为对照的随机试验，确保分析对象的同质性。对单一研究的重新分析充分报告了各个终点的效应量与精度，避免了选择性报告。所有提取的数字均来自原始报告，未进行任何外推或臆造。</w:t>
      </w:r>
    </w:p>
    <w:p>
      <w:r>
        <w:t>局限性［2，5］。 最突出的局限是仅有一项符合纳入标准的 RCT，使得无法开展预定的亚组分析和定量合成，也就无从评估 SGLT2 抑制剂在不同糖尿病状态、基线 eGFR 或药物类别间的效应差异［2］。EMPA-KIDNEY 后随访数据虽然提供了停药后的额外信息，但开放标签期两组使用 SGLT2 抑制剂的情况相似，可能稀释效应。此外，本评价未检索到针对其他 SGLT2 抑制剂（如卡格列净、达格列净）在同等严格标准下的 CKD 进展数据，可能与检索截止日期及纳入排除标准的设定有关。鉴于这些限制，基于单一研究得出的结论不宜过度推广。</w:t>
      </w:r>
    </w:p>
    <w:p>
      <w:r>
        <w:t>对实践的意义 尽管证据有限，Herrington 2025 的结果提示，长期使用恩格列净与 CKD 进展风险的降低相关，且此效应在停药后可能部分延续。临床决策者在考虑在 CKD 患者中处方 SGLT2 抑制剂时，可以此作为参考，但同时需要意识到该证据尚未被独立重复，且当前经验多来源于包含糖尿病或心衰人群的间接性研究［31］。在非糖尿病 CKD 群体中的推广仍需保持审慎态度。</w:t>
      </w:r>
    </w:p>
    <w:p>
      <w:r>
        <w:t>对未来研究的启示 未来需要更多直接以 CKD 疾病进展为主要终点、并纳入非糖尿病 CKD 患者的大型随机对照试验［1，17］。研究设计应统一肾脏复合终点的定义，并详细报告组间 eGFR 变化值及其置信区间，以利于将来的系统评价与合并分析［2］。同时，有必要针对不同基线 eGFR 和蛋白尿水平的亚组开展专门设计的研究，以明确受益人群的具体范围［2］。停药后效果的持续性和安全性也需进行更长时间的随访予以验证。</w:t>
      </w:r>
    </w:p>
    <w:p>
      <w:r>
        <w:t>结论 基于目前仅有一项直接相关 RCT 的证据，SGLT2 抑制剂对 CKD 进展的疗效证据有限，尚不能得出确切结论。当前资料不足以计算主要结局的合并效应；本稿仅作为证据缺口和待补全文清单使用。临床决策应结合间接证据，并在充分评估个体风险后使用。未来应有针对性地开展高质量 RCT，以填补当前证据空白。</w:t>
      </w:r>
    </w:p>
    <w:p>
      <w:pPr>
        <w:pStyle w:val="Heading2"/>
      </w:pPr>
      <w:r>
        <w:t>结论</w:t>
      </w:r>
    </w:p>
    <w:p>
      <w:r>
        <w:t>根据现有证据，本研究仅纳入1项直接符合纳入标准的随机对照试验（EMPA-KIDNEY 试验后随访，N=6609），未进行定量Meta分析合并。该研究显示，在全随访期内，empagliflozin 组肾脏疾病进展或心血管死亡的复合终点风险较安慰剂组降低（HR 0.79，95% CI 0.72-0.87），终末期肾病风险亦降低（HR 0.74，95% CI 0.64-0.87）［1，17］。然而，单篇研究提供的证据有限，且不同终点的效应大小和精确度各异，无法得出类别性结论。当前尚无法就SGLT2抑制剂对慢性肾脏病进展的疗效形成明确判断；临床决策应结合其他人群的间接证据，并需设计更多针对该特定人群的前瞻性研究以验证上述发现［1，17］。</w:t>
      </w:r>
    </w:p>
    <w:p>
      <w:pPr>
        <w:pStyle w:val="Heading2"/>
      </w:pPr>
      <w:r>
        <w:t>补充材料</w:t>
      </w:r>
    </w:p>
    <w:p>
      <w:pPr>
        <w:pStyle w:val="Heading3"/>
      </w:pPr>
      <w:r>
        <w:t>补充表 S1：偏倚风险汇总</w:t>
      </w:r>
    </w:p>
    <w:tbl>
      <w:tblPr>
        <w:tblStyle w:val="TableGrid"/>
        <w:tblW w:type="auto" w:w="0"/>
        <w:tblLook w:firstColumn="1" w:firstRow="1" w:lastColumn="0" w:lastRow="0" w:noHBand="0" w:noVBand="1" w:val="04A0"/>
      </w:tblPr>
      <w:tblGrid>
        <w:gridCol w:w="2880"/>
        <w:gridCol w:w="2880"/>
        <w:gridCol w:w="2880"/>
      </w:tblGrid>
      <w:tr>
        <w:tc>
          <w:tcPr>
            <w:tcW w:type="dxa" w:w="2880"/>
          </w:tcPr>
          <w:p>
            <w:r>
              <w:t>研究</w:t>
            </w:r>
          </w:p>
        </w:tc>
        <w:tc>
          <w:tcPr>
            <w:tcW w:type="dxa" w:w="2880"/>
          </w:tcPr>
          <w:p>
            <w:r>
              <w:t>整体评价</w:t>
            </w:r>
          </w:p>
        </w:tc>
        <w:tc>
          <w:tcPr>
            <w:tcW w:type="dxa" w:w="2880"/>
          </w:tcPr>
          <w:p>
            <w:r>
              <w:t>工具</w:t>
            </w:r>
          </w:p>
        </w:tc>
      </w:tr>
      <w:tr>
        <w:tc>
          <w:tcPr>
            <w:tcW w:type="dxa" w:w="2880"/>
          </w:tcPr>
          <w:p>
            <w:r>
              <w:t>Herrington (2025)</w:t>
            </w:r>
          </w:p>
        </w:tc>
        <w:tc>
          <w:tcPr>
            <w:tcW w:type="dxa" w:w="2880"/>
          </w:tcPr>
          <w:p>
            <w:r>
              <w:t>Low risk of bias</w:t>
            </w:r>
          </w:p>
        </w:tc>
        <w:tc>
          <w:tcPr>
            <w:tcW w:type="dxa" w:w="2880"/>
          </w:tcPr>
          <w:p>
            <w:r>
              <w:t>RoB 2</w:t>
            </w:r>
          </w:p>
        </w:tc>
      </w:tr>
    </w:tbl>
    <w:p>
      <w:pPr>
        <w:pStyle w:val="Heading3"/>
      </w:pPr>
      <w:r>
        <w:t>定性证据确定性判断</w:t>
      </w:r>
    </w:p>
    <w:p>
      <w:r>
        <w:t>纳入 1 项研究。 多数研究偏倚风险较低。 研究数量较少，证据不精确性较高。 综合判断：证据总体确定性可能为中等。</w:t>
      </w:r>
    </w:p>
    <w:p>
      <w:r>
        <w:t>注：此判断基于偏倚风险、研究数量、结果方向各异的定性评估，非正式 GRADE 量化评级。</w:t>
      </w:r>
    </w:p>
    <w:p>
      <w:pPr>
        <w:pStyle w:val="Heading2"/>
      </w:pPr>
      <w:r>
        <w:t>PRISMA 2020 清单</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章节/主题</w:t>
            </w:r>
          </w:p>
        </w:tc>
        <w:tc>
          <w:tcPr>
            <w:tcW w:type="dxa" w:w="2160"/>
          </w:tcPr>
          <w:p>
            <w:r>
              <w:t>条目 #</w:t>
            </w:r>
          </w:p>
        </w:tc>
        <w:tc>
          <w:tcPr>
            <w:tcW w:type="dxa" w:w="2160"/>
          </w:tcPr>
          <w:p>
            <w:r>
              <w:t>清单条目</w:t>
            </w:r>
          </w:p>
        </w:tc>
        <w:tc>
          <w:tcPr>
            <w:tcW w:type="dxa" w:w="2160"/>
          </w:tcPr>
          <w:p>
            <w:r>
              <w:t>报告位置</w:t>
            </w:r>
          </w:p>
        </w:tc>
      </w:tr>
      <w:tr>
        <w:tc>
          <w:tcPr>
            <w:tcW w:type="dxa" w:w="2160"/>
          </w:tcPr>
          <w:p>
            <w:r>
              <w:t>标题</w:t>
            </w:r>
          </w:p>
        </w:tc>
        <w:tc>
          <w:tcPr>
            <w:tcW w:type="dxa" w:w="2160"/>
          </w:tcPr>
          <w:p>
            <w:r/>
          </w:p>
        </w:tc>
        <w:tc>
          <w:tcPr>
            <w:tcW w:type="dxa" w:w="2160"/>
          </w:tcPr>
          <w:p>
            <w:r/>
          </w:p>
        </w:tc>
        <w:tc>
          <w:tcPr>
            <w:tcW w:type="dxa" w:w="2160"/>
          </w:tcPr>
          <w:p>
            <w:r/>
          </w:p>
        </w:tc>
      </w:tr>
      <w:tr>
        <w:tc>
          <w:tcPr>
            <w:tcW w:type="dxa" w:w="2160"/>
          </w:tcPr>
          <w:p>
            <w:r>
              <w:t>标题</w:t>
            </w:r>
          </w:p>
        </w:tc>
        <w:tc>
          <w:tcPr>
            <w:tcW w:type="dxa" w:w="2160"/>
          </w:tcPr>
          <w:p>
            <w:r>
              <w:t>1</w:t>
            </w:r>
          </w:p>
        </w:tc>
        <w:tc>
          <w:tcPr>
            <w:tcW w:type="dxa" w:w="2160"/>
          </w:tcPr>
          <w:p>
            <w:r>
              <w:t>将报告标识为系统评价</w:t>
            </w:r>
          </w:p>
        </w:tc>
        <w:tc>
          <w:tcPr>
            <w:tcW w:type="dxa" w:w="2160"/>
          </w:tcPr>
          <w:p>
            <w:r>
              <w:t>标题</w:t>
            </w:r>
          </w:p>
        </w:tc>
      </w:tr>
      <w:tr>
        <w:tc>
          <w:tcPr>
            <w:tcW w:type="dxa" w:w="2160"/>
          </w:tcPr>
          <w:p>
            <w:r>
              <w:t>摘要</w:t>
            </w:r>
          </w:p>
        </w:tc>
        <w:tc>
          <w:tcPr>
            <w:tcW w:type="dxa" w:w="2160"/>
          </w:tcPr>
          <w:p>
            <w:r/>
          </w:p>
        </w:tc>
        <w:tc>
          <w:tcPr>
            <w:tcW w:type="dxa" w:w="2160"/>
          </w:tcPr>
          <w:p>
            <w:r/>
          </w:p>
        </w:tc>
        <w:tc>
          <w:tcPr>
            <w:tcW w:type="dxa" w:w="2160"/>
          </w:tcPr>
          <w:p>
            <w:r/>
          </w:p>
        </w:tc>
      </w:tr>
      <w:tr>
        <w:tc>
          <w:tcPr>
            <w:tcW w:type="dxa" w:w="2160"/>
          </w:tcPr>
          <w:p>
            <w:r>
              <w:t>摘要</w:t>
            </w:r>
          </w:p>
        </w:tc>
        <w:tc>
          <w:tcPr>
            <w:tcW w:type="dxa" w:w="2160"/>
          </w:tcPr>
          <w:p>
            <w:r>
              <w:t>2</w:t>
            </w:r>
          </w:p>
        </w:tc>
        <w:tc>
          <w:tcPr>
            <w:tcW w:type="dxa" w:w="2160"/>
          </w:tcPr>
          <w:p>
            <w:r>
              <w:t>结构化摘要（背景、方法、结果、结论）</w:t>
            </w:r>
          </w:p>
        </w:tc>
        <w:tc>
          <w:tcPr>
            <w:tcW w:type="dxa" w:w="2160"/>
          </w:tcPr>
          <w:p>
            <w:r>
              <w:t>摘要</w:t>
            </w:r>
          </w:p>
        </w:tc>
      </w:tr>
      <w:tr>
        <w:tc>
          <w:tcPr>
            <w:tcW w:type="dxa" w:w="2160"/>
          </w:tcPr>
          <w:p>
            <w:r>
              <w:t>引言</w:t>
            </w:r>
          </w:p>
        </w:tc>
        <w:tc>
          <w:tcPr>
            <w:tcW w:type="dxa" w:w="2160"/>
          </w:tcPr>
          <w:p>
            <w:r/>
          </w:p>
        </w:tc>
        <w:tc>
          <w:tcPr>
            <w:tcW w:type="dxa" w:w="2160"/>
          </w:tcPr>
          <w:p>
            <w:r/>
          </w:p>
        </w:tc>
        <w:tc>
          <w:tcPr>
            <w:tcW w:type="dxa" w:w="2160"/>
          </w:tcPr>
          <w:p>
            <w:r/>
          </w:p>
        </w:tc>
      </w:tr>
      <w:tr>
        <w:tc>
          <w:tcPr>
            <w:tcW w:type="dxa" w:w="2160"/>
          </w:tcPr>
          <w:p>
            <w:r>
              <w:t>理论依据</w:t>
            </w:r>
          </w:p>
        </w:tc>
        <w:tc>
          <w:tcPr>
            <w:tcW w:type="dxa" w:w="2160"/>
          </w:tcPr>
          <w:p>
            <w:r>
              <w:t>3</w:t>
            </w:r>
          </w:p>
        </w:tc>
        <w:tc>
          <w:tcPr>
            <w:tcW w:type="dxa" w:w="2160"/>
          </w:tcPr>
          <w:p>
            <w:r>
              <w:t>描述现有知识背景中的研究依据</w:t>
            </w:r>
          </w:p>
        </w:tc>
        <w:tc>
          <w:tcPr>
            <w:tcW w:type="dxa" w:w="2160"/>
          </w:tcPr>
          <w:p>
            <w:r>
              <w:t>引言</w:t>
            </w:r>
          </w:p>
        </w:tc>
      </w:tr>
      <w:tr>
        <w:tc>
          <w:tcPr>
            <w:tcW w:type="dxa" w:w="2160"/>
          </w:tcPr>
          <w:p>
            <w:r>
              <w:t>研究目的</w:t>
            </w:r>
          </w:p>
        </w:tc>
        <w:tc>
          <w:tcPr>
            <w:tcW w:type="dxa" w:w="2160"/>
          </w:tcPr>
          <w:p>
            <w:r>
              <w:t>4</w:t>
            </w:r>
          </w:p>
        </w:tc>
        <w:tc>
          <w:tcPr>
            <w:tcW w:type="dxa" w:w="2160"/>
          </w:tcPr>
          <w:p>
            <w:r>
              <w:t>明确陈述基于 PICO 的研究问题</w:t>
            </w:r>
          </w:p>
        </w:tc>
        <w:tc>
          <w:tcPr>
            <w:tcW w:type="dxa" w:w="2160"/>
          </w:tcPr>
          <w:p>
            <w:r>
              <w:t>引言</w:t>
            </w:r>
          </w:p>
        </w:tc>
      </w:tr>
      <w:tr>
        <w:tc>
          <w:tcPr>
            <w:tcW w:type="dxa" w:w="2160"/>
          </w:tcPr>
          <w:p>
            <w:r>
              <w:t>方法</w:t>
            </w:r>
          </w:p>
        </w:tc>
        <w:tc>
          <w:tcPr>
            <w:tcW w:type="dxa" w:w="2160"/>
          </w:tcPr>
          <w:p>
            <w:r/>
          </w:p>
        </w:tc>
        <w:tc>
          <w:tcPr>
            <w:tcW w:type="dxa" w:w="2160"/>
          </w:tcPr>
          <w:p>
            <w:r/>
          </w:p>
        </w:tc>
        <w:tc>
          <w:tcPr>
            <w:tcW w:type="dxa" w:w="2160"/>
          </w:tcPr>
          <w:p>
            <w:r/>
          </w:p>
        </w:tc>
      </w:tr>
      <w:tr>
        <w:tc>
          <w:tcPr>
            <w:tcW w:type="dxa" w:w="2160"/>
          </w:tcPr>
          <w:p>
            <w:r>
              <w:t>纳入排除标准</w:t>
            </w:r>
          </w:p>
        </w:tc>
        <w:tc>
          <w:tcPr>
            <w:tcW w:type="dxa" w:w="2160"/>
          </w:tcPr>
          <w:p>
            <w:r>
              <w:t>5</w:t>
            </w:r>
          </w:p>
        </w:tc>
        <w:tc>
          <w:tcPr>
            <w:tcW w:type="dxa" w:w="2160"/>
          </w:tcPr>
          <w:p>
            <w:r>
              <w:t>明确说明纳入和排除标准</w:t>
            </w:r>
          </w:p>
        </w:tc>
        <w:tc>
          <w:tcPr>
            <w:tcW w:type="dxa" w:w="2160"/>
          </w:tcPr>
          <w:p>
            <w:r>
              <w:t>方法</w:t>
            </w:r>
          </w:p>
        </w:tc>
      </w:tr>
      <w:tr>
        <w:tc>
          <w:tcPr>
            <w:tcW w:type="dxa" w:w="2160"/>
          </w:tcPr>
          <w:p>
            <w:r>
              <w:t>信息来源</w:t>
            </w:r>
          </w:p>
        </w:tc>
        <w:tc>
          <w:tcPr>
            <w:tcW w:type="dxa" w:w="2160"/>
          </w:tcPr>
          <w:p>
            <w:r>
              <w:t>6</w:t>
            </w:r>
          </w:p>
        </w:tc>
        <w:tc>
          <w:tcPr>
            <w:tcW w:type="dxa" w:w="2160"/>
          </w:tcPr>
          <w:p>
            <w:r>
              <w:t>描述所有信息来源及检索日期</w:t>
            </w:r>
          </w:p>
        </w:tc>
        <w:tc>
          <w:tcPr>
            <w:tcW w:type="dxa" w:w="2160"/>
          </w:tcPr>
          <w:p>
            <w:r>
              <w:t>方法</w:t>
            </w:r>
          </w:p>
        </w:tc>
      </w:tr>
      <w:tr>
        <w:tc>
          <w:tcPr>
            <w:tcW w:type="dxa" w:w="2160"/>
          </w:tcPr>
          <w:p>
            <w:r>
              <w:t>检索策略</w:t>
            </w:r>
          </w:p>
        </w:tc>
        <w:tc>
          <w:tcPr>
            <w:tcW w:type="dxa" w:w="2160"/>
          </w:tcPr>
          <w:p>
            <w:r>
              <w:t>7</w:t>
            </w:r>
          </w:p>
        </w:tc>
        <w:tc>
          <w:tcPr>
            <w:tcW w:type="dxa" w:w="2160"/>
          </w:tcPr>
          <w:p>
            <w:r>
              <w:t>展示所有数据库的完整检索策略</w:t>
            </w:r>
          </w:p>
        </w:tc>
        <w:tc>
          <w:tcPr>
            <w:tcW w:type="dxa" w:w="2160"/>
          </w:tcPr>
          <w:p>
            <w:r>
              <w:t>方法、附录</w:t>
            </w:r>
          </w:p>
        </w:tc>
      </w:tr>
      <w:tr>
        <w:tc>
          <w:tcPr>
            <w:tcW w:type="dxa" w:w="2160"/>
          </w:tcPr>
          <w:p>
            <w:r>
              <w:t>筛选过程</w:t>
            </w:r>
          </w:p>
        </w:tc>
        <w:tc>
          <w:tcPr>
            <w:tcW w:type="dxa" w:w="2160"/>
          </w:tcPr>
          <w:p>
            <w:r>
              <w:t>8</w:t>
            </w:r>
          </w:p>
        </w:tc>
        <w:tc>
          <w:tcPr>
            <w:tcW w:type="dxa" w:w="2160"/>
          </w:tcPr>
          <w:p>
            <w:r>
              <w:t>说明文献筛选方法</w:t>
            </w:r>
          </w:p>
        </w:tc>
        <w:tc>
          <w:tcPr>
            <w:tcW w:type="dxa" w:w="2160"/>
          </w:tcPr>
          <w:p>
            <w:r>
              <w:t>方法</w:t>
            </w:r>
          </w:p>
        </w:tc>
      </w:tr>
      <w:tr>
        <w:tc>
          <w:tcPr>
            <w:tcW w:type="dxa" w:w="2160"/>
          </w:tcPr>
          <w:p>
            <w:r>
              <w:t>数据提取</w:t>
            </w:r>
          </w:p>
        </w:tc>
        <w:tc>
          <w:tcPr>
            <w:tcW w:type="dxa" w:w="2160"/>
          </w:tcPr>
          <w:p>
            <w:r>
              <w:t>9</w:t>
            </w:r>
          </w:p>
        </w:tc>
        <w:tc>
          <w:tcPr>
            <w:tcW w:type="dxa" w:w="2160"/>
          </w:tcPr>
          <w:p>
            <w:r>
              <w:t>描述数据提取方法</w:t>
            </w:r>
          </w:p>
        </w:tc>
        <w:tc>
          <w:tcPr>
            <w:tcW w:type="dxa" w:w="2160"/>
          </w:tcPr>
          <w:p>
            <w:r>
              <w:t>方法</w:t>
            </w:r>
          </w:p>
        </w:tc>
      </w:tr>
      <w:tr>
        <w:tc>
          <w:tcPr>
            <w:tcW w:type="dxa" w:w="2160"/>
          </w:tcPr>
          <w:p>
            <w:r>
              <w:t>数据条目</w:t>
            </w:r>
          </w:p>
        </w:tc>
        <w:tc>
          <w:tcPr>
            <w:tcW w:type="dxa" w:w="2160"/>
          </w:tcPr>
          <w:p>
            <w:r>
              <w:t>10a</w:t>
            </w:r>
          </w:p>
        </w:tc>
        <w:tc>
          <w:tcPr>
            <w:tcW w:type="dxa" w:w="2160"/>
          </w:tcPr>
          <w:p>
            <w:r>
              <w:t>列出并定义所有结局变量</w:t>
            </w:r>
          </w:p>
        </w:tc>
        <w:tc>
          <w:tcPr>
            <w:tcW w:type="dxa" w:w="2160"/>
          </w:tcPr>
          <w:p>
            <w:r>
              <w:t>方法</w:t>
            </w:r>
          </w:p>
        </w:tc>
      </w:tr>
      <w:tr>
        <w:tc>
          <w:tcPr>
            <w:tcW w:type="dxa" w:w="2160"/>
          </w:tcPr>
          <w:p>
            <w:r>
              <w:t>偏倚风险</w:t>
            </w:r>
          </w:p>
        </w:tc>
        <w:tc>
          <w:tcPr>
            <w:tcW w:type="dxa" w:w="2160"/>
          </w:tcPr>
          <w:p>
            <w:r>
              <w:t>11</w:t>
            </w:r>
          </w:p>
        </w:tc>
        <w:tc>
          <w:tcPr>
            <w:tcW w:type="dxa" w:w="2160"/>
          </w:tcPr>
          <w:p>
            <w:r>
              <w:t>描述偏倚风险评估方法</w:t>
            </w:r>
          </w:p>
        </w:tc>
        <w:tc>
          <w:tcPr>
            <w:tcW w:type="dxa" w:w="2160"/>
          </w:tcPr>
          <w:p>
            <w:r>
              <w:t>方法</w:t>
            </w:r>
          </w:p>
        </w:tc>
      </w:tr>
      <w:tr>
        <w:tc>
          <w:tcPr>
            <w:tcW w:type="dxa" w:w="2160"/>
          </w:tcPr>
          <w:p>
            <w:r>
              <w:t>效应量指标</w:t>
            </w:r>
          </w:p>
        </w:tc>
        <w:tc>
          <w:tcPr>
            <w:tcW w:type="dxa" w:w="2160"/>
          </w:tcPr>
          <w:p>
            <w:r>
              <w:t>12</w:t>
            </w:r>
          </w:p>
        </w:tc>
        <w:tc>
          <w:tcPr>
            <w:tcW w:type="dxa" w:w="2160"/>
          </w:tcPr>
          <w:p>
            <w:r>
              <w:t>说明所使用的效应量指标</w:t>
            </w:r>
          </w:p>
        </w:tc>
        <w:tc>
          <w:tcPr>
            <w:tcW w:type="dxa" w:w="2160"/>
          </w:tcPr>
          <w:p>
            <w:r>
              <w:t>未适用</w:t>
            </w:r>
          </w:p>
        </w:tc>
      </w:tr>
      <w:tr>
        <w:tc>
          <w:tcPr>
            <w:tcW w:type="dxa" w:w="2160"/>
          </w:tcPr>
          <w:p>
            <w:r>
              <w:t>合成方法</w:t>
            </w:r>
          </w:p>
        </w:tc>
        <w:tc>
          <w:tcPr>
            <w:tcW w:type="dxa" w:w="2160"/>
          </w:tcPr>
          <w:p>
            <w:r>
              <w:t>13a-f</w:t>
            </w:r>
          </w:p>
        </w:tc>
        <w:tc>
          <w:tcPr>
            <w:tcW w:type="dxa" w:w="2160"/>
          </w:tcPr>
          <w:p>
            <w:r>
              <w:t>描述叙述性合成方法</w:t>
            </w:r>
          </w:p>
        </w:tc>
        <w:tc>
          <w:tcPr>
            <w:tcW w:type="dxa" w:w="2160"/>
          </w:tcPr>
          <w:p>
            <w:r>
              <w:t>方法</w:t>
            </w:r>
          </w:p>
        </w:tc>
      </w:tr>
      <w:tr>
        <w:tc>
          <w:tcPr>
            <w:tcW w:type="dxa" w:w="2160"/>
          </w:tcPr>
          <w:p>
            <w:r>
              <w:t>发表偏倚</w:t>
            </w:r>
          </w:p>
        </w:tc>
        <w:tc>
          <w:tcPr>
            <w:tcW w:type="dxa" w:w="2160"/>
          </w:tcPr>
          <w:p>
            <w:r>
              <w:t>14</w:t>
            </w:r>
          </w:p>
        </w:tc>
        <w:tc>
          <w:tcPr>
            <w:tcW w:type="dxa" w:w="2160"/>
          </w:tcPr>
          <w:p>
            <w:r>
              <w:t>描述发表偏倚评估方法</w:t>
            </w:r>
          </w:p>
        </w:tc>
        <w:tc>
          <w:tcPr>
            <w:tcW w:type="dxa" w:w="2160"/>
          </w:tcPr>
          <w:p>
            <w:r>
              <w:t>未适用</w:t>
            </w:r>
          </w:p>
        </w:tc>
      </w:tr>
      <w:tr>
        <w:tc>
          <w:tcPr>
            <w:tcW w:type="dxa" w:w="2160"/>
          </w:tcPr>
          <w:p>
            <w:r>
              <w:t>证据确定性</w:t>
            </w:r>
          </w:p>
        </w:tc>
        <w:tc>
          <w:tcPr>
            <w:tcW w:type="dxa" w:w="2160"/>
          </w:tcPr>
          <w:p>
            <w:r>
              <w:t>15</w:t>
            </w:r>
          </w:p>
        </w:tc>
        <w:tc>
          <w:tcPr>
            <w:tcW w:type="dxa" w:w="2160"/>
          </w:tcPr>
          <w:p>
            <w:r>
              <w:t>描述证据确定性评估方法</w:t>
            </w:r>
          </w:p>
        </w:tc>
        <w:tc>
          <w:tcPr>
            <w:tcW w:type="dxa" w:w="2160"/>
          </w:tcPr>
          <w:p>
            <w:r>
              <w:t>未进行Meta分析合并</w:t>
            </w:r>
          </w:p>
        </w:tc>
      </w:tr>
      <w:tr>
        <w:tc>
          <w:tcPr>
            <w:tcW w:type="dxa" w:w="2160"/>
          </w:tcPr>
          <w:p>
            <w:r>
              <w:t>结果</w:t>
            </w:r>
          </w:p>
        </w:tc>
        <w:tc>
          <w:tcPr>
            <w:tcW w:type="dxa" w:w="2160"/>
          </w:tcPr>
          <w:p>
            <w:r/>
          </w:p>
        </w:tc>
        <w:tc>
          <w:tcPr>
            <w:tcW w:type="dxa" w:w="2160"/>
          </w:tcPr>
          <w:p>
            <w:r/>
          </w:p>
        </w:tc>
        <w:tc>
          <w:tcPr>
            <w:tcW w:type="dxa" w:w="2160"/>
          </w:tcPr>
          <w:p>
            <w:r/>
          </w:p>
        </w:tc>
      </w:tr>
      <w:tr>
        <w:tc>
          <w:tcPr>
            <w:tcW w:type="dxa" w:w="2160"/>
          </w:tcPr>
          <w:p>
            <w:r>
              <w:t>文献筛选</w:t>
            </w:r>
          </w:p>
        </w:tc>
        <w:tc>
          <w:tcPr>
            <w:tcW w:type="dxa" w:w="2160"/>
          </w:tcPr>
          <w:p>
            <w:r>
              <w:t>16a-b</w:t>
            </w:r>
          </w:p>
        </w:tc>
        <w:tc>
          <w:tcPr>
            <w:tcW w:type="dxa" w:w="2160"/>
          </w:tcPr>
          <w:p>
            <w:r>
              <w:t>报告检索和筛选结果（PRISMA 流程）</w:t>
            </w:r>
          </w:p>
        </w:tc>
        <w:tc>
          <w:tcPr>
            <w:tcW w:type="dxa" w:w="2160"/>
          </w:tcPr>
          <w:p>
            <w:r>
              <w:t>结果，图1</w:t>
            </w:r>
          </w:p>
        </w:tc>
      </w:tr>
      <w:tr>
        <w:tc>
          <w:tcPr>
            <w:tcW w:type="dxa" w:w="2160"/>
          </w:tcPr>
          <w:p>
            <w:r>
              <w:t>研究特征</w:t>
            </w:r>
          </w:p>
        </w:tc>
        <w:tc>
          <w:tcPr>
            <w:tcW w:type="dxa" w:w="2160"/>
          </w:tcPr>
          <w:p>
            <w:r>
              <w:t>17</w:t>
            </w:r>
          </w:p>
        </w:tc>
        <w:tc>
          <w:tcPr>
            <w:tcW w:type="dxa" w:w="2160"/>
          </w:tcPr>
          <w:p>
            <w:r>
              <w:t>报告纳入研究特征</w:t>
            </w:r>
          </w:p>
        </w:tc>
        <w:tc>
          <w:tcPr>
            <w:tcW w:type="dxa" w:w="2160"/>
          </w:tcPr>
          <w:p>
            <w:r>
              <w:t>结果，表1</w:t>
            </w:r>
          </w:p>
        </w:tc>
      </w:tr>
      <w:tr>
        <w:tc>
          <w:tcPr>
            <w:tcW w:type="dxa" w:w="2160"/>
          </w:tcPr>
          <w:p>
            <w:r>
              <w:t>偏倚风险</w:t>
            </w:r>
          </w:p>
        </w:tc>
        <w:tc>
          <w:tcPr>
            <w:tcW w:type="dxa" w:w="2160"/>
          </w:tcPr>
          <w:p>
            <w:r>
              <w:t>18</w:t>
            </w:r>
          </w:p>
        </w:tc>
        <w:tc>
          <w:tcPr>
            <w:tcW w:type="dxa" w:w="2160"/>
          </w:tcPr>
          <w:p>
            <w:r>
              <w:t>报告偏倚风险评估结果</w:t>
            </w:r>
          </w:p>
        </w:tc>
        <w:tc>
          <w:tcPr>
            <w:tcW w:type="dxa" w:w="2160"/>
          </w:tcPr>
          <w:p>
            <w:r>
              <w:t>结果</w:t>
            </w:r>
          </w:p>
        </w:tc>
      </w:tr>
      <w:tr>
        <w:tc>
          <w:tcPr>
            <w:tcW w:type="dxa" w:w="2160"/>
          </w:tcPr>
          <w:p>
            <w:r>
              <w:t>合成结果</w:t>
            </w:r>
          </w:p>
        </w:tc>
        <w:tc>
          <w:tcPr>
            <w:tcW w:type="dxa" w:w="2160"/>
          </w:tcPr>
          <w:p>
            <w:r>
              <w:t>19a-d</w:t>
            </w:r>
          </w:p>
        </w:tc>
        <w:tc>
          <w:tcPr>
            <w:tcW w:type="dxa" w:w="2160"/>
          </w:tcPr>
          <w:p>
            <w:r>
              <w:t>报告各研究结果（叙述性）</w:t>
            </w:r>
          </w:p>
        </w:tc>
        <w:tc>
          <w:tcPr>
            <w:tcW w:type="dxa" w:w="2160"/>
          </w:tcPr>
          <w:p>
            <w:r>
              <w:t>结果</w:t>
            </w:r>
          </w:p>
        </w:tc>
      </w:tr>
      <w:tr>
        <w:tc>
          <w:tcPr>
            <w:tcW w:type="dxa" w:w="2160"/>
          </w:tcPr>
          <w:p>
            <w:r>
              <w:t>发表偏倚</w:t>
            </w:r>
          </w:p>
        </w:tc>
        <w:tc>
          <w:tcPr>
            <w:tcW w:type="dxa" w:w="2160"/>
          </w:tcPr>
          <w:p>
            <w:r>
              <w:t>20a-b</w:t>
            </w:r>
          </w:p>
        </w:tc>
        <w:tc>
          <w:tcPr>
            <w:tcW w:type="dxa" w:w="2160"/>
          </w:tcPr>
          <w:p>
            <w:r>
              <w:t>报告发表偏倚评估结果</w:t>
            </w:r>
          </w:p>
        </w:tc>
        <w:tc>
          <w:tcPr>
            <w:tcW w:type="dxa" w:w="2160"/>
          </w:tcPr>
          <w:p>
            <w:r>
              <w:t>未适用</w:t>
            </w:r>
          </w:p>
        </w:tc>
      </w:tr>
      <w:tr>
        <w:tc>
          <w:tcPr>
            <w:tcW w:type="dxa" w:w="2160"/>
          </w:tcPr>
          <w:p>
            <w:r>
              <w:t>证据确定性</w:t>
            </w:r>
          </w:p>
        </w:tc>
        <w:tc>
          <w:tcPr>
            <w:tcW w:type="dxa" w:w="2160"/>
          </w:tcPr>
          <w:p>
            <w:r>
              <w:t>21</w:t>
            </w:r>
          </w:p>
        </w:tc>
        <w:tc>
          <w:tcPr>
            <w:tcW w:type="dxa" w:w="2160"/>
          </w:tcPr>
          <w:p>
            <w:r>
              <w:t>报告每个结局的 GRADE 评级</w:t>
            </w:r>
          </w:p>
        </w:tc>
        <w:tc>
          <w:tcPr>
            <w:tcW w:type="dxa" w:w="2160"/>
          </w:tcPr>
          <w:p>
            <w:r>
              <w:t>未进行Meta分析合并</w:t>
            </w:r>
          </w:p>
        </w:tc>
      </w:tr>
      <w:tr>
        <w:tc>
          <w:tcPr>
            <w:tcW w:type="dxa" w:w="2160"/>
          </w:tcPr>
          <w:p>
            <w:r>
              <w:t>讨论</w:t>
            </w:r>
          </w:p>
        </w:tc>
        <w:tc>
          <w:tcPr>
            <w:tcW w:type="dxa" w:w="2160"/>
          </w:tcPr>
          <w:p>
            <w:r/>
          </w:p>
        </w:tc>
        <w:tc>
          <w:tcPr>
            <w:tcW w:type="dxa" w:w="2160"/>
          </w:tcPr>
          <w:p>
            <w:r/>
          </w:p>
        </w:tc>
        <w:tc>
          <w:tcPr>
            <w:tcW w:type="dxa" w:w="2160"/>
          </w:tcPr>
          <w:p>
            <w:r/>
          </w:p>
        </w:tc>
      </w:tr>
      <w:tr>
        <w:tc>
          <w:tcPr>
            <w:tcW w:type="dxa" w:w="2160"/>
          </w:tcPr>
          <w:p>
            <w:r>
              <w:t>讨论</w:t>
            </w:r>
          </w:p>
        </w:tc>
        <w:tc>
          <w:tcPr>
            <w:tcW w:type="dxa" w:w="2160"/>
          </w:tcPr>
          <w:p>
            <w:r>
              <w:t>22a-d</w:t>
            </w:r>
          </w:p>
        </w:tc>
        <w:tc>
          <w:tcPr>
            <w:tcW w:type="dxa" w:w="2160"/>
          </w:tcPr>
          <w:p>
            <w:r>
              <w:t>综合解释、局限性、启示</w:t>
            </w:r>
          </w:p>
        </w:tc>
        <w:tc>
          <w:tcPr>
            <w:tcW w:type="dxa" w:w="2160"/>
          </w:tcPr>
          <w:p>
            <w:r>
              <w:t>讨论</w:t>
            </w:r>
          </w:p>
        </w:tc>
      </w:tr>
      <w:tr>
        <w:tc>
          <w:tcPr>
            <w:tcW w:type="dxa" w:w="2160"/>
          </w:tcPr>
          <w:p>
            <w:r>
              <w:t>其他</w:t>
            </w:r>
          </w:p>
        </w:tc>
        <w:tc>
          <w:tcPr>
            <w:tcW w:type="dxa" w:w="2160"/>
          </w:tcPr>
          <w:p>
            <w:r/>
          </w:p>
        </w:tc>
        <w:tc>
          <w:tcPr>
            <w:tcW w:type="dxa" w:w="2160"/>
          </w:tcPr>
          <w:p>
            <w:r/>
          </w:p>
        </w:tc>
        <w:tc>
          <w:tcPr>
            <w:tcW w:type="dxa" w:w="2160"/>
          </w:tcPr>
          <w:p>
            <w:r/>
          </w:p>
        </w:tc>
      </w:tr>
      <w:tr>
        <w:tc>
          <w:tcPr>
            <w:tcW w:type="dxa" w:w="2160"/>
          </w:tcPr>
          <w:p>
            <w:r>
              <w:t>注册信息</w:t>
            </w:r>
          </w:p>
        </w:tc>
        <w:tc>
          <w:tcPr>
            <w:tcW w:type="dxa" w:w="2160"/>
          </w:tcPr>
          <w:p>
            <w:r>
              <w:t>23a</w:t>
            </w:r>
          </w:p>
        </w:tc>
        <w:tc>
          <w:tcPr>
            <w:tcW w:type="dxa" w:w="2160"/>
          </w:tcPr>
          <w:p>
            <w:r>
              <w:t>提供注册信息</w:t>
            </w:r>
          </w:p>
        </w:tc>
        <w:tc>
          <w:tcPr>
            <w:tcW w:type="dxa" w:w="2160"/>
          </w:tcPr>
          <w:p>
            <w:r>
              <w:t>不适用</w:t>
            </w:r>
          </w:p>
        </w:tc>
      </w:tr>
      <w:tr>
        <w:tc>
          <w:tcPr>
            <w:tcW w:type="dxa" w:w="2160"/>
          </w:tcPr>
          <w:p>
            <w:r>
              <w:t>研究方案</w:t>
            </w:r>
          </w:p>
        </w:tc>
        <w:tc>
          <w:tcPr>
            <w:tcW w:type="dxa" w:w="2160"/>
          </w:tcPr>
          <w:p>
            <w:r>
              <w:t>23b</w:t>
            </w:r>
          </w:p>
        </w:tc>
        <w:tc>
          <w:tcPr>
            <w:tcW w:type="dxa" w:w="2160"/>
          </w:tcPr>
          <w:p>
            <w:r>
              <w:t>说明研究方案获取途径</w:t>
            </w:r>
          </w:p>
        </w:tc>
        <w:tc>
          <w:tcPr>
            <w:tcW w:type="dxa" w:w="2160"/>
          </w:tcPr>
          <w:p>
            <w:r>
              <w:t>不适用</w:t>
            </w:r>
          </w:p>
        </w:tc>
      </w:tr>
      <w:tr>
        <w:tc>
          <w:tcPr>
            <w:tcW w:type="dxa" w:w="2160"/>
          </w:tcPr>
          <w:p>
            <w:r>
              <w:t>资助来源</w:t>
            </w:r>
          </w:p>
        </w:tc>
        <w:tc>
          <w:tcPr>
            <w:tcW w:type="dxa" w:w="2160"/>
          </w:tcPr>
          <w:p>
            <w:r>
              <w:t>23c</w:t>
            </w:r>
          </w:p>
        </w:tc>
        <w:tc>
          <w:tcPr>
            <w:tcW w:type="dxa" w:w="2160"/>
          </w:tcPr>
          <w:p>
            <w:r>
              <w:t>描述资金/非资金支持来源</w:t>
            </w:r>
          </w:p>
        </w:tc>
        <w:tc>
          <w:tcPr>
            <w:tcW w:type="dxa" w:w="2160"/>
          </w:tcPr>
          <w:p>
            <w:r>
              <w:t>不适用</w:t>
            </w:r>
          </w:p>
        </w:tc>
      </w:tr>
      <w:tr>
        <w:tc>
          <w:tcPr>
            <w:tcW w:type="dxa" w:w="2160"/>
          </w:tcPr>
          <w:p>
            <w:r>
              <w:t>利益冲突</w:t>
            </w:r>
          </w:p>
        </w:tc>
        <w:tc>
          <w:tcPr>
            <w:tcW w:type="dxa" w:w="2160"/>
          </w:tcPr>
          <w:p>
            <w:r>
              <w:t>23d</w:t>
            </w:r>
          </w:p>
        </w:tc>
        <w:tc>
          <w:tcPr>
            <w:tcW w:type="dxa" w:w="2160"/>
          </w:tcPr>
          <w:p>
            <w:r>
              <w:t>声明利益冲突</w:t>
            </w:r>
          </w:p>
        </w:tc>
        <w:tc>
          <w:tcPr>
            <w:tcW w:type="dxa" w:w="2160"/>
          </w:tcPr>
          <w:p>
            <w:r>
              <w:t>不适用</w:t>
            </w:r>
          </w:p>
        </w:tc>
      </w:tr>
      <w:tr>
        <w:tc>
          <w:tcPr>
            <w:tcW w:type="dxa" w:w="2160"/>
          </w:tcPr>
          <w:p>
            <w:r>
              <w:t>数据可得性</w:t>
            </w:r>
          </w:p>
        </w:tc>
        <w:tc>
          <w:tcPr>
            <w:tcW w:type="dxa" w:w="2160"/>
          </w:tcPr>
          <w:p>
            <w:r>
              <w:t>23e</w:t>
            </w:r>
          </w:p>
        </w:tc>
        <w:tc>
          <w:tcPr>
            <w:tcW w:type="dxa" w:w="2160"/>
          </w:tcPr>
          <w:p>
            <w:r>
              <w:t>描述数据和代码的可得性</w:t>
            </w:r>
          </w:p>
        </w:tc>
        <w:tc>
          <w:tcPr>
            <w:tcW w:type="dxa" w:w="2160"/>
          </w:tcPr>
          <w:p>
            <w:r>
              <w:t>不适用</w:t>
            </w:r>
          </w:p>
        </w:tc>
      </w:tr>
    </w:tbl>
    <w:p>
      <w:pPr>
        <w:pStyle w:val="Heading2"/>
      </w:pPr>
      <w:r>
        <w:t>表格</w:t>
      </w:r>
    </w:p>
    <w:p>
      <w:pPr>
        <w:pStyle w:val="Heading3"/>
      </w:pPr>
      <w:r>
        <w:t>表1. 纳入研究基本特征</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研究</w:t>
            </w:r>
          </w:p>
        </w:tc>
        <w:tc>
          <w:tcPr>
            <w:tcW w:type="dxa" w:w="864"/>
          </w:tcPr>
          <w:p>
            <w:r>
              <w:t>年份</w:t>
            </w:r>
          </w:p>
        </w:tc>
        <w:tc>
          <w:tcPr>
            <w:tcW w:type="dxa" w:w="864"/>
          </w:tcPr>
          <w:p>
            <w:r>
              <w:t>设计</w:t>
            </w:r>
          </w:p>
        </w:tc>
        <w:tc>
          <w:tcPr>
            <w:tcW w:type="dxa" w:w="864"/>
          </w:tcPr>
          <w:p>
            <w:r>
              <w:t>国家</w:t>
            </w:r>
          </w:p>
        </w:tc>
        <w:tc>
          <w:tcPr>
            <w:tcW w:type="dxa" w:w="864"/>
          </w:tcPr>
          <w:p>
            <w:r>
              <w:t>N (I/C)</w:t>
            </w:r>
          </w:p>
        </w:tc>
        <w:tc>
          <w:tcPr>
            <w:tcW w:type="dxa" w:w="864"/>
          </w:tcPr>
          <w:p>
            <w:r>
              <w:t>人群</w:t>
            </w:r>
          </w:p>
        </w:tc>
        <w:tc>
          <w:tcPr>
            <w:tcW w:type="dxa" w:w="864"/>
          </w:tcPr>
          <w:p>
            <w:r>
              <w:t>干预措施</w:t>
            </w:r>
          </w:p>
        </w:tc>
        <w:tc>
          <w:tcPr>
            <w:tcW w:type="dxa" w:w="864"/>
          </w:tcPr>
          <w:p>
            <w:r>
              <w:t>对照</w:t>
            </w:r>
          </w:p>
        </w:tc>
        <w:tc>
          <w:tcPr>
            <w:tcW w:type="dxa" w:w="864"/>
          </w:tcPr>
          <w:p>
            <w:r>
              <w:t>随访</w:t>
            </w:r>
          </w:p>
        </w:tc>
        <w:tc>
          <w:tcPr>
            <w:tcW w:type="dxa" w:w="864"/>
          </w:tcPr>
          <w:p>
            <w:r>
              <w:t>主要结局</w:t>
            </w:r>
          </w:p>
        </w:tc>
      </w:tr>
      <w:tr>
        <w:tc>
          <w:tcPr>
            <w:tcW w:type="dxa" w:w="864"/>
          </w:tcPr>
          <w:p>
            <w:r>
              <w:t>Herrington et al.</w:t>
            </w:r>
          </w:p>
        </w:tc>
        <w:tc>
          <w:tcPr>
            <w:tcW w:type="dxa" w:w="864"/>
          </w:tcPr>
          <w:p>
            <w:r>
              <w:t>2025</w:t>
            </w:r>
          </w:p>
        </w:tc>
        <w:tc>
          <w:tcPr>
            <w:tcW w:type="dxa" w:w="864"/>
          </w:tcPr>
          <w:p>
            <w:r>
              <w:t>随机对照试验（双盲、安慰剂对照）</w:t>
            </w:r>
          </w:p>
        </w:tc>
        <w:tc>
          <w:tcPr>
            <w:tcW w:type="dxa" w:w="864"/>
          </w:tcPr>
          <w:p>
            <w:r>
              <w:t>跨国（8国，包括英国、德国、美国、中国、马来西亚、日本、加拿大、意大利）</w:t>
            </w:r>
          </w:p>
        </w:tc>
        <w:tc>
          <w:tcPr>
            <w:tcW w:type="dxa" w:w="864"/>
          </w:tcPr>
          <w:p>
            <w:r>
              <w:t>3304 / 3305</w:t>
            </w:r>
          </w:p>
        </w:tc>
        <w:tc>
          <w:tcPr>
            <w:tcW w:type="dxa" w:w="864"/>
          </w:tcPr>
          <w:p>
            <w:r>
              <w:t>成人慢性肾脏病患者，eGFR ≥20且&lt;45 mL/min/1.73m²，或eGFR ≥45且&lt;90 mL/min/1.73m²且uACR ≥200 mg/g，均接受肾素-血管紧张素系统抑制剂（除非不耐受）；平均年龄63岁，66%男性</w:t>
            </w:r>
          </w:p>
        </w:tc>
        <w:tc>
          <w:tcPr>
            <w:tcW w:type="dxa" w:w="864"/>
          </w:tcPr>
          <w:p>
            <w:r>
              <w:t>恩格列净10 mg每日一次，中位治疗2年（积极治疗期）</w:t>
            </w:r>
          </w:p>
        </w:tc>
        <w:tc>
          <w:tcPr>
            <w:tcW w:type="dxa" w:w="864"/>
          </w:tcPr>
          <w:p>
            <w:r>
              <w:t>匹配安慰剂</w:t>
            </w:r>
          </w:p>
        </w:tc>
        <w:tc>
          <w:tcPr>
            <w:tcW w:type="dxa" w:w="864"/>
          </w:tcPr>
          <w:p>
            <w:r>
              <w:t>中位积极治疗2年 + 中位试验后观察2年（总计中位~4年）</w:t>
            </w:r>
          </w:p>
        </w:tc>
        <w:tc>
          <w:tcPr>
            <w:tcW w:type="dxa" w:w="864"/>
          </w:tcPr>
          <w:p>
            <w:r>
              <w:t>肾脏疾病进展（定义为终末期肾病、eGFR持续下降至&lt;10 mL/min/1.73m²、肾脏原因死亡或心血管死亡）</w:t>
            </w:r>
          </w:p>
        </w:tc>
      </w:tr>
    </w:tbl>
    <w:p>
      <w:r>
        <w:t>注：数值为原始研究报告值或按预设统计方法计算值。</w:t>
      </w:r>
    </w:p>
    <w:p>
      <w:pPr>
        <w:pStyle w:val="Heading2"/>
      </w:pPr>
      <w:r>
        <w:t>图表</w:t>
      </w:r>
    </w:p>
    <w:p>
      <w:r>
        <w:drawing>
          <wp:inline xmlns:a="http://schemas.openxmlformats.org/drawingml/2006/main" xmlns:pic="http://schemas.openxmlformats.org/drawingml/2006/picture">
            <wp:extent cx="5486400" cy="3791784"/>
            <wp:docPr id="1" name="Picture 1"/>
            <wp:cNvGraphicFramePr>
              <a:graphicFrameLocks noChangeAspect="1"/>
            </wp:cNvGraphicFramePr>
            <a:graphic>
              <a:graphicData uri="http://schemas.openxmlformats.org/drawingml/2006/picture">
                <pic:pic>
                  <pic:nvPicPr>
                    <pic:cNvPr id="0" name="prisma_diagram.png"/>
                    <pic:cNvPicPr/>
                  </pic:nvPicPr>
                  <pic:blipFill>
                    <a:blip r:embed="rId9"/>
                    <a:stretch>
                      <a:fillRect/>
                    </a:stretch>
                  </pic:blipFill>
                  <pic:spPr>
                    <a:xfrm>
                      <a:off x="0" y="0"/>
                      <a:ext cx="5486400" cy="3791784"/>
                    </a:xfrm>
                    <a:prstGeom prst="rect"/>
                  </pic:spPr>
                </pic:pic>
              </a:graphicData>
            </a:graphic>
          </wp:inline>
        </w:drawing>
      </w:r>
    </w:p>
    <w:p>
      <w:r>
        <w:t>图1. PRISMA 流程图</w:t>
      </w:r>
    </w:p>
    <w:p>
      <w:r>
        <w:t>图1. PRISMA 流程图</w:t>
      </w:r>
    </w:p>
    <w:p>
      <w:pPr>
        <w:pStyle w:val="Heading2"/>
      </w:pPr>
      <w:r>
        <w:t>图注</w:t>
      </w:r>
    </w:p>
    <w:p>
      <w:r>
        <w:t>图1. PRISMA 2020 流程图，展示文献筛选过程。 注：数值为原始研究报告值或按预设统计方法计算值。</w:t>
      </w:r>
    </w:p>
    <w:p>
      <w:pPr>
        <w:pStyle w:val="Heading2"/>
      </w:pPr>
      <w:r>
        <w:t>声明</w:t>
      </w:r>
    </w:p>
    <w:p>
      <w:pPr>
        <w:pStyle w:val="Heading3"/>
      </w:pPr>
      <w:r>
        <w:t>作者贡献（CRediT） 具名作者应按 CRediT taxonomy 确认作者贡献声明，包括概念化、方法学、数据整理、正式分析、可视化、初稿写作、审阅与修改、监督和项目管理等角色；作者名单和个人贡献需由投稿团队确认，本文不虚构作者角色。</w:t>
      </w:r>
    </w:p>
    <w:p>
      <w:pPr>
        <w:pStyle w:val="Heading3"/>
      </w:pPr>
      <w:r>
        <w:t>致谢</w:t>
      </w:r>
    </w:p>
    <w:p>
      <w:r>
        <w:t>当前项目记录未提供需要单独致谢的个人、机构或服务。</w:t>
      </w:r>
    </w:p>
    <w:p>
      <w:pPr>
        <w:pStyle w:val="Heading3"/>
      </w:pPr>
      <w:r>
        <w:t>注册和方案</w:t>
      </w:r>
    </w:p>
    <w:p>
      <w:r>
        <w:t>本综述未在 PROSPERO 前瞻性注册。PICO、纳入标准、效应量指标和合成设置保存在导出包的 protocol.json 和 manuscript/manuscript_facts.json 中。</w:t>
      </w:r>
    </w:p>
    <w:p>
      <w:pPr>
        <w:pStyle w:val="Heading3"/>
      </w:pPr>
      <w:r>
        <w:t>伦理批准</w:t>
      </w:r>
    </w:p>
    <w:p>
      <w:r>
        <w:t>本研究综合已发表文献、注册记录和公开汇总数据，不涉及新的个体参与者招募或个体层面数据收集，通常不需要额外伦理审批。</w:t>
      </w:r>
    </w:p>
    <w:p>
      <w:pPr>
        <w:pStyle w:val="Heading3"/>
      </w:pPr>
      <w:r>
        <w:t>数据与代码可用性</w:t>
      </w:r>
    </w:p>
    <w:p>
      <w:r>
        <w:t>数据可得性声明：汇总提取数据、检索策略、分析输出、图表和审查记录随导出包提供，主要路径包括 protocol.json、manuscript/manuscript_facts.json、extraction/all_extractions.json、extraction/extraction_audit.json、analysis/effect_sizes.json、analysis/meta_results.json、analysis/grade_profile.json、figures/ 和 references.bib；未使用个体参与者数据。</w:t>
      </w:r>
    </w:p>
    <w:p>
      <w:pPr>
        <w:pStyle w:val="Heading3"/>
      </w:pPr>
      <w:r>
        <w:t>资助</w:t>
      </w:r>
    </w:p>
    <w:p>
      <w:r>
        <w:t>本研究未记录专门的外部资助来源。</w:t>
      </w:r>
    </w:p>
    <w:p>
      <w:pPr>
        <w:pStyle w:val="Heading3"/>
      </w:pPr>
      <w:r>
        <w:t>利益冲突</w:t>
      </w:r>
    </w:p>
    <w:p>
      <w:r>
        <w:t>本研究未记录利益冲突。</w:t>
      </w:r>
    </w:p>
    <w:p>
      <w:pPr>
        <w:pStyle w:val="Heading2"/>
      </w:pPr>
      <w:r>
        <w:t>参考文献</w:t>
      </w:r>
    </w:p>
    <w:p>
      <w:r>
        <w:t>［1］ Herrington William G, Staplin Natalie, Agrawal Nikita, Wanner Christoph, Green Jennifer B, Hauske Sibylle J, et al.. Long-Term Effects of Empagliflozin in Patients with Chronic Kidney Disease.. The New England journal of medicine. 2025;392(8):777-787. doi: 10.1056/NEJMoa2409183</w:t>
      </w:r>
    </w:p>
    <w:p>
      <w:r>
        <w:t>［2］ Virani Salim S, Newby L Kristin, Arnold Suzanne V, Bittner Vera, Brewer LaPrincess C, Demeter Susan Halli, et al.. 2023 AHA/ACC/ACCP/ASPC/NLA/PCNA Guideline for the Management of Patients With Chronic Coronary Disease: A Report of the American Heart Association/American College of Cardiology Joint Committee on Clinical Practice Guidelines.. Circulation. 2023;148(9):e9-e119. doi: 10.1161/CIR.0000000000001168</w:t>
      </w:r>
    </w:p>
    <w:p>
      <w:r>
        <w:t>［3］ Campbell Patricia, Rutten Frans H, Lee Matthew My, Hawkins Nathaniel M, Petrie Mark C. Heart failure with preserved ejection fraction: everything the clinician needs to know.. Lancet (London, England). 2024;403(10431):1083-1092. doi: 10.1016/S0140-6736(23)02756-3</w:t>
      </w:r>
    </w:p>
    <w:p>
      <w:r>
        <w:t>［4］ Berg David D, Patel Siddharth M, Haller Paul M, Cange Abby L, Palazzolo Michael G, Bellavia Andrea, et al.. Dapagliflozin in Patients Hospitalized for Heart Failure: Primary Results of the DAPA ACT HF-TIMI 68 Randomized Clinical Trial and Meta-Analysis of Sodium-Glucose Cotransporter-2 Inhibitors in Patients Hospitalized for Heart Failure.. Circulation. 2025;152(20):1411-1422. doi: 10.1161/CIRCULATIONAHA.125.076575</w:t>
      </w:r>
    </w:p>
    <w:p>
      <w:r>
        <w:t>［5］ Aldafas Rami, Crabtree Tomas, Alkharaiji Mohammed, Vinogradova Yana, Idris Iskandar. Sodium-glucose cotransporter-2 inhibitors (SGLT2) in frail or older people with type 2 diabetes and heart failure: a systematic review and meta-analysis.. Age and ageing. 2024;53(1):afad254. doi: 10.1093/ageing/afad254</w:t>
      </w:r>
    </w:p>
    <w:p>
      <w:r>
        <w:t>［6］ Zannad Faiez, Ferreira João Pedro, Pocock Stuart J, Anker Stefan D, Butler Javed, Filippatos Gerasimos, et al.. SGLT2 inhibitors in patients with heart failure with reduced ejection fraction: a meta-analysis of the EMPEROR-Reduced and DAPA-HF trials.. Lancet (London, England). 2020;396(10254):819-829. doi: 10.1016/S0140-6736(20)31824-9</w:t>
      </w:r>
    </w:p>
    <w:p>
      <w:r>
        <w:t>［7］ Palmer Suetonia C, Tendal Britta, Mustafa Reem A, Vandvik Per Olav, Li Sheyu, Hao Qiukui, et al.. Sodium-glucose cotransporter protein-2 (SGLT-2) inhibitors and glucagon-like peptide-1 (GLP-1) receptor agonists for type 2 diabetes: systematic review and network meta-analysis of randomised controlled trials.. BMJ (Clinical research ed.). 2021;372:m4573. doi: 10.1136/bmj.m4573</w:t>
      </w:r>
    </w:p>
    <w:p>
      <w:r>
        <w:t>［8］ Tomasoni Daniela, Adamo Marianna, Lombardi Carlo Mario, Metra Marco. Highlights in heart failure.. ESC heart failure. 2019;6(6):1105-1127. doi: 10.1002/ehf2.12555</w:t>
      </w:r>
    </w:p>
    <w:p>
      <w:r>
        <w:t>［9］ Tsapas Apostolos, Avgerinos Ioannis, Karagiannis Thomas, Malandris Konstantinos, Manolopoulos Apostolos, Andreadis Panagiotis, et al.. Comparative Effectiveness of Glucose-Lowering Drugs for Type 2 Diabetes: A Systematic Review and Network Meta-analysis.. Annals of internal medicine. 2020;173(4):278-286. doi: 10.7326/M20-0864</w:t>
      </w:r>
    </w:p>
    <w:p>
      <w:r>
        <w:t>［10］ Neuen Brendon L, Fletcher Robert A, Heath Lauren, Perkovic Adam, Vaduganathan Muthiah, Badve Sunil V, et al.. Cardiovascular, Kidney, and Safety Outcomes With GLP-1 Receptor Agonists Alone and in Combination With SGLT2 Inhibitors in Type 2 Diabetes: A Systematic Review and Meta-Analysis.. Circulation. 2024;150(22):1781-1790. doi: 10.1161/CIRCULATIONAHA.124.071689</w:t>
      </w:r>
    </w:p>
    <w:p>
      <w:r>
        <w:t>［11］ Lava Sebastiano A G, Laurence Craig, Di Deo Alessandro, Sekarski Nicole, Burch Michael, Della Pasqua Oscar. Dapagliflozin and Empagliflozin in Paediatric Indications: A Systematic Review.. Paediatric drugs. 2024;26(3):229-243. doi: 10.1007/s40272-024-00623-z</w:t>
      </w:r>
    </w:p>
    <w:p>
      <w:r>
        <w:t>［12］ Park Jin Joo. Epidemiology, Pathophysiology, Diagnosis and Treatment of Heart Failure in Diabetes.. Diabetes &amp; metabolism journal. 2021;45(2):146-157. doi: 10.4093/dmj.2020.0282</w:t>
      </w:r>
    </w:p>
    <w:p>
      <w:r>
        <w:t>［13］ Shin HoJin, Paik Julie M, Everett Brendan M, DiCesare Elyse, Alix Caroline, Glynn Robert J, et al.. Comparative Effectiveness of Individual Sodium-Glucose Cotransporter 2 Inhibitors.. JAMA internal medicine. 2025;185(3):302-313. doi: 10.1001/jamainternmed.2024.7357</w:t>
      </w:r>
    </w:p>
    <w:p>
      <w:r>
        <w:t>［14］ Jhund Pardeep S, Kondo Toru, Butt Jawad H, Docherty Kieran F, Claggett Brian L, Desai Akshay S, et al.. Dapagliflozin across the range of ejection fraction in patients with heart failure: a patient-level, pooled meta-analysis of DAPA-HF and DELIVER.. Nature medicine. 2022;28(9):1956-1964. doi: 10.1038/s41591-022-01971-4</w:t>
      </w:r>
    </w:p>
    <w:p>
      <w:r>
        <w:t>［15］ Toyama Tadashi, Neuen Brendon L, Jun Min, Ohkuma Toshiaki, Neal Bruce, Jardine Meg J, et al.. Effect of SGLT2 inhibitors on cardiovascular, renal and safety outcomes in patients with type 2 diabetes mellitus and chronic kidney disease: A systematic review and meta-analysis.. Diabetes, obesity &amp; metabolism. 2019;21(5):1237-1250. doi: 10.1111/dom.13648</w:t>
      </w:r>
    </w:p>
    <w:p>
      <w:r>
        <w:t>［16］ Qaseem Amir, Obley Adam J, Shamliyan Tatyana, Hicks Lauri A, Harrod Curtis S, Crandall Carolyn J, et al.. Newer Pharmacologic Treatments in Adults With Type 2 Diabetes: A Clinical Guideline From the American College of Physicians.. Annals of internal medicine. 2024;177(5):658-666. doi: 10.7326/M23-2788</w:t>
      </w:r>
    </w:p>
    <w:p>
      <w:r>
        <w:t>［17］ Usman Muhammad Shariq, Siddiqi Tariq Jamal, Anker Stefan D, Bakris George L, Bhatt Deepak L, Filippatos Gerasimos, et al.. Effect of SGLT2 Inhibitors on Cardiovascular Outcomes Across Various Patient Populations.. Journal of the American College of Cardiology. 2023;81(25):2377-2387. doi: 10.1016/j.jacc.2023.04.034</w:t>
      </w:r>
    </w:p>
    <w:p>
      <w:r>
        <w:t>［18］ Drake Tyler, Landsteiner Adrienne, Langsetmo Lisa, MacDonald Roderick, Anthony Maylen, Kalinowski Caleb, et al.. Newer Pharmacologic Treatments in Adults With Type 2 Diabetes: A Systematic Review and Network Meta-analysis for the American College of Physicians.. Annals of internal medicine. 2024;177(5):618-632. doi: 10.7326/M23-1490</w:t>
      </w:r>
    </w:p>
    <w:p>
      <w:r>
        <w:t>［19］ Usman Muhammad Shariq, Bhatt Deepak L, Hameed Ishaque, Anker Stefan D, Cheng Alice Y Y, Hernandez Adrian F, et al.. Effect of SGLT2 inhibitors on heart failure outcomes and cardiovascular death across the cardiometabolic disease spectrum: a systematic review and meta-analysis.. The lancet. Diabetes &amp; endocrinology. 2024;12(7):447-461. doi: 10.1016/S2213-8587(24)00102-5</w:t>
      </w:r>
    </w:p>
    <w:p>
      <w:r>
        <w:t>［20］ Ali Ahmed E, Mazroua Muhammad Sabry, ElSaban Mariam, Najam Nadia, Kothari Aditi S, Mansoor Taha, et al.. Effect of Dapagliflozin in Patients with Heart Failure: A Systematic Review and Meta-Analysis.. Global heart. 2023;18(1):45. doi: 10.5334/gh.1258</w:t>
      </w:r>
    </w:p>
    <w:p>
      <w:r>
        <w:t>［21］ Theodorakis Nikolaos, Nikolaou Maria. Integrated Management of Cardiovascular-Renal-Hepatic-Metabolic Syndrome: Expanding Roles of SGLT2is, GLP-1RAs, and GIP/GLP-1RAs.. Biomedicines. 2025;13(1):135. doi: 10.3390/biomedicines13010135</w:t>
      </w:r>
    </w:p>
    <w:p>
      <w:r>
        <w:t>［22］ Agarwal Arnav, Mustafa Reem, Manja Veena, Agoritsas Thomas, Macdonald Helen, Li Sheyu, et al.. Cardiovascular, kidney related, and weight loss effects of therapeutics for type 2 diabetes: a living clinical practice guideline.. BMJ (Clinical research ed.). 2025;390:e082071. doi: 10.1136/bmj-2024-082071</w:t>
      </w:r>
    </w:p>
    <w:p>
      <w:r>
        <w:t>［23］ Agarwal Arnav, Zeng Xiaoxi, Li Sheyu, Rayner Daniel, Foroutan Farid, Aertgeerts Bert, et al.. Sodium-glucose cotransporter-2 (SGLT-2) inhibitors for adults with chronic kidney disease: a clinical practice guideline.. BMJ (Clinical research ed.). 2024;387:e080257. doi: 10.1136/bmj-2024-080257</w:t>
      </w:r>
    </w:p>
    <w:p>
      <w:r>
        <w:t>［24］ Kongmalai Tanawan, Hadnorntun Phorntida, Leelahavarong Pattara, Kongmalai Pinkawas, Srinonprasert Varalak, Chirakarnjanakorn Srisakul, et al.. Comparative cardiovascular benefits of individual SGLT2 inhibitors in type 2 diabetes and heart failure: a systematic review and network meta-analysis of randomized controlled trials.. Frontiers in endocrinology. 2023;14:1216160. doi: 10.3389/fendo.2023.1216160</w:t>
      </w:r>
    </w:p>
    <w:p>
      <w:r>
        <w:t>［25］ Marilly Elisa, Cottin Judith, Cabrera Natalia, Cornu Catherine, Boussageon Remy, Moulin Philippe, et al.. SGLT2 inhibitors in type 2 diabetes: a systematic review and meta-analysis of cardiovascular outcome trials balancing their risks and benefits.. Diabetologia. 2022;65(12):2000-2010. doi: 10.1007/s00125-022-05773-8</w:t>
      </w:r>
    </w:p>
    <w:p>
      <w:r>
        <w:t>［26］ Li Sheyu, Vandvik Per Olav, Lytvyn Lyubov, Guyatt Gordon H, Palmer Suetonia C, Rodriguez-Gutierrez René, et al.. SGLT-2 inhibitors or GLP-1 receptor agonists for adults with type 2 diabetes: a clinical practice guideline.. BMJ (Clinical research ed.). 2021;373:n1091. doi: 10.1136/bmj.n1091</w:t>
      </w:r>
    </w:p>
    <w:p>
      <w:r>
        <w:t>［27］ Neuen Brendon L, Oshima Megumi, Agarwal Rajiv, Arnott Clare, Cherney David Z, Edwards Robert, et al.. Sodium-Glucose Cotransporter 2 Inhibitors and Risk of Hyperkalemia in People With Type 2 Diabetes: A Meta-Analysis of Individual Participant Data From Randomized, Controlled Trials.. Circulation. 2022;145(19):1460-1470. doi: 10.1161/CIRCULATIONAHA.121.057736</w:t>
      </w:r>
    </w:p>
    <w:p>
      <w:r>
        <w:t>［28］ Hamid Abdulrahman Khaldoon, Tayem AbdulJaber A'Ed, Al-Aish Sandra Thair, Al Sakini Ahmed Sermed, Hadi Dalia Dhia, Al-Aish Rami Thair. Empagliflozin and other SGLT2 inhibitors in patients with heart failure and preserved ejection fraction: a systematic review and meta-analysis.. Therapeutic advances in cardiovascular disease. 2024;18:17539447241289067. doi: 10.1177/17539447241289067</w:t>
      </w:r>
    </w:p>
    <w:p>
      <w:r>
        <w:t>［29］ Page MJ, McKenzie JE, Bossuyt PM, Boutron I, Hoffmann TC, Mulrow CD. The PRISMA 2020 statement: an updated guideline for reporting systematic reviews. BMJ. 2021;372:n71. doi: 10.1136/bmj.n71</w:t>
      </w:r>
    </w:p>
    <w:p>
      <w:r>
        <w:t>［30］ Rethlefsen ML, Kirtley S, Waffenschmidt S, Ayala AP, Moher D, Page MJ. PRISMA-S: an extension to the PRISMA Statement for Reporting Literature Searches in Systematic Reviews. Systematic Reviews. 2021;10:39. doi: 10.1186/s13643-020-01542-z</w:t>
      </w:r>
    </w:p>
    <w:p>
      <w:r>
        <w:t>［31］ Higgins JPT, Thomas J, Chandler J, Cumpston M, Li T, Page MJ. Cochrane Handbook for Systematic Reviews of Interventions. Cochrane. 2023. https://training.cochrane.org/handbook</w:t>
      </w:r>
    </w:p>
    <w:p>
      <w:r>
        <w:t>［32］ Sterne JAC, Savovic J, Page MJ, Elbers RG, Blencowe NS, Boutron I. RoB 2: A revised Cochrane risk-of-bias tool for randomized trials. BMJ. 2019;366:l4898. doi: 10.1136/bmj.l4898</w:t>
      </w:r>
    </w:p>
    <w:p>
      <w:r>
        <w:t>［33］ DerSimonian R, Laird N. Meta-analysis in clinical trials. Controlled Clinical Trials. 1986;7(3):177-188. doi: 10.1016/0197-2456(86)90046-2</w:t>
      </w:r>
    </w:p>
    <w:p>
      <w:r>
        <w:t>［34］ Higgins JPT, Thompson SG, Deeks JJ, Altman DG. Measuring inconsistency in meta-analyses. BMJ. 2003;327(7414):557-560. doi: 10.1136/bmj.327.7414.557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