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eastAsia="黑体"/>
          <w:b/>
          <w:i w:val="0"/>
          <w:color w:val="1A1A1A"/>
          <w:sz w:val="30"/>
        </w:rPr>
        <w:t>急性胸痛自救用药无效后的处置升级时间阈值：国际指南推荐一致性及其证据基础评价（附中文指南文本的可核验状态）</w:t>
      </w:r>
    </w:p>
    <w:p>
      <w:pPr>
        <w:spacing w:after="240" w:line="360" w:lineRule="auto"/>
        <w:jc w:val="center"/>
      </w:pPr>
      <w:r>
        <w:rPr>
          <w:rFonts w:ascii="Times New Roman" w:hAnsi="Times New Roman" w:eastAsia="宋体"/>
          <w:b/>
          <w:i w:val="0"/>
          <w:color w:val="1A1A1A"/>
          <w:sz w:val="24"/>
        </w:rPr>
        <w:t>Time Thresholds for Escalation of Care After Unrelieved Acute Chest Pain Following Self-Administered Medication: An Evaluation of the Consistency and Evidence Base of International Guideline Recommendations, with the Verification Status of Chinese Guideline Texts</w:t>
      </w:r>
    </w:p>
    <w:p>
      <w:pPr>
        <w:spacing w:after="120" w:line="312" w:lineRule="auto" w:before="240"/>
      </w:pPr>
      <w:r>
        <w:rPr>
          <w:rFonts w:ascii="Times New Roman" w:hAnsi="Times New Roman" w:eastAsia="黑体"/>
          <w:b/>
          <w:i w:val="0"/>
          <w:color w:val="1A1A1A"/>
          <w:sz w:val="24"/>
        </w:rPr>
        <w:t>摘要</w:t>
      </w:r>
    </w:p>
    <w:p>
      <w:pPr>
        <w:spacing w:after="120" w:line="360" w:lineRule="auto"/>
      </w:pPr>
      <w:r>
        <w:rPr>
          <w:rFonts w:ascii="Times New Roman" w:hAnsi="Times New Roman" w:eastAsia="宋体"/>
          <w:b/>
          <w:i w:val="0"/>
          <w:color w:val="1A1A1A"/>
          <w:sz w:val="21"/>
        </w:rPr>
        <w:t>目的</w:t>
      </w:r>
      <w:r>
        <w:rPr>
          <w:rFonts w:ascii="Times New Roman" w:hAnsi="Times New Roman" w:eastAsia="宋体"/>
          <w:b w:val="0"/>
          <w:i w:val="0"/>
          <w:color w:val="1A1A1A"/>
          <w:sz w:val="21"/>
        </w:rPr>
        <w:t xml:space="preserve"> 评价可核验的国际指南对"急性胸痛自救用药后症状不缓解即应升级处置"的时间阈值界定是否一致，报告中文指南与说明书文本的可核验状态，并区分该阈值推荐本身与"时间即心肌"原则各自的证据类型与强度。</w:t>
      </w:r>
      <w:r>
        <w:rPr>
          <w:rFonts w:ascii="Times New Roman" w:hAnsi="Times New Roman" w:eastAsia="宋体"/>
          <w:b/>
          <w:i w:val="0"/>
          <w:color w:val="1A1A1A"/>
          <w:sz w:val="21"/>
        </w:rPr>
        <w:t>方法</w:t>
      </w:r>
      <w:r>
        <w:rPr>
          <w:rFonts w:ascii="Times New Roman" w:hAnsi="Times New Roman" w:eastAsia="宋体"/>
          <w:b w:val="0"/>
          <w:i w:val="0"/>
          <w:color w:val="1A1A1A"/>
          <w:sz w:val="21"/>
        </w:rPr>
        <w:t xml:space="preserve"> 于2026年8月4日对PubMed、Europe PMC、PMC、指南与共识数据库及药品说明书数据库进行系统性检索（55条检索式），共识别468条记录，去重后420条，最终纳入4篇开放获取全文与1份官方患者指导页面作为主张来源；证据按直接引证、跨来源综合与推导估算三类评价，中文指南与说明书条文因全文未能核验不纳入一致性判断。</w:t>
      </w:r>
      <w:r>
        <w:rPr>
          <w:rFonts w:ascii="Times New Roman" w:hAnsi="Times New Roman" w:eastAsia="宋体"/>
          <w:b/>
          <w:i w:val="0"/>
          <w:color w:val="1A1A1A"/>
          <w:sz w:val="21"/>
        </w:rPr>
        <w:t>结果</w:t>
      </w:r>
      <w:r>
        <w:rPr>
          <w:rFonts w:ascii="Times New Roman" w:hAnsi="Times New Roman" w:eastAsia="宋体"/>
          <w:b w:val="0"/>
          <w:i w:val="0"/>
          <w:color w:val="1A1A1A"/>
          <w:sz w:val="21"/>
        </w:rPr>
        <w:t xml:space="preserve"> 经同行评议开放获取文献转述的AHA/ACC与ESC指南文本在给药方案上一致：舌下含服0.3～0.6 mg，含服1～2剂后多数患者5分钟内缓解，如需追加则每5分钟1次、15分钟内总量≤1.2 mg。升级动作的直接文本证据来自ACCF/AHA条文（此期间症状不缓解即应立即寻求医疗救助）与英国NHS患者指导（胸痛不缓解即呼叫急救）；ESC的转述文本以剂量上限为界，未单列升级语句。对疑似急性冠脉综合征且既往已处方硝酸甘油者，含服1剂后5分钟内无缓解或加重即应立即呼叫急救，先于追加用药。相关推荐的证据级别为C级，未检索到直接检验"5分钟/3次"数字的随机试验；而"时间即心肌"具有观察性定量证据：每30分钟再灌注延迟使1年死亡风险增加7.5%，门球时间与院内死亡呈非线性连续关系。速效救心丸的可核验证据限于稳定型心绞痛辅助治疗，未见其为急性胸痛设定升级时间阈值。</w:t>
      </w:r>
      <w:r>
        <w:rPr>
          <w:rFonts w:ascii="Times New Roman" w:hAnsi="Times New Roman" w:eastAsia="宋体"/>
          <w:b/>
          <w:i w:val="0"/>
          <w:color w:val="1A1A1A"/>
          <w:sz w:val="21"/>
        </w:rPr>
        <w:t>结论</w:t>
      </w:r>
      <w:r>
        <w:rPr>
          <w:rFonts w:ascii="Times New Roman" w:hAnsi="Times New Roman" w:eastAsia="宋体"/>
          <w:b w:val="0"/>
          <w:i w:val="0"/>
          <w:color w:val="1A1A1A"/>
          <w:sz w:val="21"/>
        </w:rPr>
        <w:t xml:space="preserve"> 在可核验的国际指南文本中，硝酸甘油自救的给药方案跨体系一致，升级动作由ACCF/AHA条文与NHS患者指导确认；该阈值属安全导向的共识界值而非经试验检验的临床界值；任何自救用药均不得延迟呼叫急救。</w:t>
      </w:r>
    </w:p>
    <w:p>
      <w:pPr>
        <w:spacing w:after="120" w:line="360" w:lineRule="auto"/>
      </w:pPr>
      <w:r>
        <w:rPr>
          <w:rFonts w:ascii="Times New Roman" w:hAnsi="Times New Roman" w:eastAsia="宋体"/>
          <w:b/>
          <w:i w:val="0"/>
          <w:color w:val="1A1A1A"/>
          <w:sz w:val="21"/>
        </w:rPr>
        <w:t>关键词：</w:t>
      </w:r>
      <w:r>
        <w:rPr>
          <w:rFonts w:ascii="Times New Roman" w:hAnsi="Times New Roman" w:eastAsia="宋体"/>
          <w:b w:val="0"/>
          <w:i w:val="0"/>
          <w:color w:val="1A1A1A"/>
          <w:sz w:val="21"/>
        </w:rPr>
        <w:t xml:space="preserve"> 急性胸痛；硝酸甘油；速效救心丸；急性冠脉综合征；临床实践指南；证据评价；院前延迟</w:t>
      </w:r>
    </w:p>
    <w:p>
      <w:pPr>
        <w:spacing w:after="120" w:line="312" w:lineRule="auto" w:before="240"/>
      </w:pPr>
      <w:r>
        <w:rPr>
          <w:rFonts w:ascii="Times New Roman" w:hAnsi="Times New Roman" w:eastAsia="黑体"/>
          <w:b/>
          <w:i w:val="0"/>
          <w:color w:val="1A1A1A"/>
          <w:sz w:val="24"/>
        </w:rPr>
        <w:t>Abstract</w:t>
      </w:r>
    </w:p>
    <w:p>
      <w:pPr>
        <w:spacing w:after="120" w:line="360" w:lineRule="auto"/>
      </w:pPr>
      <w:r>
        <w:rPr>
          <w:rFonts w:ascii="Times New Roman" w:hAnsi="Times New Roman" w:eastAsia="宋体"/>
          <w:b/>
          <w:i w:val="0"/>
          <w:color w:val="1A1A1A"/>
          <w:sz w:val="21"/>
        </w:rPr>
        <w:t>Objective</w:t>
      </w:r>
      <w:r>
        <w:rPr>
          <w:rFonts w:ascii="Times New Roman" w:hAnsi="Times New Roman" w:eastAsia="宋体"/>
          <w:b w:val="0"/>
          <w:i w:val="0"/>
          <w:color w:val="1A1A1A"/>
          <w:sz w:val="21"/>
        </w:rPr>
        <w:t xml:space="preserve"> To evaluate whether verifiable international guidelines define a consistent time threshold for escalation of care when symptoms remain unrelieved after self-administered medication for acute chest pain, to report the verification status of Chinese guideline and drug-label texts, and to characterize the type of evidence underlying the threshold as distinct from the quantitative evidence for the "time is muscle" principle. </w:t>
      </w:r>
      <w:r>
        <w:rPr>
          <w:rFonts w:ascii="Times New Roman" w:hAnsi="Times New Roman" w:eastAsia="宋体"/>
          <w:b/>
          <w:i w:val="0"/>
          <w:color w:val="1A1A1A"/>
          <w:sz w:val="21"/>
        </w:rPr>
        <w:t>Methods</w:t>
      </w:r>
      <w:r>
        <w:rPr>
          <w:rFonts w:ascii="Times New Roman" w:hAnsi="Times New Roman" w:eastAsia="宋体"/>
          <w:b w:val="0"/>
          <w:i w:val="0"/>
          <w:color w:val="1A1A1A"/>
          <w:sz w:val="21"/>
        </w:rPr>
        <w:t xml:space="preserve"> A systematic search of PubMed, Europe PMC, PMC, a guideline/consensus database, and a drug-label database was performed on 4 August 2026 (55 queries). Of 468 records identified (420 after deduplication), four open-access full texts and one official patient-guidance page were included as claim sources. Claims were classified as directly cited, cross-source synthesized, or derived estimates; Chinese guideline and drug-label texts whose full texts could not be verified were excluded from the consistency judgment. </w:t>
      </w:r>
      <w:r>
        <w:rPr>
          <w:rFonts w:ascii="Times New Roman" w:hAnsi="Times New Roman" w:eastAsia="宋体"/>
          <w:b/>
          <w:i w:val="0"/>
          <w:color w:val="1A1A1A"/>
          <w:sz w:val="21"/>
        </w:rPr>
        <w:t>Results</w:t>
      </w:r>
      <w:r>
        <w:rPr>
          <w:rFonts w:ascii="Times New Roman" w:hAnsi="Times New Roman" w:eastAsia="宋体"/>
          <w:b w:val="0"/>
          <w:i w:val="0"/>
          <w:color w:val="1A1A1A"/>
          <w:sz w:val="21"/>
        </w:rPr>
        <w:t xml:space="preserve"> AHA/ACC and ESC guideline texts, as transcribed in peer-reviewed open-access literature, were consistent in their dosing regimen: sublingual nitroglycerin 0.3–0.6 mg, with most patients responding within 5 minutes of one to two doses, and additional doses at 5-minute intervals up to a maximum of 1.2 mg within 15 minutes. Direct textual evidence for the escalation action came from the ACCF/AHA text (seek immediate medical attention if relief does not occur within this timeframe) and from UK NHS patient guidance (call emergency services for chest pain that does not go away); the transcribed ESC text stops at the dose ceiling and states no separate escalation instruction. For patients with suspected acute coronary syndrome who had previously been prescribed nitroglycerin, emergency services should be called if symptoms are unrelieved or worsen 5 minutes after one dose, before taking additional nitroglycerin. The relevant recommendation carries Level of Evidence C, and no randomized trial directly testing the "5-minute/three-dose" figures was identified; in contrast, "time is muscle" is supported by quantitative observational evidence: each 30-minute reperfusion delay increases 1-year mortality risk by 7.5%, and door-to-balloon time shows a nonlinear continuous relationship with in-hospital mortality. Verifiable evidence for Suxiao Jiuxin Pill is confined to adjunctive therapy of stable angina, with no escalation time threshold for acute chest pain identified. </w:t>
      </w:r>
      <w:r>
        <w:rPr>
          <w:rFonts w:ascii="Times New Roman" w:hAnsi="Times New Roman" w:eastAsia="宋体"/>
          <w:b/>
          <w:i w:val="0"/>
          <w:color w:val="1A1A1A"/>
          <w:sz w:val="21"/>
        </w:rPr>
        <w:t>Conclusion</w:t>
      </w:r>
      <w:r>
        <w:rPr>
          <w:rFonts w:ascii="Times New Roman" w:hAnsi="Times New Roman" w:eastAsia="宋体"/>
          <w:b w:val="0"/>
          <w:i w:val="0"/>
          <w:color w:val="1A1A1A"/>
          <w:sz w:val="21"/>
        </w:rPr>
        <w:t xml:space="preserve"> Across the verifiable international guideline texts the dosing regimen is consistent and the escalation action is confirmed by the ACCF/AHA text and NHS patient guidance; the threshold nevertheless constitutes a safety-oriented consensus boundary rather than a trial-tested clinical cut-off, and no self-administered medication may delay calling emergency services.</w:t>
      </w:r>
    </w:p>
    <w:p>
      <w:pPr>
        <w:spacing w:after="120" w:line="360" w:lineRule="auto"/>
      </w:pPr>
      <w:r>
        <w:rPr>
          <w:rFonts w:ascii="Times New Roman" w:hAnsi="Times New Roman" w:eastAsia="宋体"/>
          <w:b/>
          <w:i w:val="0"/>
          <w:color w:val="1A1A1A"/>
          <w:sz w:val="21"/>
        </w:rPr>
        <w:t>Keywords:</w:t>
      </w:r>
      <w:r>
        <w:rPr>
          <w:rFonts w:ascii="Times New Roman" w:hAnsi="Times New Roman" w:eastAsia="宋体"/>
          <w:b w:val="0"/>
          <w:i w:val="0"/>
          <w:color w:val="1A1A1A"/>
          <w:sz w:val="21"/>
        </w:rPr>
        <w:t xml:space="preserve"> acute chest pain; nitroglycerin; Suxiao Jiuxin Pill; acute coronary syndrome; clinical practice guidelines; evidence appraisal; prehospital delay</w:t>
      </w:r>
    </w:p>
    <w:p>
      <w:pPr>
        <w:spacing w:after="120" w:line="312" w:lineRule="auto" w:before="240"/>
      </w:pPr>
      <w:r>
        <w:rPr>
          <w:rFonts w:ascii="Times New Roman" w:hAnsi="Times New Roman" w:eastAsia="黑体"/>
          <w:b/>
          <w:i w:val="0"/>
          <w:color w:val="1A1A1A"/>
          <w:sz w:val="26"/>
        </w:rPr>
        <w:t>1 引言</w:t>
      </w:r>
    </w:p>
    <w:p>
      <w:pPr>
        <w:spacing w:after="120" w:line="360" w:lineRule="auto"/>
        <w:ind w:firstLine="420"/>
      </w:pPr>
      <w:r>
        <w:rPr>
          <w:rFonts w:ascii="Times New Roman" w:hAnsi="Times New Roman" w:eastAsia="宋体"/>
          <w:b w:val="0"/>
          <w:i w:val="0"/>
          <w:color w:val="1A1A1A"/>
          <w:sz w:val="21"/>
        </w:rPr>
        <w:t>急性胸痛是心血管急症的首要警示症状，其中最需时间敏感处置的病因是急性冠脉综合征（acute coronary syndrome，ACS）。对ST段抬高型心肌梗死（ST-segment elevation myocardial infarction，STEMI）而言，缺血持续时间直接决定梗死面积与临床结局，每分钟延迟均与死亡率增加、梗死面积增大及心力衰竭风险增高相关</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该原则的定量证据来自接受直接经皮冠状动脉介入治疗的STEMI人群。在此背景下，患者层面的自救行为——舌下含服硝酸甘油，以及在中国临床实践中常见的速效救心丸——与呼叫急救之间的时间关系，构成院前处置链条中最早、也最易发生延误的环节。观察性资料显示，症状发作至首次医疗接触（first medical contact，FMC）是总缺血时间中最长且变异最大的组成部分，中位患者决策延迟约100分钟，约占院前延迟的60%</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。因此，"自救用药后症状不缓解多长时间即应升级处置"这一阈值如何界定、由何种证据支撑，直接影响患者一侧的时间损耗与临床结局。</w:t>
      </w:r>
    </w:p>
    <w:p>
      <w:pPr>
        <w:spacing w:after="120" w:line="360" w:lineRule="auto"/>
        <w:ind w:firstLine="420"/>
      </w:pPr>
      <w:r>
        <w:rPr>
          <w:rFonts w:ascii="Times New Roman" w:hAnsi="Times New Roman" w:eastAsia="宋体"/>
          <w:b w:val="0"/>
          <w:i w:val="0"/>
          <w:color w:val="1A1A1A"/>
          <w:sz w:val="21"/>
        </w:rPr>
        <w:t>需要指出，"指南给出了阈值推荐"与"该阈值有试验证据支持"是两个必须分开回答的问题。前者关涉各指南文件在数值（重复间隔、次数与总量上限）与升级动作（呼叫急救或立即就医）上是否一致；后者关涉支撑这些数值的证据类型——是药代动力学推断与专家共识，还是直接检验该界值的临床研究。既往论述中两者常被混同，致使"5分钟/3次"被误读为经试验证实的生理学最优时点。本研究以基于系统性检索的指南推荐一致性评价为体裁，依次回答四个相互衔接的问题：其一，AHA/ACC、ESC与中国指南及共识对硝酸甘油自救后"症状不缓解即升级"的时间阈值分别如何界定、证据来源与推荐强度如何、是否一致；其二，速效救心丸说明书及相关文件是否给出对应的时间阈值及其证据基础；其三，支撑这些阈值的证据类型如何，"时间即心肌"的定量证据强度如何；其四，升级路径的具体步骤与呼叫急救在其中的相对位置。</w:t>
      </w:r>
    </w:p>
    <w:p>
      <w:pPr>
        <w:spacing w:after="120" w:line="312" w:lineRule="auto" w:before="240"/>
      </w:pPr>
      <w:r>
        <w:rPr>
          <w:rFonts w:ascii="Times New Roman" w:hAnsi="Times New Roman" w:eastAsia="黑体"/>
          <w:b/>
          <w:i w:val="0"/>
          <w:color w:val="1A1A1A"/>
          <w:sz w:val="26"/>
        </w:rPr>
        <w:t>2 资料与方法</w:t>
      </w:r>
    </w:p>
    <w:p>
      <w:pPr>
        <w:spacing w:after="80" w:line="312" w:lineRule="auto" w:before="160"/>
      </w:pPr>
      <w:r>
        <w:rPr>
          <w:rFonts w:ascii="Times New Roman" w:hAnsi="Times New Roman" w:eastAsia="黑体"/>
          <w:b/>
          <w:i w:val="0"/>
          <w:color w:val="1A1A1A"/>
          <w:sz w:val="22"/>
        </w:rPr>
        <w:t>2.1 检索策略</w:t>
      </w:r>
    </w:p>
    <w:p>
      <w:pPr>
        <w:spacing w:after="120" w:line="360" w:lineRule="auto"/>
        <w:ind w:firstLine="420"/>
      </w:pPr>
      <w:r>
        <w:rPr>
          <w:rFonts w:ascii="Times New Roman" w:hAnsi="Times New Roman" w:eastAsia="宋体"/>
          <w:b w:val="0"/>
          <w:i w:val="0"/>
          <w:color w:val="1A1A1A"/>
          <w:sz w:val="21"/>
        </w:rPr>
        <w:t>证据检索于2026年8月4日完成，采用可复现的迭代检索协议。检索范围包括：PubMed、Europe PMC、PMC全文库、指南与共识数据库（同时按题录与条文全文两种粒度检索），以及药品说明书数据库（国家药品监督管理局登记信息）；并检索英国国家医疗服务体系（NHS）官方患者指导页面</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共执行55条成功检索式，全部检索式与结果数均予以记录。检索概念覆盖：硝酸甘油与急性冠脉综合征（中英文）、胸痛评估指南、院前急救与呼叫急救、心肌总缺血时间与再灌注时间窗、门球时间、"黄金120分钟"，以及速效救心丸（中英文）。检索所得题录按DOI、PMID、URL与规范化标题去重，再按主题相关性进行标题—摘要筛查。</w:t>
      </w:r>
    </w:p>
    <w:p>
      <w:pPr>
        <w:spacing w:after="80" w:line="312" w:lineRule="auto" w:before="160"/>
      </w:pPr>
      <w:r>
        <w:rPr>
          <w:rFonts w:ascii="Times New Roman" w:hAnsi="Times New Roman" w:eastAsia="黑体"/>
          <w:b/>
          <w:i w:val="0"/>
          <w:color w:val="1A1A1A"/>
          <w:sz w:val="22"/>
        </w:rPr>
        <w:t>2.2 纳入与排除标准</w:t>
      </w:r>
    </w:p>
    <w:p>
      <w:pPr>
        <w:spacing w:after="120" w:line="360" w:lineRule="auto"/>
        <w:ind w:firstLine="420"/>
      </w:pPr>
      <w:r>
        <w:rPr>
          <w:rFonts w:ascii="Times New Roman" w:hAnsi="Times New Roman" w:eastAsia="宋体"/>
          <w:b w:val="0"/>
          <w:i w:val="0"/>
          <w:color w:val="1A1A1A"/>
          <w:sz w:val="21"/>
        </w:rPr>
        <w:t>纳入标准为：现行或历史基准指南条文（经同行评议开放获取文献逐字转述且转述载体全文可获取）；直接考察硝酸甘油自救方案或治疗延迟—预后关系的研究；含急性胸痛自我处置建议的官方文件。排除标准为：病例报告；与主题无关的记录；无法确认身份或无法获取可核验文本的记录。为保证每一条结论均可追溯至可核验原文，仅当来源的全文（或官方页面原文）能够获取并保存时，方作为主张来源；仅达摘要级或索引级的记录不作为主张来源，其内容以证据缺口形式如实报告。本研究为基于系统性检索的证据评价与指南推荐一致性评价，而非PRISMA意义上的系统评价：未实施双人独立筛选与资料提取，未进行前瞻性注册，亦未对纳入研究做定量合并；体裁定位与方法学承诺以此为限。</w:t>
      </w:r>
    </w:p>
    <w:p>
      <w:pPr>
        <w:spacing w:after="80" w:line="312" w:lineRule="auto" w:before="160"/>
      </w:pPr>
      <w:r>
        <w:rPr>
          <w:rFonts w:ascii="Times New Roman" w:hAnsi="Times New Roman" w:eastAsia="黑体"/>
          <w:b/>
          <w:i w:val="0"/>
          <w:color w:val="1A1A1A"/>
          <w:sz w:val="22"/>
        </w:rPr>
        <w:t>2.3 证据评价方法</w:t>
      </w:r>
    </w:p>
    <w:p>
      <w:pPr>
        <w:spacing w:after="120" w:line="360" w:lineRule="auto"/>
        <w:ind w:firstLine="420"/>
      </w:pPr>
      <w:r>
        <w:rPr>
          <w:rFonts w:ascii="Times New Roman" w:hAnsi="Times New Roman" w:eastAsia="宋体"/>
          <w:b w:val="0"/>
          <w:i w:val="0"/>
          <w:color w:val="1A1A1A"/>
          <w:sz w:val="21"/>
        </w:rPr>
        <w:t>对每条结论性主张按三种类型评价并标注。直接引证型主张须与单一来源的逐字原文绑定；跨来源综合型主张须由至少两个相互独立的来源分别以原文支持，并给出一致性置信度；推导估算型主张须公开输入数据、计算方法、假设与敏感性分析，明确标注为推算结果，且不进入任何处置建议。对纳入来源的评估维度包括：来源类型与证据形式、人群与场景（急性未分型胸痛与慢性稳定型心绞痛的区分）、偏倚风险、对研究问题的直接性、时效性与辖区适用性。</w:t>
      </w:r>
    </w:p>
    <w:p>
      <w:pPr>
        <w:spacing w:after="120" w:line="360" w:lineRule="auto"/>
        <w:ind w:firstLine="420"/>
      </w:pPr>
      <w:r>
        <w:rPr>
          <w:rFonts w:ascii="Times New Roman" w:hAnsi="Times New Roman" w:eastAsia="宋体"/>
          <w:b w:val="0"/>
          <w:i w:val="0"/>
          <w:color w:val="1A1A1A"/>
          <w:sz w:val="21"/>
        </w:rPr>
        <w:t>一致性判断按预设框架进行。其一（阈值有无）：若阈值仅为剂量安全上限与药代动力学特征结合的共识产物，则指南原文应能逐一列出剂量方案，且应检索不到直接检验该数字的试验；反之，若阈值有试验基础，则应能找到检验"症状不缓解后第X分钟升级"的随机试验或高质量观察性研究。其二（一致性）：不同文件中的重复间隔、次数与总量上限及升级动作应相互吻合，任何差异须逐一列出，不得以其一代表全部。其三（症状缓解的诊断价值）：若含服后缓解不能排除心肌梗死，则"等到缓解"不构成安全策略，升级阈值必须与呼叫急救联动。其四（延迟的代价）：若"时间即心肌"有定量证据，则任何将呼叫急救置于自救之后的安排均须在阈值内完成。</w:t>
      </w:r>
    </w:p>
    <w:p>
      <w:pPr>
        <w:spacing w:after="120" w:line="312" w:lineRule="auto" w:before="240"/>
      </w:pPr>
      <w:r>
        <w:rPr>
          <w:rFonts w:ascii="Times New Roman" w:hAnsi="Times New Roman" w:eastAsia="黑体"/>
          <w:b/>
          <w:i w:val="0"/>
          <w:color w:val="1A1A1A"/>
          <w:sz w:val="26"/>
        </w:rPr>
        <w:t>3 结果</w:t>
      </w:r>
    </w:p>
    <w:p>
      <w:pPr>
        <w:spacing w:after="80" w:line="312" w:lineRule="auto" w:before="160"/>
      </w:pPr>
      <w:r>
        <w:rPr>
          <w:rFonts w:ascii="Times New Roman" w:hAnsi="Times New Roman" w:eastAsia="黑体"/>
          <w:b/>
          <w:i w:val="0"/>
          <w:color w:val="1A1A1A"/>
          <w:sz w:val="22"/>
        </w:rPr>
        <w:t>3.1 检索与纳入结果</w:t>
      </w:r>
    </w:p>
    <w:p>
      <w:pPr>
        <w:spacing w:after="120" w:line="360" w:lineRule="auto"/>
        <w:ind w:firstLine="420"/>
      </w:pPr>
      <w:r>
        <w:rPr>
          <w:rFonts w:ascii="Times New Roman" w:hAnsi="Times New Roman" w:eastAsia="宋体"/>
          <w:b w:val="0"/>
          <w:i w:val="0"/>
          <w:color w:val="1A1A1A"/>
          <w:sz w:val="21"/>
        </w:rPr>
        <w:t>共识别468条记录，去重后420条。经标题—摘要筛查，5个来源满足"全文或官方页面原文可获取并核验"的纳入条件：转述ACCF/AHA与ESC指南条文的短效硝酸甘油综述（Drug Des Devel Ther，2015）</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；承载延迟—死亡定量证据的"时间即心肌"主题综述（J Cardiovasc Dev Dis，2025）</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；承载国际指南门球时间目标表述的门球时间达标回顾性研究（Int J Emerg Med，2026）</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；速效救心丸治疗稳定型心绞痛的随机对照试验方案（Trials，2021）</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；以及NHS急性胸痛官方患者指导页面</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。AHA/ACC与ESC指南原始全文为非开放获取，未能直接核验；2023 ESC ACS更新与2025 AHA/ACC ACS指南的存在性及相关表述经上述开放获取文献转述承载</w:t>
      </w:r>
      <w:r>
        <w:rPr>
          <w:rFonts w:ascii="Times New Roman" w:hAnsi="Times New Roman" w:eastAsia="宋体"/>
          <w:b w:val="0"/>
          <w:i w:val="0"/>
          <w:color w:val="1A1A1A"/>
          <w:sz w:val="21"/>
          <w:vertAlign w:val="superscript"/>
        </w:rPr>
        <w:t>[4-5]</w:t>
      </w:r>
      <w:r>
        <w:rPr>
          <w:rFonts w:ascii="Times New Roman" w:hAnsi="Times New Roman" w:eastAsia="宋体"/>
          <w:b w:val="0"/>
          <w:i w:val="0"/>
          <w:color w:val="1A1A1A"/>
          <w:sz w:val="21"/>
        </w:rPr>
        <w:t>。中文指南与共识4种及速效救心丸说明书经索引识别，但全文均未能核验，不作为主张来源</w:t>
      </w:r>
      <w:r>
        <w:rPr>
          <w:rFonts w:ascii="Times New Roman" w:hAnsi="Times New Roman" w:eastAsia="宋体"/>
          <w:b w:val="0"/>
          <w:i w:val="0"/>
          <w:color w:val="1A1A1A"/>
          <w:sz w:val="21"/>
          <w:vertAlign w:val="superscript"/>
        </w:rPr>
        <w:t>[6-10]</w:t>
      </w:r>
      <w:r>
        <w:rPr>
          <w:rFonts w:ascii="Times New Roman" w:hAnsi="Times New Roman" w:eastAsia="宋体"/>
          <w:b w:val="0"/>
          <w:i w:val="0"/>
          <w:color w:val="1A1A1A"/>
          <w:sz w:val="21"/>
        </w:rPr>
        <w:t>（见3.4）。此外，考察"硝酸甘油含服后症状缓解能否预测活动性冠心病"的一项459例前瞻性队列研究仅能获取摘要级记录，全文未能核验，故未纳入主张体系，作为证据缺口报告（见4.2与4.4）。</w:t>
      </w:r>
    </w:p>
    <w:p>
      <w:pPr>
        <w:spacing w:after="80" w:line="312" w:lineRule="auto" w:before="160"/>
      </w:pPr>
      <w:r>
        <w:rPr>
          <w:rFonts w:ascii="Times New Roman" w:hAnsi="Times New Roman" w:eastAsia="黑体"/>
          <w:b/>
          <w:i w:val="0"/>
          <w:color w:val="1A1A1A"/>
          <w:sz w:val="22"/>
        </w:rPr>
        <w:t>3.2 国际指南中的硝酸甘油自救时间阈值及其一致性</w:t>
      </w:r>
    </w:p>
    <w:p>
      <w:pPr>
        <w:spacing w:after="120" w:line="360" w:lineRule="auto"/>
        <w:ind w:firstLine="420"/>
      </w:pPr>
      <w:r>
        <w:rPr>
          <w:rFonts w:ascii="Times New Roman" w:hAnsi="Times New Roman" w:eastAsia="宋体"/>
          <w:b w:val="0"/>
          <w:i w:val="0"/>
          <w:color w:val="1A1A1A"/>
          <w:sz w:val="21"/>
        </w:rPr>
        <w:t>经同行评议开放获取综述逐字转述的国际指南条文可按文件逐一列出（表1）。2012年ACCF/AHA稳定型缺血性心脏病指南文本规定：舌下含服硝酸甘油0.3～0.6 mg，含服1～2剂后多数患者5分钟内缓解；如需追加剂量，应每5分钟1次，15分钟内最大剂量不超过1.2 mg；在此期间若症状不缓解，患者应立即寻求医疗救助</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2011年ACCF/AHA不稳定型心绞痛/非ST段抬高型心肌梗死（UA/NSTEMI）指南更新对疑似ACS患者的自救指令更为严格：既往已处方硝酸甘油者出现胸部不适时，应先舌下含服不超过1剂；若含服1剂后5分钟内无缓解或疼痛加重，患者或其家属、照护者应立即呼叫9-1-1获得急救服务，而非先追加硝酸甘油</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。针对UA/NSTEMI的住院抗缺血治疗，AHA/ACC给出Class I推荐（证据级别C）：持续缺血性不适者应舌下含服硝酸甘油0.4 mg，每5分钟1次，共3次，此后评估静脉硝酸甘油的需要（除非有禁忌）</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。ESC稳定型冠状动脉疾病指南文本规定：心绞痛发作时应静坐休息并舌下含服硝酸甘油0.3～0.6 mg，每5分钟1次，直至疼痛缓解或15分钟内达到最大剂量1.2 mg</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硝酸甘油无应答的通行临床界定亦有明确转述：心绞痛发作对短效硝酸甘油无反应（通常定义为每5分钟1次、最多3次后胸部不适无改善），应视为可能急性心肌梗死，需要立即医疗评估与处理</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患者层面的急救指导与上述方案相衔接：NHS官方页面要求，突发胸部疼痛或不适且不缓解者（可表现为挤压感、压迫感、烧灼感或消化不良样症状）应立即呼叫999，因其可能正在发生心脏病发作，需要立即住院治疗</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w:t>
      </w:r>
    </w:p>
    <w:p>
      <w:pPr>
        <w:spacing w:after="60" w:line="360" w:lineRule="auto"/>
        <w:jc w:val="center"/>
      </w:pPr>
      <w:r>
        <w:rPr>
          <w:rFonts w:ascii="Times New Roman" w:hAnsi="Times New Roman" w:eastAsia="宋体"/>
          <w:b/>
          <w:i w:val="0"/>
          <w:color w:val="1A1A1A"/>
          <w:sz w:val="19"/>
        </w:rPr>
        <w:t>表1</w:t>
      </w:r>
      <w:r>
        <w:rPr>
          <w:rFonts w:ascii="Times New Roman" w:hAnsi="Times New Roman" w:eastAsia="宋体"/>
          <w:b w:val="0"/>
          <w:i w:val="0"/>
          <w:color w:val="1A1A1A"/>
          <w:sz w:val="19"/>
        </w:rPr>
        <w:t xml:space="preserve"> 国际指南文件中硝酸甘油自我给药方案与症状不缓解后的升级指令（经开放获取同行评议文献转述）</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511"/>
        <w:gridCol w:w="1511"/>
        <w:gridCol w:w="1511"/>
        <w:gridCol w:w="1511"/>
        <w:gridCol w:w="1511"/>
        <w:gridCol w:w="1511"/>
      </w:tblGrid>
      <w:tr>
        <w:tc>
          <w:tcPr>
            <w:tcW w:type="dxa" w:w="1511"/>
            <w:tcBorders>
              <w:bottom w:val="single" w:sz="6" w:color="1A1A1A"/>
            </w:tcBorders>
          </w:tcPr>
          <w:p>
            <w:pPr>
              <w:jc w:val="center"/>
            </w:pPr>
            <w:r>
              <w:rPr>
                <w:rFonts w:ascii="Times New Roman" w:hAnsi="Times New Roman" w:eastAsia="宋体"/>
                <w:b/>
                <w:i w:val="0"/>
                <w:color w:val="1A1A1A"/>
                <w:sz w:val="18"/>
              </w:rPr>
              <w:t>指南文件（适用场景）</w:t>
            </w:r>
          </w:p>
        </w:tc>
        <w:tc>
          <w:tcPr>
            <w:tcW w:type="dxa" w:w="1511"/>
            <w:tcBorders>
              <w:bottom w:val="single" w:sz="6" w:color="1A1A1A"/>
            </w:tcBorders>
          </w:tcPr>
          <w:p>
            <w:pPr>
              <w:jc w:val="center"/>
            </w:pPr>
            <w:r>
              <w:rPr>
                <w:rFonts w:ascii="Times New Roman" w:hAnsi="Times New Roman" w:eastAsia="宋体"/>
                <w:b/>
                <w:i w:val="0"/>
                <w:color w:val="1A1A1A"/>
                <w:sz w:val="18"/>
              </w:rPr>
              <w:t>给药方案</w:t>
            </w:r>
          </w:p>
        </w:tc>
        <w:tc>
          <w:tcPr>
            <w:tcW w:type="dxa" w:w="1511"/>
            <w:tcBorders>
              <w:bottom w:val="single" w:sz="6" w:color="1A1A1A"/>
            </w:tcBorders>
          </w:tcPr>
          <w:p>
            <w:pPr>
              <w:jc w:val="center"/>
            </w:pPr>
            <w:r>
              <w:rPr>
                <w:rFonts w:ascii="Times New Roman" w:hAnsi="Times New Roman" w:eastAsia="宋体"/>
                <w:b/>
                <w:i w:val="0"/>
                <w:color w:val="1A1A1A"/>
                <w:sz w:val="18"/>
              </w:rPr>
              <w:t>重复与上限</w:t>
            </w:r>
          </w:p>
        </w:tc>
        <w:tc>
          <w:tcPr>
            <w:tcW w:type="dxa" w:w="1511"/>
            <w:tcBorders>
              <w:bottom w:val="single" w:sz="6" w:color="1A1A1A"/>
            </w:tcBorders>
          </w:tcPr>
          <w:p>
            <w:pPr>
              <w:jc w:val="center"/>
            </w:pPr>
            <w:r>
              <w:rPr>
                <w:rFonts w:ascii="Times New Roman" w:hAnsi="Times New Roman" w:eastAsia="宋体"/>
                <w:b/>
                <w:i w:val="0"/>
                <w:color w:val="1A1A1A"/>
                <w:sz w:val="18"/>
              </w:rPr>
              <w:t>症状不缓解后的升级指令</w:t>
            </w:r>
          </w:p>
        </w:tc>
        <w:tc>
          <w:tcPr>
            <w:tcW w:type="dxa" w:w="1511"/>
            <w:tcBorders>
              <w:bottom w:val="single" w:sz="6" w:color="1A1A1A"/>
            </w:tcBorders>
          </w:tcPr>
          <w:p>
            <w:pPr>
              <w:jc w:val="center"/>
            </w:pPr>
            <w:r>
              <w:rPr>
                <w:rFonts w:ascii="Times New Roman" w:hAnsi="Times New Roman" w:eastAsia="宋体"/>
                <w:b/>
                <w:i w:val="0"/>
                <w:color w:val="1A1A1A"/>
                <w:sz w:val="18"/>
              </w:rPr>
              <w:t>推荐级别/证据级别</w:t>
            </w:r>
          </w:p>
        </w:tc>
        <w:tc>
          <w:tcPr>
            <w:tcW w:type="dxa" w:w="1511"/>
            <w:tcBorders>
              <w:bottom w:val="single" w:sz="6" w:color="1A1A1A"/>
            </w:tcBorders>
          </w:tcPr>
          <w:p>
            <w:pPr>
              <w:jc w:val="center"/>
            </w:pPr>
            <w:r>
              <w:rPr>
                <w:rFonts w:ascii="Times New Roman" w:hAnsi="Times New Roman" w:eastAsia="宋体"/>
                <w:b/>
                <w:i w:val="0"/>
                <w:color w:val="1A1A1A"/>
                <w:sz w:val="18"/>
              </w:rPr>
              <w:t>证据载体</w:t>
            </w:r>
          </w:p>
        </w:tc>
      </w:tr>
      <w:tr>
        <w:tc>
          <w:tcPr>
            <w:tcW w:type="dxa" w:w="1511"/>
          </w:tcPr>
          <w:p>
            <w:r>
              <w:rPr>
                <w:rFonts w:ascii="Times New Roman" w:hAnsi="Times New Roman" w:eastAsia="宋体"/>
                <w:b w:val="0"/>
                <w:i w:val="0"/>
                <w:color w:val="1A1A1A"/>
                <w:sz w:val="18"/>
              </w:rPr>
              <w:t>2012 ACCF/AHA稳定型缺血性心脏病指南（自我给药）</w:t>
            </w:r>
          </w:p>
        </w:tc>
        <w:tc>
          <w:tcPr>
            <w:tcW w:type="dxa" w:w="1511"/>
          </w:tcPr>
          <w:p>
            <w:r>
              <w:rPr>
                <w:rFonts w:ascii="Times New Roman" w:hAnsi="Times New Roman" w:eastAsia="宋体"/>
                <w:b w:val="0"/>
                <w:i w:val="0"/>
                <w:color w:val="1A1A1A"/>
                <w:sz w:val="18"/>
              </w:rPr>
              <w:t>舌下含服0.3～0.6 mg，含服1～2剂后多数患者5分钟内缓解</w:t>
            </w:r>
          </w:p>
        </w:tc>
        <w:tc>
          <w:tcPr>
            <w:tcW w:type="dxa" w:w="1511"/>
          </w:tcPr>
          <w:p>
            <w:r>
              <w:rPr>
                <w:rFonts w:ascii="Times New Roman" w:hAnsi="Times New Roman" w:eastAsia="宋体"/>
                <w:b w:val="0"/>
                <w:i w:val="0"/>
                <w:color w:val="1A1A1A"/>
                <w:sz w:val="18"/>
              </w:rPr>
              <w:t>如需追加，每5分钟1次；15分钟内≤1.2 mg</w:t>
            </w:r>
          </w:p>
        </w:tc>
        <w:tc>
          <w:tcPr>
            <w:tcW w:type="dxa" w:w="1511"/>
          </w:tcPr>
          <w:p>
            <w:r>
              <w:rPr>
                <w:rFonts w:ascii="Times New Roman" w:hAnsi="Times New Roman" w:eastAsia="宋体"/>
                <w:b w:val="0"/>
                <w:i w:val="0"/>
                <w:color w:val="1A1A1A"/>
                <w:sz w:val="18"/>
              </w:rPr>
              <w:t>期间症状不缓解，立即寻求医疗救助</w:t>
            </w:r>
          </w:p>
        </w:tc>
        <w:tc>
          <w:tcPr>
            <w:tcW w:type="dxa" w:w="1511"/>
          </w:tcPr>
          <w:p>
            <w:r>
              <w:rPr>
                <w:rFonts w:ascii="Times New Roman" w:hAnsi="Times New Roman" w:eastAsia="宋体"/>
                <w:b w:val="0"/>
                <w:i w:val="0"/>
                <w:color w:val="1A1A1A"/>
                <w:sz w:val="18"/>
              </w:rPr>
              <w:t>转述文本未标注</w:t>
            </w:r>
          </w:p>
        </w:tc>
        <w:tc>
          <w:tcPr>
            <w:tcW w:type="dxa" w:w="1511"/>
          </w:tcPr>
          <w:p>
            <w:r>
              <w:rPr>
                <w:rFonts w:ascii="Times New Roman" w:hAnsi="Times New Roman" w:eastAsia="宋体"/>
                <w:b w:val="0"/>
                <w:i w:val="0"/>
                <w:color w:val="1A1A1A"/>
                <w:sz w:val="18"/>
              </w:rPr>
              <w:t>综述转述</w:t>
            </w:r>
            <w:r>
              <w:rPr>
                <w:rFonts w:ascii="Times New Roman" w:hAnsi="Times New Roman" w:eastAsia="宋体"/>
                <w:b w:val="0"/>
                <w:i w:val="0"/>
                <w:color w:val="1A1A1A"/>
                <w:sz w:val="18"/>
                <w:vertAlign w:val="superscript"/>
              </w:rPr>
              <w:t>[3]</w:t>
            </w:r>
          </w:p>
        </w:tc>
      </w:tr>
      <w:tr>
        <w:tc>
          <w:tcPr>
            <w:tcW w:type="dxa" w:w="1511"/>
          </w:tcPr>
          <w:p>
            <w:r>
              <w:rPr>
                <w:rFonts w:ascii="Times New Roman" w:hAnsi="Times New Roman" w:eastAsia="宋体"/>
                <w:b w:val="0"/>
                <w:i w:val="0"/>
                <w:color w:val="1A1A1A"/>
                <w:sz w:val="18"/>
              </w:rPr>
              <w:t>2011 ACCF/AHA UA/NSTEMI更新（疑似ACS且既往已处方硝酸甘油者自救）</w:t>
            </w:r>
          </w:p>
        </w:tc>
        <w:tc>
          <w:tcPr>
            <w:tcW w:type="dxa" w:w="1511"/>
          </w:tcPr>
          <w:p>
            <w:r>
              <w:rPr>
                <w:rFonts w:ascii="Times New Roman" w:hAnsi="Times New Roman" w:eastAsia="宋体"/>
                <w:b w:val="0"/>
                <w:i w:val="0"/>
                <w:color w:val="1A1A1A"/>
                <w:sz w:val="18"/>
              </w:rPr>
              <w:t>出现胸部不适先含服不超过1剂</w:t>
            </w:r>
          </w:p>
        </w:tc>
        <w:tc>
          <w:tcPr>
            <w:tcW w:type="dxa" w:w="1511"/>
          </w:tcPr>
          <w:p>
            <w:r>
              <w:rPr>
                <w:rFonts w:ascii="Times New Roman" w:hAnsi="Times New Roman" w:eastAsia="宋体"/>
                <w:b w:val="0"/>
                <w:i w:val="0"/>
                <w:color w:val="1A1A1A"/>
                <w:sz w:val="18"/>
              </w:rPr>
              <w:t>呼叫急救前不追加剂量</w:t>
            </w:r>
          </w:p>
        </w:tc>
        <w:tc>
          <w:tcPr>
            <w:tcW w:type="dxa" w:w="1511"/>
          </w:tcPr>
          <w:p>
            <w:r>
              <w:rPr>
                <w:rFonts w:ascii="Times New Roman" w:hAnsi="Times New Roman" w:eastAsia="宋体"/>
                <w:b w:val="0"/>
                <w:i w:val="0"/>
                <w:color w:val="1A1A1A"/>
                <w:sz w:val="18"/>
              </w:rPr>
              <w:t>1剂后5分钟内无缓解或疼痛加重，立即呼叫9-1-1，先于追加硝酸甘油</w:t>
            </w:r>
          </w:p>
        </w:tc>
        <w:tc>
          <w:tcPr>
            <w:tcW w:type="dxa" w:w="1511"/>
          </w:tcPr>
          <w:p>
            <w:r>
              <w:rPr>
                <w:rFonts w:ascii="Times New Roman" w:hAnsi="Times New Roman" w:eastAsia="宋体"/>
                <w:b w:val="0"/>
                <w:i w:val="0"/>
                <w:color w:val="1A1A1A"/>
                <w:sz w:val="18"/>
              </w:rPr>
              <w:t>转述文本未标注</w:t>
            </w:r>
          </w:p>
        </w:tc>
        <w:tc>
          <w:tcPr>
            <w:tcW w:type="dxa" w:w="1511"/>
          </w:tcPr>
          <w:p>
            <w:r>
              <w:rPr>
                <w:rFonts w:ascii="Times New Roman" w:hAnsi="Times New Roman" w:eastAsia="宋体"/>
                <w:b w:val="0"/>
                <w:i w:val="0"/>
                <w:color w:val="1A1A1A"/>
                <w:sz w:val="18"/>
              </w:rPr>
              <w:t>综述转述</w:t>
            </w:r>
            <w:r>
              <w:rPr>
                <w:rFonts w:ascii="Times New Roman" w:hAnsi="Times New Roman" w:eastAsia="宋体"/>
                <w:b w:val="0"/>
                <w:i w:val="0"/>
                <w:color w:val="1A1A1A"/>
                <w:sz w:val="18"/>
                <w:vertAlign w:val="superscript"/>
              </w:rPr>
              <w:t>[3]</w:t>
            </w:r>
          </w:p>
        </w:tc>
      </w:tr>
      <w:tr>
        <w:tc>
          <w:tcPr>
            <w:tcW w:type="dxa" w:w="1511"/>
          </w:tcPr>
          <w:p>
            <w:r>
              <w:rPr>
                <w:rFonts w:ascii="Times New Roman" w:hAnsi="Times New Roman" w:eastAsia="宋体"/>
                <w:b w:val="0"/>
                <w:i w:val="0"/>
                <w:color w:val="1A1A1A"/>
                <w:sz w:val="18"/>
              </w:rPr>
              <w:t>AHA/ACC UA/NSTEMI抗缺血治疗（住院场景）</w:t>
            </w:r>
          </w:p>
        </w:tc>
        <w:tc>
          <w:tcPr>
            <w:tcW w:type="dxa" w:w="1511"/>
          </w:tcPr>
          <w:p>
            <w:r>
              <w:rPr>
                <w:rFonts w:ascii="Times New Roman" w:hAnsi="Times New Roman" w:eastAsia="宋体"/>
                <w:b w:val="0"/>
                <w:i w:val="0"/>
                <w:color w:val="1A1A1A"/>
                <w:sz w:val="18"/>
              </w:rPr>
              <w:t>舌下含服0.4 mg</w:t>
            </w:r>
          </w:p>
        </w:tc>
        <w:tc>
          <w:tcPr>
            <w:tcW w:type="dxa" w:w="1511"/>
          </w:tcPr>
          <w:p>
            <w:r>
              <w:rPr>
                <w:rFonts w:ascii="Times New Roman" w:hAnsi="Times New Roman" w:eastAsia="宋体"/>
                <w:b w:val="0"/>
                <w:i w:val="0"/>
                <w:color w:val="1A1A1A"/>
                <w:sz w:val="18"/>
              </w:rPr>
              <w:t>每5分钟1次，共3次</w:t>
            </w:r>
          </w:p>
        </w:tc>
        <w:tc>
          <w:tcPr>
            <w:tcW w:type="dxa" w:w="1511"/>
          </w:tcPr>
          <w:p>
            <w:r>
              <w:rPr>
                <w:rFonts w:ascii="Times New Roman" w:hAnsi="Times New Roman" w:eastAsia="宋体"/>
                <w:b w:val="0"/>
                <w:i w:val="0"/>
                <w:color w:val="1A1A1A"/>
                <w:sz w:val="18"/>
              </w:rPr>
              <w:t>3次后评估静脉硝酸甘油需要（除非禁忌）</w:t>
            </w:r>
          </w:p>
        </w:tc>
        <w:tc>
          <w:tcPr>
            <w:tcW w:type="dxa" w:w="1511"/>
          </w:tcPr>
          <w:p>
            <w:r>
              <w:rPr>
                <w:rFonts w:ascii="Times New Roman" w:hAnsi="Times New Roman" w:eastAsia="宋体"/>
                <w:b w:val="0"/>
                <w:i w:val="0"/>
                <w:color w:val="1A1A1A"/>
                <w:sz w:val="18"/>
              </w:rPr>
              <w:t>Class I，证据级别C</w:t>
            </w:r>
          </w:p>
        </w:tc>
        <w:tc>
          <w:tcPr>
            <w:tcW w:type="dxa" w:w="1511"/>
          </w:tcPr>
          <w:p>
            <w:r>
              <w:rPr>
                <w:rFonts w:ascii="Times New Roman" w:hAnsi="Times New Roman" w:eastAsia="宋体"/>
                <w:b w:val="0"/>
                <w:i w:val="0"/>
                <w:color w:val="1A1A1A"/>
                <w:sz w:val="18"/>
              </w:rPr>
              <w:t>综述转述</w:t>
            </w:r>
            <w:r>
              <w:rPr>
                <w:rFonts w:ascii="Times New Roman" w:hAnsi="Times New Roman" w:eastAsia="宋体"/>
                <w:b w:val="0"/>
                <w:i w:val="0"/>
                <w:color w:val="1A1A1A"/>
                <w:sz w:val="18"/>
                <w:vertAlign w:val="superscript"/>
              </w:rPr>
              <w:t>[3]</w:t>
            </w:r>
          </w:p>
        </w:tc>
      </w:tr>
      <w:tr>
        <w:tc>
          <w:tcPr>
            <w:tcW w:type="dxa" w:w="1511"/>
          </w:tcPr>
          <w:p>
            <w:r>
              <w:rPr>
                <w:rFonts w:ascii="Times New Roman" w:hAnsi="Times New Roman" w:eastAsia="宋体"/>
                <w:b w:val="0"/>
                <w:i w:val="0"/>
                <w:color w:val="1A1A1A"/>
                <w:sz w:val="18"/>
              </w:rPr>
              <w:t>ESC稳定型冠状动脉疾病指南（发作自救）</w:t>
            </w:r>
          </w:p>
        </w:tc>
        <w:tc>
          <w:tcPr>
            <w:tcW w:type="dxa" w:w="1511"/>
          </w:tcPr>
          <w:p>
            <w:r>
              <w:rPr>
                <w:rFonts w:ascii="Times New Roman" w:hAnsi="Times New Roman" w:eastAsia="宋体"/>
                <w:b w:val="0"/>
                <w:i w:val="0"/>
                <w:color w:val="1A1A1A"/>
                <w:sz w:val="18"/>
              </w:rPr>
              <w:t>静坐休息，舌下含服0.3～0.6 mg</w:t>
            </w:r>
          </w:p>
        </w:tc>
        <w:tc>
          <w:tcPr>
            <w:tcW w:type="dxa" w:w="1511"/>
          </w:tcPr>
          <w:p>
            <w:r>
              <w:rPr>
                <w:rFonts w:ascii="Times New Roman" w:hAnsi="Times New Roman" w:eastAsia="宋体"/>
                <w:b w:val="0"/>
                <w:i w:val="0"/>
                <w:color w:val="1A1A1A"/>
                <w:sz w:val="18"/>
              </w:rPr>
              <w:t>每5分钟1次，直至缓解或15分钟内达1.2 mg</w:t>
            </w:r>
          </w:p>
        </w:tc>
        <w:tc>
          <w:tcPr>
            <w:tcW w:type="dxa" w:w="1511"/>
          </w:tcPr>
          <w:p>
            <w:r>
              <w:rPr>
                <w:rFonts w:ascii="Times New Roman" w:hAnsi="Times New Roman" w:eastAsia="宋体"/>
                <w:b w:val="0"/>
                <w:i w:val="0"/>
                <w:color w:val="1A1A1A"/>
                <w:sz w:val="18"/>
              </w:rPr>
              <w:t>转述文本以剂量上限为界，未单列升级语句</w:t>
            </w:r>
          </w:p>
        </w:tc>
        <w:tc>
          <w:tcPr>
            <w:tcW w:type="dxa" w:w="1511"/>
          </w:tcPr>
          <w:p>
            <w:r>
              <w:rPr>
                <w:rFonts w:ascii="Times New Roman" w:hAnsi="Times New Roman" w:eastAsia="宋体"/>
                <w:b w:val="0"/>
                <w:i w:val="0"/>
                <w:color w:val="1A1A1A"/>
                <w:sz w:val="18"/>
              </w:rPr>
              <w:t>转述文本未标注</w:t>
            </w:r>
          </w:p>
        </w:tc>
        <w:tc>
          <w:tcPr>
            <w:tcW w:type="dxa" w:w="1511"/>
          </w:tcPr>
          <w:p>
            <w:r>
              <w:rPr>
                <w:rFonts w:ascii="Times New Roman" w:hAnsi="Times New Roman" w:eastAsia="宋体"/>
                <w:b w:val="0"/>
                <w:i w:val="0"/>
                <w:color w:val="1A1A1A"/>
                <w:sz w:val="18"/>
              </w:rPr>
              <w:t>综述转述</w:t>
            </w:r>
            <w:r>
              <w:rPr>
                <w:rFonts w:ascii="Times New Roman" w:hAnsi="Times New Roman" w:eastAsia="宋体"/>
                <w:b w:val="0"/>
                <w:i w:val="0"/>
                <w:color w:val="1A1A1A"/>
                <w:sz w:val="18"/>
                <w:vertAlign w:val="superscript"/>
              </w:rPr>
              <w:t>[3]</w:t>
            </w:r>
          </w:p>
        </w:tc>
      </w:tr>
      <w:tr>
        <w:tc>
          <w:tcPr>
            <w:tcW w:type="dxa" w:w="1511"/>
          </w:tcPr>
          <w:p>
            <w:r>
              <w:rPr>
                <w:rFonts w:ascii="Times New Roman" w:hAnsi="Times New Roman" w:eastAsia="宋体"/>
                <w:b w:val="0"/>
                <w:i w:val="0"/>
                <w:color w:val="1A1A1A"/>
                <w:sz w:val="18"/>
              </w:rPr>
              <w:t>NHS患者指导（英国，急性胸痛）</w:t>
            </w:r>
          </w:p>
        </w:tc>
        <w:tc>
          <w:tcPr>
            <w:tcW w:type="dxa" w:w="1511"/>
          </w:tcPr>
          <w:p>
            <w:r>
              <w:rPr>
                <w:rFonts w:ascii="Times New Roman" w:hAnsi="Times New Roman" w:eastAsia="宋体"/>
                <w:b w:val="0"/>
                <w:i w:val="0"/>
                <w:color w:val="1A1A1A"/>
                <w:sz w:val="18"/>
              </w:rPr>
              <w:t>—（针对呼叫急救而非药物给药）</w:t>
            </w:r>
          </w:p>
        </w:tc>
        <w:tc>
          <w:tcPr>
            <w:tcW w:type="dxa" w:w="1511"/>
          </w:tcPr>
          <w:p>
            <w:r>
              <w:rPr>
                <w:rFonts w:ascii="Times New Roman" w:hAnsi="Times New Roman" w:eastAsia="宋体"/>
                <w:b w:val="0"/>
                <w:i w:val="0"/>
                <w:color w:val="1A1A1A"/>
                <w:sz w:val="18"/>
              </w:rPr>
              <w:t>—</w:t>
            </w:r>
          </w:p>
        </w:tc>
        <w:tc>
          <w:tcPr>
            <w:tcW w:type="dxa" w:w="1511"/>
          </w:tcPr>
          <w:p>
            <w:r>
              <w:rPr>
                <w:rFonts w:ascii="Times New Roman" w:hAnsi="Times New Roman" w:eastAsia="宋体"/>
                <w:b w:val="0"/>
                <w:i w:val="0"/>
                <w:color w:val="1A1A1A"/>
                <w:sz w:val="18"/>
              </w:rPr>
              <w:t>突发胸痛或不适且不缓解，立即呼叫999</w:t>
            </w:r>
          </w:p>
        </w:tc>
        <w:tc>
          <w:tcPr>
            <w:tcW w:type="dxa" w:w="1511"/>
          </w:tcPr>
          <w:p>
            <w:r>
              <w:rPr>
                <w:rFonts w:ascii="Times New Roman" w:hAnsi="Times New Roman" w:eastAsia="宋体"/>
                <w:b w:val="0"/>
                <w:i w:val="0"/>
                <w:color w:val="1A1A1A"/>
                <w:sz w:val="18"/>
              </w:rPr>
              <w:t>官方患者指导</w:t>
            </w:r>
          </w:p>
        </w:tc>
        <w:tc>
          <w:tcPr>
            <w:tcW w:type="dxa" w:w="1511"/>
          </w:tcPr>
          <w:p>
            <w:r>
              <w:rPr>
                <w:rFonts w:ascii="Times New Roman" w:hAnsi="Times New Roman" w:eastAsia="宋体"/>
                <w:b w:val="0"/>
                <w:i w:val="0"/>
                <w:color w:val="1A1A1A"/>
                <w:sz w:val="18"/>
              </w:rPr>
              <w:t>官方页面原文</w:t>
            </w:r>
            <w:r>
              <w:rPr>
                <w:rFonts w:ascii="Times New Roman" w:hAnsi="Times New Roman" w:eastAsia="宋体"/>
                <w:b w:val="0"/>
                <w:i w:val="0"/>
                <w:color w:val="1A1A1A"/>
                <w:sz w:val="18"/>
                <w:vertAlign w:val="superscript"/>
              </w:rPr>
              <w:t>[1]</w:t>
            </w:r>
          </w:p>
        </w:tc>
      </w:tr>
    </w:tbl>
    <w:p>
      <w:pPr>
        <w:spacing w:after="80"/>
      </w:pPr>
    </w:p>
    <w:p>
      <w:pPr>
        <w:spacing w:after="120" w:line="360" w:lineRule="auto"/>
        <w:ind w:firstLine="420"/>
      </w:pPr>
      <w:r>
        <w:rPr>
          <w:rFonts w:ascii="Times New Roman" w:hAnsi="Times New Roman" w:eastAsia="宋体"/>
          <w:b w:val="0"/>
          <w:i w:val="0"/>
          <w:color w:val="1A1A1A"/>
          <w:sz w:val="21"/>
        </w:rPr>
        <w:t>跨体系一致性判断须按维度分别作出，不能以其一代表全部。其一，给药方案维度：AHA/ACC与ESC一致——单次剂量0.3～0.6 mg、重复间隔5分钟、15分钟内总量上限1.2 mg；两份文本均以总量封顶，而不以次数封顶（"每5分钟1次、共3次"出自0.4 mg/次的UA/NSTEMI院内方案与硝酸甘油无应答的通行界定，与0.3～0.6 mg方案的总量上限不是同一约束，见3.5）。其二，升级动作维度：直接的文本证据仅来自ACCF/AHA条文（追加期间症状不缓解应立即寻求医疗救助；疑似ACS且既往已处方硝酸甘油者，1剂后5分钟不缓解或加重即呼叫9-1-1）与NHS患者指导（胸痛不缓解即呼叫999）；ESC的转述文本以剂量上限为界，未单列升级语句，故本研究不将升级动作计入AHA/ACC与ESC之间的一致性判断，而将其表述为"由ACCF/AHA条文与NHS患者指导两个独立来源确认"。此外，该判断的证据边界还须予限定：AHA/ACC与ESC条文均以开放获取文献的逐字转述为证据载体，非原指南全文的直接核验。版本方面，2025年AHA/ACC急性冠脉综合征患者管理指南已发布（未正式采用OMI/NOMI术语）</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，其是否保留既往"5分钟/3次"条款未能核验；2023 ESC ACS更新经确认为现行文件，并纳入门球时间≤90分钟的目标</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3.3 阈值的证据类型与"时间即心肌"的定量证据</w:t>
      </w:r>
    </w:p>
    <w:p>
      <w:pPr>
        <w:spacing w:after="120" w:line="360" w:lineRule="auto"/>
        <w:ind w:firstLine="420"/>
      </w:pPr>
      <w:r>
        <w:rPr>
          <w:rFonts w:ascii="Times New Roman" w:hAnsi="Times New Roman" w:eastAsia="宋体"/>
          <w:b w:val="0"/>
          <w:i w:val="0"/>
          <w:color w:val="1A1A1A"/>
          <w:sz w:val="21"/>
        </w:rPr>
        <w:t>本研究的核心结果是一对必须分开陈述的判断（表2）。一方面，升级时间阈值的推荐确实存在（给药方案在AHA/ACC与ESC之间一致，升级动作由ACCF/AHA条文与NHS患者指导确认），但其数字本身缺乏直接试验检验：AHA/ACC相关条文的推荐级别为Class I、证据级别C，即支持证据来自专家意见、小型研究或临床经验；本检索未发现直接检验"症状不缓解后第5分钟升级"或"最多3次"这一具体数字的随机试验。该阈值可解释为三项约束的合成产物：舌下硝酸甘油的药代动力学特征（起效快、作用短暂，含服1～2剂后多数患者5分钟内缓解）、剂量安全上限（15分钟内≤1.2 mg），以及"症状缓解不能替代诊断评估"的临床审慎原则</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另一方面，"时间即心肌"具有方向一致、量级明确的观察性定量证据。原则层面，缺血持续时间直接决定梗死面积与临床结局，每分钟延迟均与死亡率增加、梗死面积增大及心力衰竭风险增高相关</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。定量层面，每30分钟再灌注延迟使1年死亡风险增加7.5%</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；门球时间与经调整的院内死亡率呈非线性连续升高关系，30、60、90与150分钟时分别为3.0%、3.5%、4.3%与7.0%</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。系统层面，指南设定门到溶栓时间≤30分钟、门到球囊时间≤90分钟的质量目标</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；ACC/AHA与ESC（含2023更新）将门球时间定义为患者到达急诊至梗死相关动脉首次球囊扩张的时间间隔，并建议该间隔在至少90%的合格患者中不超过90分钟</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。当预期FMC至器械开通时间超过120分钟时，按ESC指南，早期溶栓后2～24小时内常规造影的药物—介入策略是重要的替代方案</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。此外，症状发作至FMC是总缺血时间中最长且变异最大的组成部分，中位患者决策延迟约100分钟，约占院前延迟的60%</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w:t>
      </w:r>
    </w:p>
    <w:p>
      <w:pPr>
        <w:spacing w:after="60" w:line="360" w:lineRule="auto"/>
        <w:jc w:val="center"/>
      </w:pPr>
      <w:r>
        <w:rPr>
          <w:rFonts w:ascii="Times New Roman" w:hAnsi="Times New Roman" w:eastAsia="宋体"/>
          <w:b/>
          <w:i w:val="0"/>
          <w:color w:val="1A1A1A"/>
          <w:sz w:val="19"/>
        </w:rPr>
        <w:t>表2</w:t>
      </w:r>
      <w:r>
        <w:rPr>
          <w:rFonts w:ascii="Times New Roman" w:hAnsi="Times New Roman" w:eastAsia="宋体"/>
          <w:b w:val="0"/>
          <w:i w:val="0"/>
          <w:color w:val="1A1A1A"/>
          <w:sz w:val="19"/>
        </w:rPr>
        <w:t xml:space="preserve"> "阈值推荐"与"时间即心肌"两类证据的特征比较</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13"/>
        <w:gridCol w:w="1813"/>
        <w:gridCol w:w="1813"/>
        <w:gridCol w:w="1813"/>
        <w:gridCol w:w="1813"/>
      </w:tblGrid>
      <w:tr>
        <w:tc>
          <w:tcPr>
            <w:tcW w:type="dxa" w:w="1813"/>
            <w:tcBorders>
              <w:bottom w:val="single" w:sz="6" w:color="1A1A1A"/>
            </w:tcBorders>
          </w:tcPr>
          <w:p>
            <w:pPr>
              <w:jc w:val="center"/>
            </w:pPr>
            <w:r>
              <w:rPr>
                <w:rFonts w:ascii="Times New Roman" w:hAnsi="Times New Roman" w:eastAsia="宋体"/>
                <w:b/>
                <w:i w:val="0"/>
                <w:color w:val="1A1A1A"/>
                <w:sz w:val="18"/>
              </w:rPr>
              <w:t>证据要素</w:t>
            </w:r>
          </w:p>
        </w:tc>
        <w:tc>
          <w:tcPr>
            <w:tcW w:type="dxa" w:w="1813"/>
            <w:tcBorders>
              <w:bottom w:val="single" w:sz="6" w:color="1A1A1A"/>
            </w:tcBorders>
          </w:tcPr>
          <w:p>
            <w:pPr>
              <w:jc w:val="center"/>
            </w:pPr>
            <w:r>
              <w:rPr>
                <w:rFonts w:ascii="Times New Roman" w:hAnsi="Times New Roman" w:eastAsia="宋体"/>
                <w:b/>
                <w:i w:val="0"/>
                <w:color w:val="1A1A1A"/>
                <w:sz w:val="18"/>
              </w:rPr>
              <w:t>数值/内容</w:t>
            </w:r>
          </w:p>
        </w:tc>
        <w:tc>
          <w:tcPr>
            <w:tcW w:type="dxa" w:w="1813"/>
            <w:tcBorders>
              <w:bottom w:val="single" w:sz="6" w:color="1A1A1A"/>
            </w:tcBorders>
          </w:tcPr>
          <w:p>
            <w:pPr>
              <w:jc w:val="center"/>
            </w:pPr>
            <w:r>
              <w:rPr>
                <w:rFonts w:ascii="Times New Roman" w:hAnsi="Times New Roman" w:eastAsia="宋体"/>
                <w:b/>
                <w:i w:val="0"/>
                <w:color w:val="1A1A1A"/>
                <w:sz w:val="18"/>
              </w:rPr>
              <w:t>证据类型</w:t>
            </w:r>
          </w:p>
        </w:tc>
        <w:tc>
          <w:tcPr>
            <w:tcW w:type="dxa" w:w="1813"/>
            <w:tcBorders>
              <w:bottom w:val="single" w:sz="6" w:color="1A1A1A"/>
            </w:tcBorders>
          </w:tcPr>
          <w:p>
            <w:pPr>
              <w:jc w:val="center"/>
            </w:pPr>
            <w:r>
              <w:rPr>
                <w:rFonts w:ascii="Times New Roman" w:hAnsi="Times New Roman" w:eastAsia="宋体"/>
                <w:b/>
                <w:i w:val="0"/>
                <w:color w:val="1A1A1A"/>
                <w:sz w:val="18"/>
              </w:rPr>
              <w:t>核验状态</w:t>
            </w:r>
          </w:p>
        </w:tc>
        <w:tc>
          <w:tcPr>
            <w:tcW w:type="dxa" w:w="1813"/>
            <w:tcBorders>
              <w:bottom w:val="single" w:sz="6" w:color="1A1A1A"/>
            </w:tcBorders>
          </w:tcPr>
          <w:p>
            <w:pPr>
              <w:jc w:val="center"/>
            </w:pPr>
            <w:r>
              <w:rPr>
                <w:rFonts w:ascii="Times New Roman" w:hAnsi="Times New Roman" w:eastAsia="宋体"/>
                <w:b/>
                <w:i w:val="0"/>
                <w:color w:val="1A1A1A"/>
                <w:sz w:val="18"/>
              </w:rPr>
              <w:t>来源</w:t>
            </w:r>
          </w:p>
        </w:tc>
      </w:tr>
      <w:tr>
        <w:tc>
          <w:tcPr>
            <w:tcW w:type="dxa" w:w="1813"/>
          </w:tcPr>
          <w:p>
            <w:r>
              <w:rPr>
                <w:rFonts w:ascii="Times New Roman" w:hAnsi="Times New Roman" w:eastAsia="宋体"/>
                <w:b w:val="0"/>
                <w:i w:val="0"/>
                <w:color w:val="1A1A1A"/>
                <w:sz w:val="18"/>
              </w:rPr>
              <w:t>升级时间阈值（0.3～0.6 mg方案）</w:t>
            </w:r>
          </w:p>
        </w:tc>
        <w:tc>
          <w:tcPr>
            <w:tcW w:type="dxa" w:w="1813"/>
          </w:tcPr>
          <w:p>
            <w:r>
              <w:rPr>
                <w:rFonts w:ascii="Times New Roman" w:hAnsi="Times New Roman" w:eastAsia="宋体"/>
                <w:b w:val="0"/>
                <w:i w:val="0"/>
                <w:color w:val="1A1A1A"/>
                <w:sz w:val="18"/>
              </w:rPr>
              <w:t>每5分钟1次、15分钟内总量≤1.2 mg，期间不缓解即升级</w:t>
            </w:r>
          </w:p>
        </w:tc>
        <w:tc>
          <w:tcPr>
            <w:tcW w:type="dxa" w:w="1813"/>
          </w:tcPr>
          <w:p>
            <w:r>
              <w:rPr>
                <w:rFonts w:ascii="Times New Roman" w:hAnsi="Times New Roman" w:eastAsia="宋体"/>
                <w:b w:val="0"/>
                <w:i w:val="0"/>
                <w:color w:val="1A1A1A"/>
                <w:sz w:val="18"/>
              </w:rPr>
              <w:t>药代动力学特征、剂量安全上限与专家共识</w:t>
            </w:r>
          </w:p>
        </w:tc>
        <w:tc>
          <w:tcPr>
            <w:tcW w:type="dxa" w:w="1813"/>
          </w:tcPr>
          <w:p>
            <w:r>
              <w:rPr>
                <w:rFonts w:ascii="Times New Roman" w:hAnsi="Times New Roman" w:eastAsia="宋体"/>
                <w:b w:val="0"/>
                <w:i w:val="0"/>
                <w:color w:val="1A1A1A"/>
                <w:sz w:val="18"/>
              </w:rPr>
              <w:t>转述载体全文可核验；原指南全文未核验</w:t>
            </w:r>
          </w:p>
        </w:tc>
        <w:tc>
          <w:tcPr>
            <w:tcW w:type="dxa" w:w="1813"/>
          </w:tcPr>
          <w:p>
            <w:r>
              <w:rPr>
                <w:rFonts w:ascii="Times New Roman" w:hAnsi="Times New Roman" w:eastAsia="宋体"/>
                <w:b w:val="0"/>
                <w:i w:val="0"/>
                <w:color w:val="1A1A1A"/>
                <w:sz w:val="18"/>
                <w:vertAlign w:val="superscript"/>
              </w:rPr>
              <w:t>[3]</w:t>
            </w:r>
          </w:p>
        </w:tc>
      </w:tr>
      <w:tr>
        <w:tc>
          <w:tcPr>
            <w:tcW w:type="dxa" w:w="1813"/>
          </w:tcPr>
          <w:p>
            <w:r>
              <w:rPr>
                <w:rFonts w:ascii="Times New Roman" w:hAnsi="Times New Roman" w:eastAsia="宋体"/>
                <w:b w:val="0"/>
                <w:i w:val="0"/>
                <w:color w:val="1A1A1A"/>
                <w:sz w:val="18"/>
              </w:rPr>
              <w:t>升级时间阈值（0.4 mg方案，UA/NSTEMI院内）</w:t>
            </w:r>
          </w:p>
        </w:tc>
        <w:tc>
          <w:tcPr>
            <w:tcW w:type="dxa" w:w="1813"/>
          </w:tcPr>
          <w:p>
            <w:r>
              <w:rPr>
                <w:rFonts w:ascii="Times New Roman" w:hAnsi="Times New Roman" w:eastAsia="宋体"/>
                <w:b w:val="0"/>
                <w:i w:val="0"/>
                <w:color w:val="1A1A1A"/>
                <w:sz w:val="18"/>
              </w:rPr>
              <w:t>每5分钟1次、共3次，此后评估静脉硝酸甘油需要</w:t>
            </w:r>
          </w:p>
        </w:tc>
        <w:tc>
          <w:tcPr>
            <w:tcW w:type="dxa" w:w="1813"/>
          </w:tcPr>
          <w:p>
            <w:r>
              <w:rPr>
                <w:rFonts w:ascii="Times New Roman" w:hAnsi="Times New Roman" w:eastAsia="宋体"/>
                <w:b w:val="0"/>
                <w:i w:val="0"/>
                <w:color w:val="1A1A1A"/>
                <w:sz w:val="18"/>
              </w:rPr>
              <w:t>专家共识（Class I，证据级别C）</w:t>
            </w:r>
          </w:p>
        </w:tc>
        <w:tc>
          <w:tcPr>
            <w:tcW w:type="dxa" w:w="1813"/>
          </w:tcPr>
          <w:p>
            <w:r>
              <w:rPr>
                <w:rFonts w:ascii="Times New Roman" w:hAnsi="Times New Roman" w:eastAsia="宋体"/>
                <w:b w:val="0"/>
                <w:i w:val="0"/>
                <w:color w:val="1A1A1A"/>
                <w:sz w:val="18"/>
              </w:rPr>
              <w:t>转述载体全文可核验；原指南全文未核验</w:t>
            </w:r>
          </w:p>
        </w:tc>
        <w:tc>
          <w:tcPr>
            <w:tcW w:type="dxa" w:w="1813"/>
          </w:tcPr>
          <w:p>
            <w:r>
              <w:rPr>
                <w:rFonts w:ascii="Times New Roman" w:hAnsi="Times New Roman" w:eastAsia="宋体"/>
                <w:b w:val="0"/>
                <w:i w:val="0"/>
                <w:color w:val="1A1A1A"/>
                <w:sz w:val="18"/>
                <w:vertAlign w:val="superscript"/>
              </w:rPr>
              <w:t>[3]</w:t>
            </w:r>
          </w:p>
        </w:tc>
      </w:tr>
      <w:tr>
        <w:tc>
          <w:tcPr>
            <w:tcW w:type="dxa" w:w="1813"/>
          </w:tcPr>
          <w:p>
            <w:r>
              <w:rPr>
                <w:rFonts w:ascii="Times New Roman" w:hAnsi="Times New Roman" w:eastAsia="宋体"/>
                <w:b w:val="0"/>
                <w:i w:val="0"/>
                <w:color w:val="1A1A1A"/>
                <w:sz w:val="18"/>
              </w:rPr>
              <w:t>直接检验"5分钟/3次"数字的随机试验</w:t>
            </w:r>
          </w:p>
        </w:tc>
        <w:tc>
          <w:tcPr>
            <w:tcW w:type="dxa" w:w="1813"/>
          </w:tcPr>
          <w:p>
            <w:r>
              <w:rPr>
                <w:rFonts w:ascii="Times New Roman" w:hAnsi="Times New Roman" w:eastAsia="宋体"/>
                <w:b w:val="0"/>
                <w:i w:val="0"/>
                <w:color w:val="1A1A1A"/>
                <w:sz w:val="18"/>
              </w:rPr>
              <w:t>未检索到</w:t>
            </w:r>
          </w:p>
        </w:tc>
        <w:tc>
          <w:tcPr>
            <w:tcW w:type="dxa" w:w="1813"/>
          </w:tcPr>
          <w:p>
            <w:r>
              <w:rPr>
                <w:rFonts w:ascii="Times New Roman" w:hAnsi="Times New Roman" w:eastAsia="宋体"/>
                <w:b w:val="0"/>
                <w:i w:val="0"/>
                <w:color w:val="1A1A1A"/>
                <w:sz w:val="18"/>
              </w:rPr>
              <w:t>—</w:t>
            </w:r>
          </w:p>
        </w:tc>
        <w:tc>
          <w:tcPr>
            <w:tcW w:type="dxa" w:w="1813"/>
          </w:tcPr>
          <w:p>
            <w:r>
              <w:rPr>
                <w:rFonts w:ascii="Times New Roman" w:hAnsi="Times New Roman" w:eastAsia="宋体"/>
                <w:b w:val="0"/>
                <w:i w:val="0"/>
                <w:color w:val="1A1A1A"/>
                <w:sz w:val="18"/>
              </w:rPr>
              <w:t>检索结果为阴性</w:t>
            </w:r>
          </w:p>
        </w:tc>
        <w:tc>
          <w:tcPr>
            <w:tcW w:type="dxa" w:w="1813"/>
          </w:tcPr>
          <w:p>
            <w:r>
              <w:rPr>
                <w:rFonts w:ascii="Times New Roman" w:hAnsi="Times New Roman" w:eastAsia="宋体"/>
                <w:b w:val="0"/>
                <w:i w:val="0"/>
                <w:color w:val="1A1A1A"/>
                <w:sz w:val="18"/>
              </w:rPr>
              <w:t>本研究检索</w:t>
            </w:r>
          </w:p>
        </w:tc>
      </w:tr>
      <w:tr>
        <w:tc>
          <w:tcPr>
            <w:tcW w:type="dxa" w:w="1813"/>
          </w:tcPr>
          <w:p>
            <w:r>
              <w:rPr>
                <w:rFonts w:ascii="Times New Roman" w:hAnsi="Times New Roman" w:eastAsia="宋体"/>
                <w:b w:val="0"/>
                <w:i w:val="0"/>
                <w:color w:val="1A1A1A"/>
                <w:sz w:val="18"/>
              </w:rPr>
              <w:t>再灌注延迟—死亡</w:t>
            </w:r>
          </w:p>
        </w:tc>
        <w:tc>
          <w:tcPr>
            <w:tcW w:type="dxa" w:w="1813"/>
          </w:tcPr>
          <w:p>
            <w:r>
              <w:rPr>
                <w:rFonts w:ascii="Times New Roman" w:hAnsi="Times New Roman" w:eastAsia="宋体"/>
                <w:b w:val="0"/>
                <w:i w:val="0"/>
                <w:color w:val="1A1A1A"/>
                <w:sz w:val="18"/>
              </w:rPr>
              <w:t>每30分钟延迟使1年死亡风险增加7.5%</w:t>
            </w:r>
          </w:p>
        </w:tc>
        <w:tc>
          <w:tcPr>
            <w:tcW w:type="dxa" w:w="1813"/>
          </w:tcPr>
          <w:p>
            <w:r>
              <w:rPr>
                <w:rFonts w:ascii="Times New Roman" w:hAnsi="Times New Roman" w:eastAsia="宋体"/>
                <w:b w:val="0"/>
                <w:i w:val="0"/>
                <w:color w:val="1A1A1A"/>
                <w:sz w:val="18"/>
              </w:rPr>
              <w:t>观察性研究（综述转述）</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w:t>
            </w:r>
          </w:p>
        </w:tc>
      </w:tr>
      <w:tr>
        <w:tc>
          <w:tcPr>
            <w:tcW w:type="dxa" w:w="1813"/>
          </w:tcPr>
          <w:p>
            <w:r>
              <w:rPr>
                <w:rFonts w:ascii="Times New Roman" w:hAnsi="Times New Roman" w:eastAsia="宋体"/>
                <w:b w:val="0"/>
                <w:i w:val="0"/>
                <w:color w:val="1A1A1A"/>
                <w:sz w:val="18"/>
              </w:rPr>
              <w:t>门球时间—院内死亡</w:t>
            </w:r>
          </w:p>
        </w:tc>
        <w:tc>
          <w:tcPr>
            <w:tcW w:type="dxa" w:w="1813"/>
          </w:tcPr>
          <w:p>
            <w:r>
              <w:rPr>
                <w:rFonts w:ascii="Times New Roman" w:hAnsi="Times New Roman" w:eastAsia="宋体"/>
                <w:b w:val="0"/>
                <w:i w:val="0"/>
                <w:color w:val="1A1A1A"/>
                <w:sz w:val="18"/>
              </w:rPr>
              <w:t>30/60/90/150分钟分别为3.0%/3.5%/4.3%/7.0%，非线性连续升高</w:t>
            </w:r>
          </w:p>
        </w:tc>
        <w:tc>
          <w:tcPr>
            <w:tcW w:type="dxa" w:w="1813"/>
          </w:tcPr>
          <w:p>
            <w:r>
              <w:rPr>
                <w:rFonts w:ascii="Times New Roman" w:hAnsi="Times New Roman" w:eastAsia="宋体"/>
                <w:b w:val="0"/>
                <w:i w:val="0"/>
                <w:color w:val="1A1A1A"/>
                <w:sz w:val="18"/>
              </w:rPr>
              <w:t>观察性登记研究（综述转述）</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w:t>
            </w:r>
          </w:p>
        </w:tc>
      </w:tr>
      <w:tr>
        <w:tc>
          <w:tcPr>
            <w:tcW w:type="dxa" w:w="1813"/>
          </w:tcPr>
          <w:p>
            <w:r>
              <w:rPr>
                <w:rFonts w:ascii="Times New Roman" w:hAnsi="Times New Roman" w:eastAsia="宋体"/>
                <w:b w:val="0"/>
                <w:i w:val="0"/>
                <w:color w:val="1A1A1A"/>
                <w:sz w:val="18"/>
              </w:rPr>
              <w:t>系统时间目标（门到溶栓）</w:t>
            </w:r>
          </w:p>
        </w:tc>
        <w:tc>
          <w:tcPr>
            <w:tcW w:type="dxa" w:w="1813"/>
          </w:tcPr>
          <w:p>
            <w:r>
              <w:rPr>
                <w:rFonts w:ascii="Times New Roman" w:hAnsi="Times New Roman" w:eastAsia="宋体"/>
                <w:b w:val="0"/>
                <w:i w:val="0"/>
                <w:color w:val="1A1A1A"/>
                <w:sz w:val="18"/>
              </w:rPr>
              <w:t>门到溶栓≤30分钟</w:t>
            </w:r>
          </w:p>
        </w:tc>
        <w:tc>
          <w:tcPr>
            <w:tcW w:type="dxa" w:w="1813"/>
          </w:tcPr>
          <w:p>
            <w:r>
              <w:rPr>
                <w:rFonts w:ascii="Times New Roman" w:hAnsi="Times New Roman" w:eastAsia="宋体"/>
                <w:b w:val="0"/>
                <w:i w:val="0"/>
                <w:color w:val="1A1A1A"/>
                <w:sz w:val="18"/>
              </w:rPr>
              <w:t>指南质量目标（经转述；综述未指明具体指南文件）</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w:t>
            </w:r>
          </w:p>
        </w:tc>
      </w:tr>
      <w:tr>
        <w:tc>
          <w:tcPr>
            <w:tcW w:type="dxa" w:w="1813"/>
          </w:tcPr>
          <w:p>
            <w:r>
              <w:rPr>
                <w:rFonts w:ascii="Times New Roman" w:hAnsi="Times New Roman" w:eastAsia="宋体"/>
                <w:b w:val="0"/>
                <w:i w:val="0"/>
                <w:color w:val="1A1A1A"/>
                <w:sz w:val="18"/>
              </w:rPr>
              <w:t>系统时间目标（门到球囊）</w:t>
            </w:r>
          </w:p>
        </w:tc>
        <w:tc>
          <w:tcPr>
            <w:tcW w:type="dxa" w:w="1813"/>
          </w:tcPr>
          <w:p>
            <w:r>
              <w:rPr>
                <w:rFonts w:ascii="Times New Roman" w:hAnsi="Times New Roman" w:eastAsia="宋体"/>
                <w:b w:val="0"/>
                <w:i w:val="0"/>
                <w:color w:val="1A1A1A"/>
                <w:sz w:val="18"/>
              </w:rPr>
              <w:t>门到球囊≤90分钟，且至少90%合格患者达标（ACC/AHA与ESC，含2023更新）</w:t>
            </w:r>
          </w:p>
        </w:tc>
        <w:tc>
          <w:tcPr>
            <w:tcW w:type="dxa" w:w="1813"/>
          </w:tcPr>
          <w:p>
            <w:r>
              <w:rPr>
                <w:rFonts w:ascii="Times New Roman" w:hAnsi="Times New Roman" w:eastAsia="宋体"/>
                <w:b w:val="0"/>
                <w:i w:val="0"/>
                <w:color w:val="1A1A1A"/>
                <w:sz w:val="18"/>
              </w:rPr>
              <w:t>指南质量目标（经转述）</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[4-5]</w:t>
            </w:r>
          </w:p>
        </w:tc>
      </w:tr>
      <w:tr>
        <w:tc>
          <w:tcPr>
            <w:tcW w:type="dxa" w:w="1813"/>
          </w:tcPr>
          <w:p>
            <w:r>
              <w:rPr>
                <w:rFonts w:ascii="Times New Roman" w:hAnsi="Times New Roman" w:eastAsia="宋体"/>
                <w:b w:val="0"/>
                <w:i w:val="0"/>
                <w:color w:val="1A1A1A"/>
                <w:sz w:val="18"/>
              </w:rPr>
              <w:t>院前延迟构成</w:t>
            </w:r>
          </w:p>
        </w:tc>
        <w:tc>
          <w:tcPr>
            <w:tcW w:type="dxa" w:w="1813"/>
          </w:tcPr>
          <w:p>
            <w:r>
              <w:rPr>
                <w:rFonts w:ascii="Times New Roman" w:hAnsi="Times New Roman" w:eastAsia="宋体"/>
                <w:b w:val="0"/>
                <w:i w:val="0"/>
                <w:color w:val="1A1A1A"/>
                <w:sz w:val="18"/>
              </w:rPr>
              <w:t>症状发作至FMC为总缺血时间中最长且变异最大部分；中位患者决策延迟约100分钟，约占院前延迟60%</w:t>
            </w:r>
          </w:p>
        </w:tc>
        <w:tc>
          <w:tcPr>
            <w:tcW w:type="dxa" w:w="1813"/>
          </w:tcPr>
          <w:p>
            <w:r>
              <w:rPr>
                <w:rFonts w:ascii="Times New Roman" w:hAnsi="Times New Roman" w:eastAsia="宋体"/>
                <w:b w:val="0"/>
                <w:i w:val="0"/>
                <w:color w:val="1A1A1A"/>
                <w:sz w:val="18"/>
              </w:rPr>
              <w:t>观察性研究汇总（综述转述）</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w:t>
            </w:r>
          </w:p>
        </w:tc>
      </w:tr>
      <w:tr>
        <w:tc>
          <w:tcPr>
            <w:tcW w:type="dxa" w:w="1813"/>
          </w:tcPr>
          <w:p>
            <w:r>
              <w:rPr>
                <w:rFonts w:ascii="Times New Roman" w:hAnsi="Times New Roman" w:eastAsia="宋体"/>
                <w:b w:val="0"/>
                <w:i w:val="0"/>
                <w:color w:val="1A1A1A"/>
                <w:sz w:val="18"/>
              </w:rPr>
              <w:t>再灌注策略切换界值</w:t>
            </w:r>
          </w:p>
        </w:tc>
        <w:tc>
          <w:tcPr>
            <w:tcW w:type="dxa" w:w="1813"/>
          </w:tcPr>
          <w:p>
            <w:r>
              <w:rPr>
                <w:rFonts w:ascii="Times New Roman" w:hAnsi="Times New Roman" w:eastAsia="宋体"/>
                <w:b w:val="0"/>
                <w:i w:val="0"/>
                <w:color w:val="1A1A1A"/>
                <w:sz w:val="18"/>
              </w:rPr>
              <w:t>预期FMC至开通&gt;120分钟时采用药物—介入策略（溶栓后2～24小时造影）</w:t>
            </w:r>
          </w:p>
        </w:tc>
        <w:tc>
          <w:tcPr>
            <w:tcW w:type="dxa" w:w="1813"/>
          </w:tcPr>
          <w:p>
            <w:r>
              <w:rPr>
                <w:rFonts w:ascii="Times New Roman" w:hAnsi="Times New Roman" w:eastAsia="宋体"/>
                <w:b w:val="0"/>
                <w:i w:val="0"/>
                <w:color w:val="1A1A1A"/>
                <w:sz w:val="18"/>
              </w:rPr>
              <w:t>指南推荐（经转述）</w:t>
            </w:r>
          </w:p>
        </w:tc>
        <w:tc>
          <w:tcPr>
            <w:tcW w:type="dxa" w:w="1813"/>
          </w:tcPr>
          <w:p>
            <w:r>
              <w:rPr>
                <w:rFonts w:ascii="Times New Roman" w:hAnsi="Times New Roman" w:eastAsia="宋体"/>
                <w:b w:val="0"/>
                <w:i w:val="0"/>
                <w:color w:val="1A1A1A"/>
                <w:sz w:val="18"/>
              </w:rPr>
              <w:t>转述载体全文可核验</w:t>
            </w:r>
          </w:p>
        </w:tc>
        <w:tc>
          <w:tcPr>
            <w:tcW w:type="dxa" w:w="1813"/>
          </w:tcPr>
          <w:p>
            <w:r>
              <w:rPr>
                <w:rFonts w:ascii="Times New Roman" w:hAnsi="Times New Roman" w:eastAsia="宋体"/>
                <w:b w:val="0"/>
                <w:i w:val="0"/>
                <w:color w:val="1A1A1A"/>
                <w:sz w:val="18"/>
                <w:vertAlign w:val="superscript"/>
              </w:rPr>
              <w:t>[4]</w:t>
            </w:r>
          </w:p>
        </w:tc>
      </w:tr>
    </w:tbl>
    <w:p>
      <w:pPr>
        <w:spacing w:after="80"/>
      </w:pPr>
    </w:p>
    <w:p>
      <w:pPr>
        <w:spacing w:after="80" w:line="312" w:lineRule="auto" w:before="160"/>
      </w:pPr>
      <w:r>
        <w:rPr>
          <w:rFonts w:ascii="Times New Roman" w:hAnsi="Times New Roman" w:eastAsia="黑体"/>
          <w:b/>
          <w:i w:val="0"/>
          <w:color w:val="1A1A1A"/>
          <w:sz w:val="22"/>
        </w:rPr>
        <w:t>3.4 速效救心丸与中文指南文本的可核验状态</w:t>
      </w:r>
    </w:p>
    <w:p>
      <w:pPr>
        <w:spacing w:after="120" w:line="360" w:lineRule="auto"/>
        <w:ind w:firstLine="420"/>
      </w:pPr>
      <w:r>
        <w:rPr>
          <w:rFonts w:ascii="Times New Roman" w:hAnsi="Times New Roman" w:eastAsia="宋体"/>
          <w:b w:val="0"/>
          <w:i w:val="0"/>
          <w:color w:val="1A1A1A"/>
          <w:sz w:val="21"/>
        </w:rPr>
        <w:t>速效救心丸为由川芎与冰片活性成分组成的中成药，可增加冠脉血流量、改善心肌细胞缺氧并缓解心绞痛，作用与硝酸甘油类似，在中国心绞痛的中西医结合治疗中常用</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其可核验的证据形式为一项针对慢性稳定型心绞痛（气滞血瘀证）的随机、双盲、安慰剂对照、多中心试验方案：拟纳入324例患者，试验组在常规治疗基础上接受速效救心丸5粒/次、每日3次，共24周；方案同时规定，心绞痛难以忍受时可舌下含服硝酸甘油0.5 mg</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该设计在结构上将速效救心丸定位为稳定型心绞痛的长期辅助用药，而将舌下硝酸甘油保留为症状难忍时的即时缓解手段——即在试验设计层面，急性症状的即时处置工具是硝酸甘油而非速效救心丸。在可核验文献范围内，未发现速效救心丸为急性胸痛场景设定"症状不缓解后X分钟升级"的时间阈值；这与其证据语境集中于慢性稳定型心绞痛、本不覆盖急性自救场景的事实相符。</w:t>
      </w:r>
    </w:p>
    <w:p>
      <w:pPr>
        <w:spacing w:after="120" w:line="360" w:lineRule="auto"/>
        <w:ind w:firstLine="420"/>
      </w:pPr>
      <w:r>
        <w:rPr>
          <w:rFonts w:ascii="Times New Roman" w:hAnsi="Times New Roman" w:eastAsia="宋体"/>
          <w:b w:val="0"/>
          <w:i w:val="0"/>
          <w:color w:val="1A1A1A"/>
          <w:sz w:val="21"/>
        </w:rPr>
        <w:t>中文指南、共识与速效救心丸说明书的识别与核验状态见表3。在索引层面可识别到与国际方案同源的表述（如"每5分钟重复、总量≤1.5 mg"，以及梗死性心绞痛"含服速效救心丸后超过20分钟未缓解"等），但上述文本均未能在官方全文上逐字核验，因此不进入本研究的主张体系，亦不作为跨体系一致性判断的证据；相关条文的逐字引用须在官方期刊全文与现行说明书上复核后方可采用。</w:t>
      </w:r>
    </w:p>
    <w:p>
      <w:pPr>
        <w:spacing w:after="60" w:line="360" w:lineRule="auto"/>
        <w:jc w:val="center"/>
      </w:pPr>
      <w:r>
        <w:rPr>
          <w:rFonts w:ascii="Times New Roman" w:hAnsi="Times New Roman" w:eastAsia="宋体"/>
          <w:b/>
          <w:i w:val="0"/>
          <w:color w:val="1A1A1A"/>
          <w:sz w:val="19"/>
        </w:rPr>
        <w:t>表3</w:t>
      </w:r>
      <w:r>
        <w:rPr>
          <w:rFonts w:ascii="Times New Roman" w:hAnsi="Times New Roman" w:eastAsia="宋体"/>
          <w:b w:val="0"/>
          <w:i w:val="0"/>
          <w:color w:val="1A1A1A"/>
          <w:sz w:val="19"/>
        </w:rPr>
        <w:t xml:space="preserve"> 经索引识别但全文未能核验的中文指南、共识与说明书文本</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文件</w:t>
            </w:r>
          </w:p>
        </w:tc>
        <w:tc>
          <w:tcPr>
            <w:tcW w:type="dxa" w:w="2266"/>
            <w:tcBorders>
              <w:bottom w:val="single" w:sz="6" w:color="1A1A1A"/>
            </w:tcBorders>
          </w:tcPr>
          <w:p>
            <w:pPr>
              <w:jc w:val="center"/>
            </w:pPr>
            <w:r>
              <w:rPr>
                <w:rFonts w:ascii="Times New Roman" w:hAnsi="Times New Roman" w:eastAsia="宋体"/>
                <w:b/>
                <w:i w:val="0"/>
                <w:color w:val="1A1A1A"/>
                <w:sz w:val="18"/>
              </w:rPr>
              <w:t>文件类型</w:t>
            </w:r>
          </w:p>
        </w:tc>
        <w:tc>
          <w:tcPr>
            <w:tcW w:type="dxa" w:w="2266"/>
            <w:tcBorders>
              <w:bottom w:val="single" w:sz="6" w:color="1A1A1A"/>
            </w:tcBorders>
          </w:tcPr>
          <w:p>
            <w:pPr>
              <w:jc w:val="center"/>
            </w:pPr>
            <w:r>
              <w:rPr>
                <w:rFonts w:ascii="Times New Roman" w:hAnsi="Times New Roman" w:eastAsia="宋体"/>
                <w:b/>
                <w:i w:val="0"/>
                <w:color w:val="1A1A1A"/>
                <w:sz w:val="18"/>
              </w:rPr>
              <w:t>识别途径</w:t>
            </w:r>
          </w:p>
        </w:tc>
        <w:tc>
          <w:tcPr>
            <w:tcW w:type="dxa" w:w="2266"/>
            <w:tcBorders>
              <w:bottom w:val="single" w:sz="6" w:color="1A1A1A"/>
            </w:tcBorders>
          </w:tcPr>
          <w:p>
            <w:pPr>
              <w:jc w:val="center"/>
            </w:pPr>
            <w:r>
              <w:rPr>
                <w:rFonts w:ascii="Times New Roman" w:hAnsi="Times New Roman" w:eastAsia="宋体"/>
                <w:b/>
                <w:i w:val="0"/>
                <w:color w:val="1A1A1A"/>
                <w:sz w:val="18"/>
              </w:rPr>
              <w:t>核验状态与处理</w:t>
            </w:r>
          </w:p>
        </w:tc>
      </w:tr>
      <w:tr>
        <w:tc>
          <w:tcPr>
            <w:tcW w:type="dxa" w:w="2266"/>
          </w:tcPr>
          <w:p>
            <w:r>
              <w:rPr>
                <w:rFonts w:ascii="Times New Roman" w:hAnsi="Times New Roman" w:eastAsia="宋体"/>
                <w:b w:val="0"/>
                <w:i w:val="0"/>
                <w:color w:val="1A1A1A"/>
                <w:sz w:val="18"/>
              </w:rPr>
              <w:t>急性ST段抬高型心肌梗死诊断和治疗指南（2019）</w:t>
            </w:r>
            <w:r>
              <w:rPr>
                <w:rFonts w:ascii="Times New Roman" w:hAnsi="Times New Roman" w:eastAsia="宋体"/>
                <w:b w:val="0"/>
                <w:i w:val="0"/>
                <w:color w:val="1A1A1A"/>
                <w:sz w:val="18"/>
                <w:vertAlign w:val="superscript"/>
              </w:rPr>
              <w:t>[6]</w:t>
            </w:r>
          </w:p>
        </w:tc>
        <w:tc>
          <w:tcPr>
            <w:tcW w:type="dxa" w:w="2266"/>
          </w:tcPr>
          <w:p>
            <w:r>
              <w:rPr>
                <w:rFonts w:ascii="Times New Roman" w:hAnsi="Times New Roman" w:eastAsia="宋体"/>
                <w:b w:val="0"/>
                <w:i w:val="0"/>
                <w:color w:val="1A1A1A"/>
                <w:sz w:val="18"/>
              </w:rPr>
              <w:t>学会指南</w:t>
            </w:r>
          </w:p>
        </w:tc>
        <w:tc>
          <w:tcPr>
            <w:tcW w:type="dxa" w:w="2266"/>
          </w:tcPr>
          <w:p>
            <w:r>
              <w:rPr>
                <w:rFonts w:ascii="Times New Roman" w:hAnsi="Times New Roman" w:eastAsia="宋体"/>
                <w:b w:val="0"/>
                <w:i w:val="0"/>
                <w:color w:val="1A1A1A"/>
                <w:sz w:val="18"/>
              </w:rPr>
              <w:t>指南与共识索引</w:t>
            </w:r>
          </w:p>
        </w:tc>
        <w:tc>
          <w:tcPr>
            <w:tcW w:type="dxa" w:w="2266"/>
          </w:tcPr>
          <w:p>
            <w:r>
              <w:rPr>
                <w:rFonts w:ascii="Times New Roman" w:hAnsi="Times New Roman" w:eastAsia="宋体"/>
                <w:b w:val="0"/>
                <w:i w:val="0"/>
                <w:color w:val="1A1A1A"/>
                <w:sz w:val="18"/>
              </w:rPr>
              <w:t>全文未能核验；不作为主张来源，待官方全文复核</w:t>
            </w:r>
          </w:p>
        </w:tc>
      </w:tr>
      <w:tr>
        <w:tc>
          <w:tcPr>
            <w:tcW w:type="dxa" w:w="2266"/>
          </w:tcPr>
          <w:p>
            <w:r>
              <w:rPr>
                <w:rFonts w:ascii="Times New Roman" w:hAnsi="Times New Roman" w:eastAsia="宋体"/>
                <w:b w:val="0"/>
                <w:i w:val="0"/>
                <w:color w:val="1A1A1A"/>
                <w:sz w:val="18"/>
              </w:rPr>
              <w:t>冠心病合理用药指南（第2版）</w:t>
            </w:r>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部委专家委员会指南</w:t>
            </w:r>
          </w:p>
        </w:tc>
        <w:tc>
          <w:tcPr>
            <w:tcW w:type="dxa" w:w="2266"/>
          </w:tcPr>
          <w:p>
            <w:r>
              <w:rPr>
                <w:rFonts w:ascii="Times New Roman" w:hAnsi="Times New Roman" w:eastAsia="宋体"/>
                <w:b w:val="0"/>
                <w:i w:val="0"/>
                <w:color w:val="1A1A1A"/>
                <w:sz w:val="18"/>
              </w:rPr>
              <w:t>指南与共识索引</w:t>
            </w:r>
          </w:p>
        </w:tc>
        <w:tc>
          <w:tcPr>
            <w:tcW w:type="dxa" w:w="2266"/>
          </w:tcPr>
          <w:p>
            <w:r>
              <w:rPr>
                <w:rFonts w:ascii="Times New Roman" w:hAnsi="Times New Roman" w:eastAsia="宋体"/>
                <w:b w:val="0"/>
                <w:i w:val="0"/>
                <w:color w:val="1A1A1A"/>
                <w:sz w:val="18"/>
              </w:rPr>
              <w:t>全文未能核验；不作为主张来源，待官方全文复核</w:t>
            </w:r>
          </w:p>
        </w:tc>
      </w:tr>
      <w:tr>
        <w:tc>
          <w:tcPr>
            <w:tcW w:type="dxa" w:w="2266"/>
          </w:tcPr>
          <w:p>
            <w:r>
              <w:rPr>
                <w:rFonts w:ascii="Times New Roman" w:hAnsi="Times New Roman" w:eastAsia="宋体"/>
                <w:b w:val="0"/>
                <w:i w:val="0"/>
                <w:color w:val="1A1A1A"/>
                <w:sz w:val="18"/>
              </w:rPr>
              <w:t>急性冠脉综合征临床实践指南（一）（2015）</w:t>
            </w:r>
            <w:r>
              <w:rPr>
                <w:rFonts w:ascii="Times New Roman" w:hAnsi="Times New Roman" w:eastAsia="宋体"/>
                <w:b w:val="0"/>
                <w:i w:val="0"/>
                <w:color w:val="1A1A1A"/>
                <w:sz w:val="18"/>
                <w:vertAlign w:val="superscript"/>
              </w:rPr>
              <w:t>[8]</w:t>
            </w:r>
          </w:p>
        </w:tc>
        <w:tc>
          <w:tcPr>
            <w:tcW w:type="dxa" w:w="2266"/>
          </w:tcPr>
          <w:p>
            <w:r>
              <w:rPr>
                <w:rFonts w:ascii="Times New Roman" w:hAnsi="Times New Roman" w:eastAsia="宋体"/>
                <w:b w:val="0"/>
                <w:i w:val="0"/>
                <w:color w:val="1A1A1A"/>
                <w:sz w:val="18"/>
              </w:rPr>
              <w:t>学会指南</w:t>
            </w:r>
          </w:p>
        </w:tc>
        <w:tc>
          <w:tcPr>
            <w:tcW w:type="dxa" w:w="2266"/>
          </w:tcPr>
          <w:p>
            <w:r>
              <w:rPr>
                <w:rFonts w:ascii="Times New Roman" w:hAnsi="Times New Roman" w:eastAsia="宋体"/>
                <w:b w:val="0"/>
                <w:i w:val="0"/>
                <w:color w:val="1A1A1A"/>
                <w:sz w:val="18"/>
              </w:rPr>
              <w:t>指南与共识索引</w:t>
            </w:r>
          </w:p>
        </w:tc>
        <w:tc>
          <w:tcPr>
            <w:tcW w:type="dxa" w:w="2266"/>
          </w:tcPr>
          <w:p>
            <w:r>
              <w:rPr>
                <w:rFonts w:ascii="Times New Roman" w:hAnsi="Times New Roman" w:eastAsia="宋体"/>
                <w:b w:val="0"/>
                <w:i w:val="0"/>
                <w:color w:val="1A1A1A"/>
                <w:sz w:val="18"/>
              </w:rPr>
              <w:t>全文未能核验；不作为主张来源，待官方全文复核</w:t>
            </w:r>
          </w:p>
        </w:tc>
      </w:tr>
      <w:tr>
        <w:tc>
          <w:tcPr>
            <w:tcW w:type="dxa" w:w="2266"/>
          </w:tcPr>
          <w:p>
            <w:r>
              <w:rPr>
                <w:rFonts w:ascii="Times New Roman" w:hAnsi="Times New Roman" w:eastAsia="宋体"/>
                <w:b w:val="0"/>
                <w:i w:val="0"/>
                <w:color w:val="1A1A1A"/>
                <w:sz w:val="18"/>
              </w:rPr>
              <w:t>急性ST段抬高型心肌梗死溶栓治疗专家共识（2024）</w:t>
            </w:r>
            <w:r>
              <w:rPr>
                <w:rFonts w:ascii="Times New Roman" w:hAnsi="Times New Roman" w:eastAsia="宋体"/>
                <w:b w:val="0"/>
                <w:i w:val="0"/>
                <w:color w:val="1A1A1A"/>
                <w:sz w:val="18"/>
                <w:vertAlign w:val="superscript"/>
              </w:rPr>
              <w:t>[9]</w:t>
            </w:r>
          </w:p>
        </w:tc>
        <w:tc>
          <w:tcPr>
            <w:tcW w:type="dxa" w:w="2266"/>
          </w:tcPr>
          <w:p>
            <w:r>
              <w:rPr>
                <w:rFonts w:ascii="Times New Roman" w:hAnsi="Times New Roman" w:eastAsia="宋体"/>
                <w:b w:val="0"/>
                <w:i w:val="0"/>
                <w:color w:val="1A1A1A"/>
                <w:sz w:val="18"/>
              </w:rPr>
              <w:t>省级学会共识</w:t>
            </w:r>
          </w:p>
        </w:tc>
        <w:tc>
          <w:tcPr>
            <w:tcW w:type="dxa" w:w="2266"/>
          </w:tcPr>
          <w:p>
            <w:r>
              <w:rPr>
                <w:rFonts w:ascii="Times New Roman" w:hAnsi="Times New Roman" w:eastAsia="宋体"/>
                <w:b w:val="0"/>
                <w:i w:val="0"/>
                <w:color w:val="1A1A1A"/>
                <w:sz w:val="18"/>
              </w:rPr>
              <w:t>指南与共识索引</w:t>
            </w:r>
          </w:p>
        </w:tc>
        <w:tc>
          <w:tcPr>
            <w:tcW w:type="dxa" w:w="2266"/>
          </w:tcPr>
          <w:p>
            <w:r>
              <w:rPr>
                <w:rFonts w:ascii="Times New Roman" w:hAnsi="Times New Roman" w:eastAsia="宋体"/>
                <w:b w:val="0"/>
                <w:i w:val="0"/>
                <w:color w:val="1A1A1A"/>
                <w:sz w:val="18"/>
              </w:rPr>
              <w:t>全文未能核验；不作为主张来源，待官方全文复核</w:t>
            </w:r>
          </w:p>
        </w:tc>
      </w:tr>
      <w:tr>
        <w:tc>
          <w:tcPr>
            <w:tcW w:type="dxa" w:w="2266"/>
          </w:tcPr>
          <w:p>
            <w:r>
              <w:rPr>
                <w:rFonts w:ascii="Times New Roman" w:hAnsi="Times New Roman" w:eastAsia="宋体"/>
                <w:b w:val="0"/>
                <w:i w:val="0"/>
                <w:color w:val="1A1A1A"/>
                <w:sz w:val="18"/>
              </w:rPr>
              <w:t>速效救心丸说明书（NMPA登记）</w:t>
            </w:r>
            <w:r>
              <w:rPr>
                <w:rFonts w:ascii="Times New Roman" w:hAnsi="Times New Roman" w:eastAsia="宋体"/>
                <w:b w:val="0"/>
                <w:i w:val="0"/>
                <w:color w:val="1A1A1A"/>
                <w:sz w:val="18"/>
                <w:vertAlign w:val="superscript"/>
              </w:rPr>
              <w:t>[10]</w:t>
            </w:r>
          </w:p>
        </w:tc>
        <w:tc>
          <w:tcPr>
            <w:tcW w:type="dxa" w:w="2266"/>
          </w:tcPr>
          <w:p>
            <w:r>
              <w:rPr>
                <w:rFonts w:ascii="Times New Roman" w:hAnsi="Times New Roman" w:eastAsia="宋体"/>
                <w:b w:val="0"/>
                <w:i w:val="0"/>
                <w:color w:val="1A1A1A"/>
                <w:sz w:val="18"/>
              </w:rPr>
              <w:t>药品说明书</w:t>
            </w:r>
          </w:p>
        </w:tc>
        <w:tc>
          <w:tcPr>
            <w:tcW w:type="dxa" w:w="2266"/>
          </w:tcPr>
          <w:p>
            <w:r>
              <w:rPr>
                <w:rFonts w:ascii="Times New Roman" w:hAnsi="Times New Roman" w:eastAsia="宋体"/>
                <w:b w:val="0"/>
                <w:i w:val="0"/>
                <w:color w:val="1A1A1A"/>
                <w:sz w:val="18"/>
              </w:rPr>
              <w:t>药品说明书索引</w:t>
            </w:r>
          </w:p>
        </w:tc>
        <w:tc>
          <w:tcPr>
            <w:tcW w:type="dxa" w:w="2266"/>
          </w:tcPr>
          <w:p>
            <w:r>
              <w:rPr>
                <w:rFonts w:ascii="Times New Roman" w:hAnsi="Times New Roman" w:eastAsia="宋体"/>
                <w:b w:val="0"/>
                <w:i w:val="0"/>
                <w:color w:val="1A1A1A"/>
                <w:sz w:val="18"/>
              </w:rPr>
              <w:t>索引级记录，全文未能核验；不作为主张来源，待现行说明书复核</w:t>
            </w:r>
          </w:p>
        </w:tc>
      </w:tr>
    </w:tbl>
    <w:p>
      <w:pPr>
        <w:spacing w:after="80"/>
      </w:pPr>
    </w:p>
    <w:p>
      <w:pPr>
        <w:spacing w:after="80" w:line="312" w:lineRule="auto" w:before="160"/>
      </w:pPr>
      <w:r>
        <w:rPr>
          <w:rFonts w:ascii="Times New Roman" w:hAnsi="Times New Roman" w:eastAsia="黑体"/>
          <w:b/>
          <w:i w:val="0"/>
          <w:color w:val="1A1A1A"/>
          <w:sz w:val="22"/>
        </w:rPr>
        <w:t>3.5 升级路径的结构与推算的升级行动时点</w:t>
      </w:r>
    </w:p>
    <w:p>
      <w:pPr>
        <w:spacing w:after="120" w:line="360" w:lineRule="auto"/>
        <w:ind w:firstLine="420"/>
      </w:pPr>
      <w:r>
        <w:rPr>
          <w:rFonts w:ascii="Times New Roman" w:hAnsi="Times New Roman" w:eastAsia="宋体"/>
          <w:b w:val="0"/>
          <w:i w:val="0"/>
          <w:color w:val="1A1A1A"/>
          <w:sz w:val="21"/>
        </w:rPr>
        <w:t>转述的指南文本中存在两种指令形态，其适用场景与风险假设不同，不能互换。对疑似ACS的患者自救，指令将升级动作与"1剂后5分钟不缓解或加重"直接绑定：呼叫急救先于追加硝酸甘油</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。此种结构中，首剂含服被用作判断是否须立即启动急救的判别性动作，而非"反复给药直至缓解"的尝试。对慢性稳定型心绞痛发作，指令才允许按剂量方案重复给药后再升级：0.3～0.6 mg方案为每5分钟1次、直至缓解或15分钟内总量达1.2 mg上限；硝酸甘油无应答的通行界定则以"每5分钟1次、最多3次后无改善"为准</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两种指令形态并非矛盾，而是对不同风险人群的分级；从二者适用人群的差别可以推断（本研究解读），后一形态的风险假设在于患者既往发作中硝酸甘油有效、风险分层已知，而将其套用于急性未分型胸痛（患者无法自行判断是否为ACS），正是自救观察延误风险的来源。据此，升级路径的次序可表述为：突发且不缓解的胸痛，立即呼叫急救为首步动作，而非用药无效后的兜底动作</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；等待急救期间，无禁忌者可按方案含服硝酸甘油——按0.3～0.6 mg方案时，唯一上限是15分钟内总量≤1.2 mg（可含服的次数随单次剂量而变，0.6 mg/次时约为2次），按UA/NSTEMI院内方案时为0.4 mg/次、每5分钟1次、共3次</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；符合"每5分钟1次、最多3次后仍无改善"这一无应答界定者，应按可能急性心肌梗死处置</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在上述可核验条文基础上，本研究给出两项推导估算；两者均公开假设与敏感性，属推算结果而非指南明示数字，不构成任何处置建议。其一为升级行动时点：按AHA/ACC UA/NSTEMI方案（0.4 mg/次、每5分钟1次、共3次）执行，第1次于t=0、第2次于t=5分钟、第3次于t=10分钟，若计满5分钟评估间隔则至t=15分钟，故完成3次含服约需10～15分钟；3次后症状仍不缓解即达到"可能急性心肌梗死、需立即医疗评估"的界值，此后不得再自行追加硝酸甘油</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。该时点对单次剂量选择敏感：若按0.6 mg/次，2次即接近1.2 mg上限，窗口约5～10分钟；若按0.3 mg/次，最多可含服4次，窗口约15～20分钟；但"达到剂量上限后必须升级、不得无限重复"的方向不随剂量选择改变。其二为自救观察延误的相对风险边界：以"每30分钟再灌注延迟使1年死亡风险增加7.5%"作对数线性外推，ln(1.075)=0.0723，折合每5分钟的ln(RR)为0.0121，即每5分钟约增加1.2%（RR≈1.012）；指南允许的最长自救观察窗约15分钟（3剂）对应约增加3.7%</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该外推假设观察性效应在5～15分钟的短延迟区间内呈对数线性，且效应可自"再灌注延迟"迁移至"自救—呼叫延迟"；鉴于心肌可挽救面积的损失在发病后2～3小时最为剧烈（非线性），真实短延迟效应可能强于线性外推值，故本估计偏保守</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。两项推算共同提示：指南允许的自救窗口是最大容忍边界，而非建议用满的配额；阈值的作用在于设定最晚升级时点。</w:t>
      </w:r>
    </w:p>
    <w:p>
      <w:pPr>
        <w:spacing w:after="120" w:line="312" w:lineRule="auto" w:before="240"/>
      </w:pPr>
      <w:r>
        <w:rPr>
          <w:rFonts w:ascii="Times New Roman" w:hAnsi="Times New Roman" w:eastAsia="黑体"/>
          <w:b/>
          <w:i w:val="0"/>
          <w:color w:val="1A1A1A"/>
          <w:sz w:val="26"/>
        </w:rPr>
        <w:t>4 讨论</w:t>
      </w:r>
    </w:p>
    <w:p>
      <w:pPr>
        <w:spacing w:after="80" w:line="312" w:lineRule="auto" w:before="160"/>
      </w:pPr>
      <w:r>
        <w:rPr>
          <w:rFonts w:ascii="Times New Roman" w:hAnsi="Times New Roman" w:eastAsia="黑体"/>
          <w:b/>
          <w:i w:val="0"/>
          <w:color w:val="1A1A1A"/>
          <w:sz w:val="22"/>
        </w:rPr>
        <w:t>4.1 阈值推荐的一致性与其共识属性</w:t>
      </w:r>
    </w:p>
    <w:p>
      <w:pPr>
        <w:spacing w:after="120" w:line="360" w:lineRule="auto"/>
        <w:ind w:firstLine="420"/>
      </w:pPr>
      <w:r>
        <w:rPr>
          <w:rFonts w:ascii="Times New Roman" w:hAnsi="Times New Roman" w:eastAsia="宋体"/>
          <w:b w:val="0"/>
          <w:i w:val="0"/>
          <w:color w:val="1A1A1A"/>
          <w:sz w:val="21"/>
        </w:rPr>
        <w:t>本研究确立了三项相互区分的判断。其一，硝酸甘油自救的给药方案在AHA/ACC与ESC体系中有明确、一致且可执行的数值界定（单次0.3～0.6 mg、5分钟间隔、15分钟内总量≤1.2 mg）；与之相对，升级动作的直接文本证据来自ACCF/AHA条文与NHS患者指导，ESC的转述文本以剂量上限为界、未单列升级语句。对疑似ACS且既往已处方硝酸甘油者，指令更为严格——含服1剂后5分钟不缓解或加重即应立即呼叫急救，先于追加剂量</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。其二，"该阈值有试验证据支持"的命题不成立：相关推荐级别为C级，"5分钟/3次"是药代动力学特征、剂量安全上限与专家共识结合的产物，检索未发现直接检验该数字的随机试验</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。其三，"时间即心肌"有观察性定量证据（每30分钟延迟增加7.5%的1年死亡风险；门球时间—死亡的非线性连续关系）与系统时间目标（门球时间≤90分钟、≥90%合格患者达标）支撑，方向一致、量级明确</w:t>
      </w:r>
      <w:r>
        <w:rPr>
          <w:rFonts w:ascii="Times New Roman" w:hAnsi="Times New Roman" w:eastAsia="宋体"/>
          <w:b w:val="0"/>
          <w:i w:val="0"/>
          <w:color w:val="1A1A1A"/>
          <w:sz w:val="21"/>
          <w:vertAlign w:val="superscript"/>
        </w:rPr>
        <w:t>[4-5]</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Class I推荐与证据级别C叠加的正确读取是：这是一条操作性很强、应当执行的行动指令，但其界值本身没有一级证据；将"5分钟/3次"理解为经试验证实的生理学最优解是错误的，将其理解为安全导向的共识上限才符合证据状态。同一区分亦适用于系统时间目标：门球时间与院内死亡在30至150分钟间自3.0%连续升至7.0%的非线性关系表明，风险沿整个时间轴持续累积，"达标即安全"是对≤90分钟目标的误读——该目标设定的是最晚容忍点，而非"不超过即无代价"的最优时间点</w:t>
      </w:r>
      <w:r>
        <w:rPr>
          <w:rFonts w:ascii="Times New Roman" w:hAnsi="Times New Roman" w:eastAsia="宋体"/>
          <w:b w:val="0"/>
          <w:i w:val="0"/>
          <w:color w:val="1A1A1A"/>
          <w:sz w:val="21"/>
          <w:vertAlign w:val="superscript"/>
        </w:rPr>
        <w:t>[4-5]</w:t>
      </w:r>
      <w:r>
        <w:rPr>
          <w:rFonts w:ascii="Times New Roman" w:hAnsi="Times New Roman" w:eastAsia="宋体"/>
          <w:b w:val="0"/>
          <w:i w:val="0"/>
          <w:color w:val="1A1A1A"/>
          <w:sz w:val="21"/>
        </w:rPr>
        <w:t>。对自救场景的对应推论是：将5分钟视为无成本的评估间隙与将15分钟视为可以用满的观察窗，两者在剂量—反应曲线上的代价并不相同（其相对风险边界见3.5的推算），而无论作何选择，观察窗的终点都必须落在呼叫急救上。</w:t>
      </w:r>
    </w:p>
    <w:p>
      <w:pPr>
        <w:spacing w:after="80" w:line="312" w:lineRule="auto" w:before="160"/>
      </w:pPr>
      <w:r>
        <w:rPr>
          <w:rFonts w:ascii="Times New Roman" w:hAnsi="Times New Roman" w:eastAsia="黑体"/>
          <w:b/>
          <w:i w:val="0"/>
          <w:color w:val="1A1A1A"/>
          <w:sz w:val="22"/>
        </w:rPr>
        <w:t>4.2 指令结构的场景区分与症状缓解的诊断价值缺口</w:t>
      </w:r>
    </w:p>
    <w:p>
      <w:pPr>
        <w:spacing w:after="120" w:line="360" w:lineRule="auto"/>
        <w:ind w:firstLine="420"/>
      </w:pPr>
      <w:r>
        <w:rPr>
          <w:rFonts w:ascii="Times New Roman" w:hAnsi="Times New Roman" w:eastAsia="宋体"/>
          <w:b w:val="0"/>
          <w:i w:val="0"/>
          <w:color w:val="1A1A1A"/>
          <w:sz w:val="21"/>
        </w:rPr>
        <w:t>反证角度支持上述读取：若"症状不缓解后再等一轮"是安全的，指南便不会要求疑似ACS患者在1剂后5分钟不缓解或加重时立即呼叫急救并先于追加剂量</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，通行界定也不会将"3次后仍无改善"直接界定为可能急性心肌梗死、需立即医疗评估</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。系统数据进一步显示，症状发作至FMC是总缺血时间中最长且变异最大的组成部分，其中位患者决策延迟约100分钟、约占院前延迟的60%</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；将升级动作交由反复的症状自我评估，只会放大这一环节。指南文本的结构本身即否定了"以更多自救观察换取更多缓解机会"的策略。</w:t>
      </w:r>
    </w:p>
    <w:p>
      <w:pPr>
        <w:spacing w:after="120" w:line="360" w:lineRule="auto"/>
        <w:ind w:firstLine="420"/>
      </w:pPr>
      <w:r>
        <w:rPr>
          <w:rFonts w:ascii="Times New Roman" w:hAnsi="Times New Roman" w:eastAsia="宋体"/>
          <w:b w:val="0"/>
          <w:i w:val="0"/>
          <w:color w:val="1A1A1A"/>
          <w:sz w:val="21"/>
        </w:rPr>
        <w:t>防止证据误用还需坚持急性与慢性场景的区分。速效救心丸的可核验证据仅覆盖慢性稳定型心绞痛的辅助治疗</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将其转化为"急性胸痛时可先自救观察"的自我分诊依据，混淆了两类人群与两种风险状态，本研究明确不采用此种外推。同理，稳定型心绞痛场景允许的"每5分钟重复至多3次"与疑似ACS场景要求的"1剂后5分钟不缓解即呼叫急救"适用人群不同，不可互换</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关于症状缓解的诊断价值，本研究须如实报告一处证据缺口："硝酸甘油含服后症状缓解能否排除心肌梗死"的直接队列证据（一项459例前瞻性队列，提示缓解与是否存在活动性冠心病无关联）仅能获取摘要级记录，全文未能核验，故未作为主张纳入。因此，"缓解不能作为免于评估的依据"的论证在本研究中主要依托指南指令结构本身——对疑似ACS，呼叫急救先于追加剂量——而非该队列研究的原始数据。这一缺口不改变安全结论的方向，但降低了论证的冗余度，有待以可获取的全文复核后补强。</w:t>
      </w:r>
    </w:p>
    <w:p>
      <w:pPr>
        <w:spacing w:after="80" w:line="312" w:lineRule="auto" w:before="160"/>
      </w:pPr>
      <w:r>
        <w:rPr>
          <w:rFonts w:ascii="Times New Roman" w:hAnsi="Times New Roman" w:eastAsia="黑体"/>
          <w:b/>
          <w:i w:val="0"/>
          <w:color w:val="1A1A1A"/>
          <w:sz w:val="22"/>
        </w:rPr>
        <w:t>4.3 中国场景的适用性与待核验事项</w:t>
      </w:r>
    </w:p>
    <w:p>
      <w:pPr>
        <w:spacing w:after="120" w:line="360" w:lineRule="auto"/>
        <w:ind w:firstLine="420"/>
      </w:pPr>
      <w:r>
        <w:rPr>
          <w:rFonts w:ascii="Times New Roman" w:hAnsi="Times New Roman" w:eastAsia="宋体"/>
          <w:b w:val="0"/>
          <w:i w:val="0"/>
          <w:color w:val="1A1A1A"/>
          <w:sz w:val="21"/>
        </w:rPr>
        <w:t>本研究引用的指南指令原文使用9-1-1，NHS页面使用999；急救号码须按辖区本地化，在中国为120，指令的结构与次序不变</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中文指南、共识与速效救心丸说明书虽在索引层面识别到与国际方案同源的表述，但全文未能核验，故"跨辖区阈值是否完全一致"只能给出"部分可核验、缺口明确"的结论；任何对中文条文的逐字引用，均须先在官方期刊全文与现行说明书上复核</w:t>
      </w:r>
      <w:r>
        <w:rPr>
          <w:rFonts w:ascii="Times New Roman" w:hAnsi="Times New Roman" w:eastAsia="宋体"/>
          <w:b w:val="0"/>
          <w:i w:val="0"/>
          <w:color w:val="1A1A1A"/>
          <w:sz w:val="21"/>
          <w:vertAlign w:val="superscript"/>
        </w:rPr>
        <w:t>[6-10]</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能够直接检验"阈值是否正确"的研究，应为随机化场景试验或高分辨率前瞻队列：对急性胸痛自救者，比较"立即呼叫急救后等待"与"先自救（每5分钟1次、不超过3次）再呼叫急救"两条路径在FMC时间、心肌梗死面积及30天与1年死亡率上的差异；同时需要2025 AHA/ACC ACS指南、2023 ESC ACS指南与中国指南官方全文的核验副本，以完成跨辖区阈值的逐字比对。在获得上述证据之前，"5分钟/3次"应被视为安全导向的共识阈值而非经循证检验的界值。就用药安全而言，本研究的证据结构支持一条不打折扣的表述：任何自救用药（硝酸甘油或速效救心丸）都不得被表述为延迟呼叫急救的理由；对可疑ACS，呼叫急救先于继续自行用药，这是指南指令结构本身的要求</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4.4 局限性</w:t>
      </w:r>
    </w:p>
    <w:p>
      <w:pPr>
        <w:spacing w:after="120" w:line="360" w:lineRule="auto"/>
        <w:ind w:firstLine="420"/>
      </w:pPr>
      <w:r>
        <w:rPr>
          <w:rFonts w:ascii="Times New Roman" w:hAnsi="Times New Roman" w:eastAsia="宋体"/>
          <w:b w:val="0"/>
          <w:i w:val="0"/>
          <w:color w:val="1A1A1A"/>
          <w:sz w:val="21"/>
        </w:rPr>
        <w:t>本研究的局限直接影响结论的可推广性。第一，证据形式的间接性。AHA/ACC与ESC指南原始全文为非开放获取，本研究以其条文在同行评议开放获取文献中的逐字转述为证据载体，存在个别字词与原文差异的可能；2025 AHA/ACC ACS指南是否保留既往"5分钟/3次"条款未能核验</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第二，中文文本的可及性。中文指南、共识与速效救心丸说明书仅经索引识别、全文未能核验；本研究亦未检索CNKI、万方等中文全文数据库，对中国指南阈值的一致性判断因此不完整，凡涉及中文条文的表述均处于待复核状态</w:t>
      </w:r>
      <w:r>
        <w:rPr>
          <w:rFonts w:ascii="Times New Roman" w:hAnsi="Times New Roman" w:eastAsia="宋体"/>
          <w:b w:val="0"/>
          <w:i w:val="0"/>
          <w:color w:val="1A1A1A"/>
          <w:sz w:val="21"/>
          <w:vertAlign w:val="superscript"/>
        </w:rPr>
        <w:t>[6-10]</w:t>
      </w:r>
      <w:r>
        <w:rPr>
          <w:rFonts w:ascii="Times New Roman" w:hAnsi="Times New Roman" w:eastAsia="宋体"/>
          <w:b w:val="0"/>
          <w:i w:val="0"/>
          <w:color w:val="1A1A1A"/>
          <w:sz w:val="21"/>
        </w:rPr>
        <w:t>。第三，定量证据的观察性属性。"每30分钟增加7.5%"与门球时间—死亡的非线性关系均为综述转述的观察性研究结果，存在残余混杂；其来源人群（接受直接经皮冠状动脉介入治疗的ST段抬高型心肌梗死患者）向自救阶段分钟级延迟外推时存在间接性，两项推导估算又建立在对数线性与效应可迁移假设之上，仅用于量化说明，不构成处置建议。第四，"症状缓解的诊断价值"的直接队列证据未能核验全文，相关论证依托指令结构而非原始数据。第五，部分纳入文献（参考文献</w:t>
      </w:r>
      <w:r>
        <w:rPr>
          <w:rFonts w:ascii="Times New Roman" w:hAnsi="Times New Roman" w:eastAsia="宋体"/>
          <w:b w:val="0"/>
          <w:i w:val="0"/>
          <w:color w:val="1A1A1A"/>
          <w:sz w:val="21"/>
          <w:vertAlign w:val="superscript"/>
        </w:rPr>
        <w:t>[3-5]</w:t>
      </w:r>
      <w:r>
        <w:rPr>
          <w:rFonts w:ascii="Times New Roman" w:hAnsi="Times New Roman" w:eastAsia="宋体"/>
          <w:b w:val="0"/>
          <w:i w:val="0"/>
          <w:color w:val="1A1A1A"/>
          <w:sz w:val="21"/>
        </w:rPr>
        <w:t>）的著者字段未能自可及数据源获取，著录以题名、期刊、年份及DOI、PMID完成，未予补造。第六，辖区适用性。急救号码与院前体系存在辖区差异（中国120、美国9-1-1、英国999），本研究对升级路径的表述以指令结构不变为前提，具体执行须按当地体系本地化</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w:t>
      </w:r>
    </w:p>
    <w:p>
      <w:pPr>
        <w:spacing w:after="120" w:line="312" w:lineRule="auto" w:before="240"/>
      </w:pPr>
      <w:r>
        <w:rPr>
          <w:rFonts w:ascii="Times New Roman" w:hAnsi="Times New Roman" w:eastAsia="黑体"/>
          <w:b/>
          <w:i w:val="0"/>
          <w:color w:val="1A1A1A"/>
          <w:sz w:val="26"/>
        </w:rPr>
        <w:t>5 结论</w:t>
      </w:r>
    </w:p>
    <w:p>
      <w:pPr>
        <w:spacing w:after="120" w:line="360" w:lineRule="auto"/>
        <w:ind w:firstLine="420"/>
      </w:pPr>
      <w:r>
        <w:rPr>
          <w:rFonts w:ascii="Times New Roman" w:hAnsi="Times New Roman" w:eastAsia="宋体"/>
          <w:b w:val="0"/>
          <w:i w:val="0"/>
          <w:color w:val="1A1A1A"/>
          <w:sz w:val="21"/>
        </w:rPr>
        <w:t>基于系统性检索的证据评价显示，在可核验的国际指南文本中，"急性胸痛自救用药后症状不缓解即应升级处置"的给药方案跨体系一致：舌下含服硝酸甘油0.3～0.6 mg、每5分钟1次、15分钟内总量≤1.2 mg；升级动作则由ACCF/AHA条文（追加期间症状不缓解即应立即寻求医疗救助）与NHS患者指导（胸痛不缓解即呼叫急救）确认，ESC的转述文本以剂量上限为界、未单列升级语句；对疑似ACS且既往已处方硝酸甘油者，含服1剂后5分钟内无缓解或疼痛加重即应立即呼叫急救，先于追加用药</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但该阈值的证据属性是药代动力学特征、剂量安全上限与专家共识的合成（相关推荐证据级别为C级），未检索到直接检验"5分钟/3次"数字的随机试验；与之相对，"时间即心肌"具有观察性定量证据（每30分钟再灌注延迟使1年死亡风险增加7.5%；门球时间与院内死亡呈非线性连续关系）与系统时间目标（门球时间≤90分钟且至少90%合格患者达标）的支撑</w:t>
      </w:r>
      <w:r>
        <w:rPr>
          <w:rFonts w:ascii="Times New Roman" w:hAnsi="Times New Roman" w:eastAsia="宋体"/>
          <w:b w:val="0"/>
          <w:i w:val="0"/>
          <w:color w:val="1A1A1A"/>
          <w:sz w:val="21"/>
          <w:vertAlign w:val="superscript"/>
        </w:rPr>
        <w:t>[3-5]</w:t>
      </w:r>
      <w:r>
        <w:rPr>
          <w:rFonts w:ascii="Times New Roman" w:hAnsi="Times New Roman" w:eastAsia="宋体"/>
          <w:b w:val="0"/>
          <w:i w:val="0"/>
          <w:color w:val="1A1A1A"/>
          <w:sz w:val="21"/>
        </w:rPr>
        <w:t>。"存在阈值推荐"与"阈值经证据检验"必须分开陈述，是本评价的核心结论。</w:t>
      </w:r>
    </w:p>
    <w:p>
      <w:pPr>
        <w:spacing w:after="120" w:line="360" w:lineRule="auto"/>
        <w:ind w:firstLine="420"/>
      </w:pPr>
      <w:r>
        <w:rPr>
          <w:rFonts w:ascii="Times New Roman" w:hAnsi="Times New Roman" w:eastAsia="宋体"/>
          <w:b w:val="0"/>
          <w:i w:val="0"/>
          <w:color w:val="1A1A1A"/>
          <w:sz w:val="21"/>
        </w:rPr>
        <w:t>升级路径中，呼叫急救是首步动作而非用药无效后的兜底动作。速效救心丸的可核验证据限于稳定型心绞痛的辅助治疗，未见其为急性胸痛设定升级时间阈值；其说明书与中文指南条文的全文未能核验，属待人工复核事项</w:t>
      </w:r>
      <w:r>
        <w:rPr>
          <w:rFonts w:ascii="Times New Roman" w:hAnsi="Times New Roman" w:eastAsia="宋体"/>
          <w:b w:val="0"/>
          <w:i w:val="0"/>
          <w:color w:val="1A1A1A"/>
          <w:sz w:val="21"/>
          <w:vertAlign w:val="superscript"/>
        </w:rPr>
        <w:t>[2,6-10]</w:t>
      </w:r>
      <w:r>
        <w:rPr>
          <w:rFonts w:ascii="Times New Roman" w:hAnsi="Times New Roman" w:eastAsia="宋体"/>
          <w:b w:val="0"/>
          <w:i w:val="0"/>
          <w:color w:val="1A1A1A"/>
          <w:sz w:val="21"/>
        </w:rPr>
        <w:t>。在获得官方全文核验与直接检验证据之前，"5分钟/3次"应作为安全导向的共识界值使用，其临床含义在于设定最晚升级时点；任何自救用药均不得延迟呼叫急救</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w:t>
      </w:r>
    </w:p>
    <w:p>
      <w:pPr>
        <w:spacing w:after="120" w:line="312" w:lineRule="auto" w:before="240"/>
      </w:pPr>
      <w:r>
        <w:rPr>
          <w:rFonts w:ascii="Times New Roman" w:hAnsi="Times New Roman" w:eastAsia="黑体"/>
          <w:b/>
          <w:i w:val="0"/>
          <w:color w:val="1A1A1A"/>
          <w:sz w:val="24"/>
        </w:rPr>
        <w:t>参考文献</w:t>
      </w:r>
    </w:p>
    <w:p>
      <w:pPr>
        <w:spacing w:after="60" w:line="312" w:lineRule="auto"/>
        <w:ind w:left="510" w:hanging="510"/>
      </w:pPr>
      <w:r>
        <w:rPr>
          <w:rFonts w:ascii="Times New Roman" w:hAnsi="Times New Roman" w:eastAsia="宋体"/>
          <w:b w:val="0"/>
          <w:i w:val="0"/>
          <w:color w:val="1A1A1A"/>
          <w:sz w:val="18"/>
        </w:rPr>
        <w:t>[1]</w:t>
      </w:r>
      <w:r>
        <w:rPr>
          <w:rFonts w:ascii="Times New Roman" w:hAnsi="Times New Roman" w:eastAsia="宋体"/>
          <w:b w:val="0"/>
          <w:i w:val="0"/>
          <w:color w:val="1A1A1A"/>
          <w:sz w:val="18"/>
        </w:rPr>
        <w:t xml:space="preserve"> NHS. Chest pain[EB/OL]. (2023)</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https://www.nhs.uk/symptoms/chest-pain/.</w:t>
      </w:r>
    </w:p>
    <w:p>
      <w:pPr>
        <w:spacing w:after="60" w:line="312" w:lineRule="auto"/>
        <w:ind w:left="510" w:hanging="510"/>
      </w:pPr>
      <w:r>
        <w:rPr>
          <w:rFonts w:ascii="Times New Roman" w:hAnsi="Times New Roman" w:eastAsia="宋体"/>
          <w:b w:val="0"/>
          <w:i w:val="0"/>
          <w:color w:val="1A1A1A"/>
          <w:sz w:val="18"/>
        </w:rPr>
        <w:t>[2]</w:t>
      </w:r>
      <w:r>
        <w:rPr>
          <w:rFonts w:ascii="Times New Roman" w:hAnsi="Times New Roman" w:eastAsia="宋体"/>
          <w:b w:val="0"/>
          <w:i w:val="0"/>
          <w:color w:val="1A1A1A"/>
          <w:sz w:val="18"/>
        </w:rPr>
        <w:t xml:space="preserve"> RUAN X F, LI Y P, SUN Y L, et al. Efficacy and safety of Suxiao Jiuxin Pill in the treatment of stable angina (Qi stagnation and blood stasis syndrome): study protocol of a randomized, double-blind, placebo-controlled, multi-center clinical trial[J]. Trials, 2021, 22. DOI: 10.1186/s13063-021-05448-6. PMID: 34281600.</w:t>
      </w:r>
    </w:p>
    <w:p>
      <w:pPr>
        <w:spacing w:after="60" w:line="312" w:lineRule="auto"/>
        <w:ind w:left="510" w:hanging="510"/>
      </w:pPr>
      <w:r>
        <w:rPr>
          <w:rFonts w:ascii="Times New Roman" w:hAnsi="Times New Roman" w:eastAsia="宋体"/>
          <w:b w:val="0"/>
          <w:i w:val="0"/>
          <w:color w:val="1A1A1A"/>
          <w:sz w:val="18"/>
        </w:rPr>
        <w:t>[3]</w:t>
      </w:r>
      <w:r>
        <w:rPr>
          <w:rFonts w:ascii="Times New Roman" w:hAnsi="Times New Roman" w:eastAsia="宋体"/>
          <w:b w:val="0"/>
          <w:i w:val="0"/>
          <w:color w:val="1A1A1A"/>
          <w:sz w:val="18"/>
        </w:rPr>
        <w:t xml:space="preserve"> Role of short-acting nitroglycerin in the management of ischemic heart disease[J]. Drug Design, Development and Therapy, 2015, 9. DOI: 10.2147/DDDT.S79116. PMID: 26316714.</w:t>
      </w:r>
    </w:p>
    <w:p>
      <w:pPr>
        <w:spacing w:after="60" w:line="312" w:lineRule="auto"/>
        <w:ind w:left="510" w:hanging="510"/>
      </w:pPr>
      <w:r>
        <w:rPr>
          <w:rFonts w:ascii="Times New Roman" w:hAnsi="Times New Roman" w:eastAsia="宋体"/>
          <w:b w:val="0"/>
          <w:i w:val="0"/>
          <w:color w:val="1A1A1A"/>
          <w:sz w:val="18"/>
        </w:rPr>
        <w:t>[4]</w:t>
      </w:r>
      <w:r>
        <w:rPr>
          <w:rFonts w:ascii="Times New Roman" w:hAnsi="Times New Roman" w:eastAsia="宋体"/>
          <w:b w:val="0"/>
          <w:i w:val="0"/>
          <w:color w:val="1A1A1A"/>
          <w:sz w:val="18"/>
        </w:rPr>
        <w:t xml:space="preserve"> The Irreversible March of Time: Ischemic Delay and Impact on Outcomes in ST-Segment Elevation Myocardial Infarction[J]. Journal of Cardiovascular Development and Disease, 2025, 12(12): 474. DOI: 10.3390/jcdd12120474. PMID: 41440853.</w:t>
      </w:r>
    </w:p>
    <w:p>
      <w:pPr>
        <w:spacing w:after="60" w:line="312" w:lineRule="auto"/>
        <w:ind w:left="510" w:hanging="510"/>
      </w:pPr>
      <w:r>
        <w:rPr>
          <w:rFonts w:ascii="Times New Roman" w:hAnsi="Times New Roman" w:eastAsia="宋体"/>
          <w:b w:val="0"/>
          <w:i w:val="0"/>
          <w:color w:val="1A1A1A"/>
          <w:sz w:val="18"/>
        </w:rPr>
        <w:t>[5]</w:t>
      </w:r>
      <w:r>
        <w:rPr>
          <w:rFonts w:ascii="Times New Roman" w:hAnsi="Times New Roman" w:eastAsia="宋体"/>
          <w:b w:val="0"/>
          <w:i w:val="0"/>
          <w:color w:val="1A1A1A"/>
          <w:sz w:val="18"/>
        </w:rPr>
        <w:t xml:space="preserve"> Achieving door-to-balloon time ≤ 90 minutes in ST-elevation myocardial infarction: a retrospective clinical audit from a tertiary care centre in India[J]. International Journal of Emergency Medicine, 2026. DOI: 10.1186/s12245-026-01222-0. PMID: 41998490.</w:t>
      </w:r>
    </w:p>
    <w:p>
      <w:pPr>
        <w:spacing w:after="60" w:line="312" w:lineRule="auto"/>
        <w:ind w:left="510" w:hanging="510"/>
      </w:pPr>
      <w:r>
        <w:rPr>
          <w:rFonts w:ascii="Times New Roman" w:hAnsi="Times New Roman" w:eastAsia="宋体"/>
          <w:b w:val="0"/>
          <w:i w:val="0"/>
          <w:color w:val="1A1A1A"/>
          <w:sz w:val="18"/>
        </w:rPr>
        <w:t>[6]</w:t>
      </w:r>
      <w:r>
        <w:rPr>
          <w:rFonts w:ascii="Times New Roman" w:hAnsi="Times New Roman" w:eastAsia="宋体"/>
          <w:b w:val="0"/>
          <w:i w:val="0"/>
          <w:color w:val="1A1A1A"/>
          <w:sz w:val="18"/>
        </w:rPr>
        <w:t xml:space="preserve"> 中华医学会心血管病学分会, 中华心血管病杂志编辑委员会. 急性ST段抬高型心肌梗死诊断和治疗指南（2019）[J]. 中华心血管病杂志, 2019, 47(10): 766-783.</w:t>
      </w:r>
    </w:p>
    <w:p>
      <w:pPr>
        <w:spacing w:after="60" w:line="312" w:lineRule="auto"/>
        <w:ind w:left="510" w:hanging="510"/>
      </w:pPr>
      <w:r>
        <w:rPr>
          <w:rFonts w:ascii="Times New Roman" w:hAnsi="Times New Roman" w:eastAsia="宋体"/>
          <w:b w:val="0"/>
          <w:i w:val="0"/>
          <w:color w:val="1A1A1A"/>
          <w:sz w:val="18"/>
        </w:rPr>
        <w:t>[7]</w:t>
      </w:r>
      <w:r>
        <w:rPr>
          <w:rFonts w:ascii="Times New Roman" w:hAnsi="Times New Roman" w:eastAsia="宋体"/>
          <w:b w:val="0"/>
          <w:i w:val="0"/>
          <w:color w:val="1A1A1A"/>
          <w:sz w:val="18"/>
        </w:rPr>
        <w:t xml:space="preserve"> 国家卫生计生委合理用药专家委员会, 中国药师协会. 冠心病合理用药指南（第2版）[J]. 中国医学前沿杂志（电子版）, 2018, 10(6).</w:t>
      </w:r>
    </w:p>
    <w:p>
      <w:pPr>
        <w:spacing w:after="60" w:line="312" w:lineRule="auto"/>
        <w:ind w:left="510" w:hanging="510"/>
      </w:pPr>
      <w:r>
        <w:rPr>
          <w:rFonts w:ascii="Times New Roman" w:hAnsi="Times New Roman" w:eastAsia="宋体"/>
          <w:b w:val="0"/>
          <w:i w:val="0"/>
          <w:color w:val="1A1A1A"/>
          <w:sz w:val="18"/>
        </w:rPr>
        <w:t>[8]</w:t>
      </w:r>
      <w:r>
        <w:rPr>
          <w:rFonts w:ascii="Times New Roman" w:hAnsi="Times New Roman" w:eastAsia="宋体"/>
          <w:b w:val="0"/>
          <w:i w:val="0"/>
          <w:color w:val="1A1A1A"/>
          <w:sz w:val="18"/>
        </w:rPr>
        <w:t xml:space="preserve"> 中国医师协会急诊医师分会. 急性冠脉综合征临床实践指南（一）[Z]. 2015.</w:t>
      </w:r>
    </w:p>
    <w:p>
      <w:pPr>
        <w:spacing w:after="60" w:line="312" w:lineRule="auto"/>
        <w:ind w:left="510" w:hanging="510"/>
      </w:pPr>
      <w:r>
        <w:rPr>
          <w:rFonts w:ascii="Times New Roman" w:hAnsi="Times New Roman" w:eastAsia="宋体"/>
          <w:b w:val="0"/>
          <w:i w:val="0"/>
          <w:color w:val="1A1A1A"/>
          <w:sz w:val="18"/>
        </w:rPr>
        <w:t>[9]</w:t>
      </w:r>
      <w:r>
        <w:rPr>
          <w:rFonts w:ascii="Times New Roman" w:hAnsi="Times New Roman" w:eastAsia="宋体"/>
          <w:b w:val="0"/>
          <w:i w:val="0"/>
          <w:color w:val="1A1A1A"/>
          <w:sz w:val="18"/>
        </w:rPr>
        <w:t xml:space="preserve"> 江苏省医学会心血管病学分会. 急性ST段抬高型心肌梗死溶栓治疗专家共识（2024）[Z]. 2024.</w:t>
      </w:r>
    </w:p>
    <w:p>
      <w:pPr>
        <w:spacing w:after="60" w:line="312" w:lineRule="auto"/>
        <w:ind w:left="510" w:hanging="510"/>
      </w:pPr>
      <w:r>
        <w:rPr>
          <w:rFonts w:ascii="Times New Roman" w:hAnsi="Times New Roman" w:eastAsia="宋体"/>
          <w:b w:val="0"/>
          <w:i w:val="0"/>
          <w:color w:val="1A1A1A"/>
          <w:sz w:val="18"/>
        </w:rPr>
        <w:t>[10]</w:t>
      </w:r>
      <w:r>
        <w:rPr>
          <w:rFonts w:ascii="Times New Roman" w:hAnsi="Times New Roman" w:eastAsia="宋体"/>
          <w:b w:val="0"/>
          <w:i w:val="0"/>
          <w:color w:val="1A1A1A"/>
          <w:sz w:val="18"/>
        </w:rPr>
        <w:t xml:space="preserve"> 津药达仁堂集团股份有限公司第六中药厂. 速效救心丸说明书（NMPA登记）[DB/OL]. 国家药品监督管理局药品说明书登记数据记录</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