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12" w:lineRule="auto"/>
        <w:jc w:val="center"/>
      </w:pPr>
      <w:r>
        <w:rPr>
          <w:rFonts w:ascii="Times New Roman" w:hAnsi="Times New Roman" w:eastAsia="黑体"/>
          <w:b/>
          <w:i w:val="0"/>
          <w:color w:val="1A1A1A"/>
          <w:sz w:val="30"/>
        </w:rPr>
        <w:t>消费级可穿戴设备心房颤动提示的效力边界：检出准确性、指南确诊与治疗路径及中成药的证据地位</w:t>
      </w:r>
    </w:p>
    <w:p>
      <w:pPr>
        <w:spacing w:after="240" w:line="360" w:lineRule="auto"/>
        <w:jc w:val="center"/>
      </w:pPr>
      <w:r>
        <w:rPr>
          <w:rFonts w:ascii="Times New Roman" w:hAnsi="Times New Roman" w:eastAsia="宋体"/>
          <w:b/>
          <w:i w:val="0"/>
          <w:color w:val="1A1A1A"/>
          <w:sz w:val="24"/>
        </w:rPr>
        <w:t>The Limits of a Consumer Wearable Atrial Fibrillation Alert: Detection Accuracy, Guideline-Defined Confirmation and Treatment Pathways, and the Evidential Standing of a Chinese Patent Medicine</w:t>
      </w:r>
    </w:p>
    <w:p>
      <w:pPr>
        <w:spacing w:after="120" w:line="312" w:lineRule="auto" w:before="240"/>
      </w:pPr>
      <w:r>
        <w:rPr>
          <w:rFonts w:ascii="Times New Roman" w:hAnsi="Times New Roman" w:eastAsia="黑体"/>
          <w:b/>
          <w:i w:val="0"/>
          <w:color w:val="1A1A1A"/>
          <w:sz w:val="24"/>
        </w:rPr>
        <w:t>摘要</w:t>
      </w:r>
    </w:p>
    <w:p>
      <w:pPr>
        <w:spacing w:after="120" w:line="360" w:lineRule="auto"/>
      </w:pPr>
      <w:r>
        <w:rPr>
          <w:rFonts w:ascii="Times New Roman" w:hAnsi="Times New Roman" w:eastAsia="宋体"/>
          <w:b/>
          <w:i w:val="0"/>
          <w:color w:val="1A1A1A"/>
          <w:sz w:val="21"/>
        </w:rPr>
        <w:t>目的</w:t>
      </w:r>
      <w:r>
        <w:rPr>
          <w:rFonts w:ascii="Times New Roman" w:hAnsi="Times New Roman" w:eastAsia="宋体"/>
          <w:b w:val="0"/>
          <w:i w:val="0"/>
          <w:color w:val="1A1A1A"/>
          <w:sz w:val="21"/>
        </w:rPr>
        <w:t xml:space="preserve"> 评价消费级智能手表与手环推送"疑似心房颤动（房颤）"提示后各处置环节的证据强度，包括设备检出准确性及其人群依赖性、指南规定的确诊与治疗路径，以及速效救心丸等中成药在该场景中的证据地位。</w:t>
      </w:r>
      <w:r>
        <w:rPr>
          <w:rFonts w:ascii="Times New Roman" w:hAnsi="Times New Roman" w:eastAsia="宋体"/>
          <w:b/>
          <w:i w:val="0"/>
          <w:color w:val="1A1A1A"/>
          <w:sz w:val="21"/>
        </w:rPr>
        <w:t>方法</w:t>
      </w:r>
      <w:r>
        <w:rPr>
          <w:rFonts w:ascii="Times New Roman" w:hAnsi="Times New Roman" w:eastAsia="宋体"/>
          <w:b w:val="0"/>
          <w:i w:val="0"/>
          <w:color w:val="1A1A1A"/>
          <w:sz w:val="21"/>
        </w:rPr>
        <w:t xml:space="preserve"> 于2026年8月4日检索PubMed、Europe PMC/PMC、指南索引与Crossref，共执行检索式35条（其中4条零结果）；速效救心丸的批准适应症取自国家药品监督管理局药品说明书索引记录。识别记录264条，去重后89条，纳入23个来源，其中11个经开放获取全文或官方页面原文逐条核验，其余为摘要级或索引记录级并如实标注。按"提示—确诊—治疗—中成药地位"四环设定判定条件并逐环检验。</w:t>
      </w:r>
      <w:r>
        <w:rPr>
          <w:rFonts w:ascii="Times New Roman" w:hAnsi="Times New Roman" w:eastAsia="宋体"/>
          <w:b/>
          <w:i w:val="0"/>
          <w:color w:val="1A1A1A"/>
          <w:sz w:val="21"/>
        </w:rPr>
        <w:t>结果</w:t>
      </w:r>
      <w:r>
        <w:rPr>
          <w:rFonts w:ascii="Times New Roman" w:hAnsi="Times New Roman" w:eastAsia="宋体"/>
          <w:b w:val="0"/>
          <w:i w:val="0"/>
          <w:color w:val="1A1A1A"/>
          <w:sz w:val="21"/>
        </w:rPr>
        <w:t xml:space="preserve"> 智能手表诊断准确性Meta分析（18项研究、424 371名受试者，结局为各类心律失常，含房颤检出、缓慢与快速性心律失常及早搏）报告合并敏感度100%、特异度95%、阳性预测值（positive predictive value，PPV）85%，而单项研究敏感度介于25%~100%、特异度介于68%~100%，PPV合并异质性达I²=98.5%；单导联心电按是否将无法判定记录计为假结果，敏感度在88%与69%之间移动。三项数十万人规模研究的提示率为0.23%~1%，PPV分别为0.84、98.2%与91.6%，因分母定义不同不可比较；因异常脉搏提示就诊者中仅11.4%获得有临床处置价值的心血管诊断。指南将设备提示定位为筛查信号、以心电图记录作为诊断依据（该要求由指南解读文献与机制证据共同支持，两套关键指南原文仅获索引记录），抗凝依据CHA₂DS₂-VA或CHA₂DS₂-VASc评分而非提示本身。速效救心丸适应症为气滞血瘀型冠心病、心绞痛，其41项随机对照试验、6 276例的证据全部来自冠心病人群。</w:t>
      </w:r>
      <w:r>
        <w:rPr>
          <w:rFonts w:ascii="Times New Roman" w:hAnsi="Times New Roman" w:eastAsia="宋体"/>
          <w:b/>
          <w:i w:val="0"/>
          <w:color w:val="1A1A1A"/>
          <w:sz w:val="21"/>
        </w:rPr>
        <w:t>结论</w:t>
      </w:r>
      <w:r>
        <w:rPr>
          <w:rFonts w:ascii="Times New Roman" w:hAnsi="Times New Roman" w:eastAsia="宋体"/>
          <w:b w:val="0"/>
          <w:i w:val="0"/>
          <w:color w:val="1A1A1A"/>
          <w:sz w:val="21"/>
        </w:rPr>
        <w:t xml:space="preserve"> 设备提示是筛查信号，其效力止于"值得接受确认性检查"；确诊与抗凝决策须回到指南路径；速效救心丸在房颤场景中无适应症、无支持性临床证据、无指南推荐。</w:t>
      </w:r>
    </w:p>
    <w:p>
      <w:pPr>
        <w:spacing w:after="120" w:line="360" w:lineRule="auto"/>
      </w:pPr>
      <w:r>
        <w:rPr>
          <w:rFonts w:ascii="Times New Roman" w:hAnsi="Times New Roman" w:eastAsia="宋体"/>
          <w:b/>
          <w:i w:val="0"/>
          <w:color w:val="1A1A1A"/>
          <w:sz w:val="21"/>
        </w:rPr>
        <w:t>关键词：</w:t>
      </w:r>
      <w:r>
        <w:rPr>
          <w:rFonts w:ascii="Times New Roman" w:hAnsi="Times New Roman" w:eastAsia="宋体"/>
          <w:b w:val="0"/>
          <w:i w:val="0"/>
          <w:color w:val="1A1A1A"/>
          <w:sz w:val="21"/>
        </w:rPr>
        <w:t xml:space="preserve"> 心房颤动；可穿戴设备；光电容积描记法；阳性预测值；抗凝治疗；临床实践指南；速效救心丸</w:t>
      </w:r>
    </w:p>
    <w:p>
      <w:pPr>
        <w:spacing w:after="120" w:line="312" w:lineRule="auto" w:before="240"/>
      </w:pPr>
      <w:r>
        <w:rPr>
          <w:rFonts w:ascii="Times New Roman" w:hAnsi="Times New Roman" w:eastAsia="黑体"/>
          <w:b/>
          <w:i w:val="0"/>
          <w:color w:val="1A1A1A"/>
          <w:sz w:val="24"/>
        </w:rPr>
        <w:t>Abstract</w:t>
      </w:r>
    </w:p>
    <w:p>
      <w:pPr>
        <w:spacing w:after="120" w:line="360" w:lineRule="auto"/>
      </w:pPr>
      <w:r>
        <w:rPr>
          <w:rFonts w:ascii="Times New Roman" w:hAnsi="Times New Roman" w:eastAsia="宋体"/>
          <w:b/>
          <w:i w:val="0"/>
          <w:color w:val="1A1A1A"/>
          <w:sz w:val="21"/>
        </w:rPr>
        <w:t>Objective</w:t>
      </w:r>
      <w:r>
        <w:rPr>
          <w:rFonts w:ascii="Times New Roman" w:hAnsi="Times New Roman" w:eastAsia="宋体"/>
          <w:b w:val="0"/>
          <w:i w:val="0"/>
          <w:color w:val="1A1A1A"/>
          <w:sz w:val="21"/>
        </w:rPr>
        <w:t xml:space="preserve"> Consumer smartwatches and wristbands increasingly push "possible atrial fibrillation (AF)" alerts to their users. This review appraises the evidence underpinning each step that follows such an alert: device detection accuracy and its dependence on the population screened, the confirmation and treatment pathways prescribed by guidelines, and the evidential standing of Chinese patent medicines such as Suxiao Jiuxin Pill in this setting. </w:t>
      </w:r>
      <w:r>
        <w:rPr>
          <w:rFonts w:ascii="Times New Roman" w:hAnsi="Times New Roman" w:eastAsia="宋体"/>
          <w:b/>
          <w:i w:val="0"/>
          <w:color w:val="1A1A1A"/>
          <w:sz w:val="21"/>
        </w:rPr>
        <w:t>Methods</w:t>
      </w:r>
      <w:r>
        <w:rPr>
          <w:rFonts w:ascii="Times New Roman" w:hAnsi="Times New Roman" w:eastAsia="宋体"/>
          <w:b w:val="0"/>
          <w:i w:val="0"/>
          <w:color w:val="1A1A1A"/>
          <w:sz w:val="21"/>
        </w:rPr>
        <w:t xml:space="preserve"> PubMed, Europe PMC/PMC, a guideline index and Crossref were searched on 4 August 2026 using 35 queries, four of which returned no records; the approved indication of Suxiao Jiuxin Pill was taken from the National Medical Products Administration package-insert index record. Of 264 records identified and 89 remaining after deduplication, 23 sources were included; 11 were verified line by line against open-access full texts or official page text, and the remainder were abstract-level or index-level records, labelled as such. A four-link decision chain—alert, confirmation, treatment, and the standing of Chinese patent medicine—was specified in advance and tested link by link. </w:t>
      </w:r>
      <w:r>
        <w:rPr>
          <w:rFonts w:ascii="Times New Roman" w:hAnsi="Times New Roman" w:eastAsia="宋体"/>
          <w:b/>
          <w:i w:val="0"/>
          <w:color w:val="1A1A1A"/>
          <w:sz w:val="21"/>
        </w:rPr>
        <w:t>Results</w:t>
      </w:r>
      <w:r>
        <w:rPr>
          <w:rFonts w:ascii="Times New Roman" w:hAnsi="Times New Roman" w:eastAsia="宋体"/>
          <w:b w:val="0"/>
          <w:i w:val="0"/>
          <w:color w:val="1A1A1A"/>
          <w:sz w:val="21"/>
        </w:rPr>
        <w:t xml:space="preserve"> A meta-analysis of 18 studies and 424,371 subjects, whose outcome was cardiac arrhythmias as a whole (atrial fibrillation detection, bradyarrhythmias and tachyarrhythmias, and premature contractions), reported pooled sensitivity 100%, specificity 95% and positive predictive value (PPV) 85%, yet individual sensitivities ranged from 25% to 100% and specificities from 68% to 100%, with I²=98.5% for pooled PPV; for single-lead electrocardiography, sensitivity moved between 88% and 69% depending on whether unclassifiable tracings were counted as false results. Three population-scale studies reported alert rates of 0.23% to 1% and PPVs of 0.84, 98.2% and 91.6% that are not directly comparable because their denominators differ; only 11.4% of patients presenting after an abnormal pulse alert received a clinically actionable cardiovascular diagnosis. Guidelines position the alert as a screening signal and take electrocardiographic documentation as the basis of diagnosis—a requirement supported jointly by guideline commentaries and mechanistic evidence, the two key guideline texts themselves being available only as index records—and base anticoagulation on the CHA₂DS₂-VA or CHA₂DS₂-VASc score rather than on the alert itself. The approved indication of Suxiao Jiuxin Pill covers coronary heart disease and angina pectoris of the qi-stagnation and blood-stasis pattern, and its clinical evidence base of 41 randomized controlled trials with 6,276 participants derives entirely from coronary heart disease populations. </w:t>
      </w:r>
      <w:r>
        <w:rPr>
          <w:rFonts w:ascii="Times New Roman" w:hAnsi="Times New Roman" w:eastAsia="宋体"/>
          <w:b/>
          <w:i w:val="0"/>
          <w:color w:val="1A1A1A"/>
          <w:sz w:val="21"/>
        </w:rPr>
        <w:t>Conclusion</w:t>
      </w:r>
      <w:r>
        <w:rPr>
          <w:rFonts w:ascii="Times New Roman" w:hAnsi="Times New Roman" w:eastAsia="宋体"/>
          <w:b w:val="0"/>
          <w:i w:val="0"/>
          <w:color w:val="1A1A1A"/>
          <w:sz w:val="21"/>
        </w:rPr>
        <w:t xml:space="preserve"> A wearable alert is a screening signal whose force stops at "worth a confirmatory test"; diagnosis and anticoagulation must return to the guideline pathway. Suxiao Jiuxin Pill has no indication, no supporting clinical evidence and no guideline recommendation in AF.</w:t>
      </w:r>
    </w:p>
    <w:p>
      <w:pPr>
        <w:spacing w:after="120" w:line="360" w:lineRule="auto"/>
      </w:pPr>
      <w:r>
        <w:rPr>
          <w:rFonts w:ascii="Times New Roman" w:hAnsi="Times New Roman" w:eastAsia="宋体"/>
          <w:b/>
          <w:i w:val="0"/>
          <w:color w:val="1A1A1A"/>
          <w:sz w:val="21"/>
        </w:rPr>
        <w:t>Keywords:</w:t>
      </w:r>
      <w:r>
        <w:rPr>
          <w:rFonts w:ascii="Times New Roman" w:hAnsi="Times New Roman" w:eastAsia="宋体"/>
          <w:b w:val="0"/>
          <w:i w:val="0"/>
          <w:color w:val="1A1A1A"/>
          <w:sz w:val="21"/>
        </w:rPr>
        <w:t xml:space="preserve"> atrial fibrillation; wearable devices; photoplethysmography; positive predictive value; anticoagulation; clinical practice guidelines; Suxiao Jiuxin Pill</w:t>
      </w:r>
    </w:p>
    <w:p>
      <w:pPr>
        <w:spacing w:after="120" w:line="312" w:lineRule="auto" w:before="240"/>
      </w:pPr>
      <w:r>
        <w:rPr>
          <w:rFonts w:ascii="Times New Roman" w:hAnsi="Times New Roman" w:eastAsia="黑体"/>
          <w:b/>
          <w:i w:val="0"/>
          <w:color w:val="1A1A1A"/>
          <w:sz w:val="26"/>
        </w:rPr>
        <w:t>1 引言</w:t>
      </w:r>
    </w:p>
    <w:p>
      <w:pPr>
        <w:spacing w:after="120" w:line="360" w:lineRule="auto"/>
        <w:ind w:firstLine="420"/>
      </w:pPr>
      <w:r>
        <w:rPr>
          <w:rFonts w:ascii="Times New Roman" w:hAnsi="Times New Roman" w:eastAsia="宋体"/>
          <w:b w:val="0"/>
          <w:i w:val="0"/>
          <w:color w:val="1A1A1A"/>
          <w:sz w:val="21"/>
        </w:rPr>
        <w:t>心房颤动是最常见的持续性心律失常，影响20岁以上人群的约3%，并随年龄增长而更为多见；20%~30%的卒中由房颤引起，早期检出被认为可通过预防性抗凝显著降低卒中风险</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。未经适当治疗者的缺血性卒中风险升高约五倍，每五例卒中中约一例与房颤相关</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。中国的年龄—患病率曲线同样陡峭：55~59岁人群患病率为0.72%，80~84岁为6.52%，95岁以上为8.18%，据此估计现有成人房颤患者约2 000万</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。由于无症状房颤常被漏过，诊断往往在首次血栓栓塞事件之后才被作出，这构成了引入筛查的临床动机</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消费级可穿戴设备把这一动机带入日常生活。智能手表与手环以光电容积描记法（photoplethysmography，PPG）传感器记录脉搏节律，部分产品另可采集相当于单导联的心电图；算法将结果判读为窦性心律、房颤或无法判定，并向用户推送提示</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。随之而来的临床问题并非"设备能否检出房颤"，而是"一次提示应当触发什么"——它是否构成诊断，是否足以启动抗凝，以及常被一并提及的中成药是否在这一场景中占有位置。</w:t>
      </w:r>
    </w:p>
    <w:p>
      <w:pPr>
        <w:spacing w:after="120" w:line="360" w:lineRule="auto"/>
        <w:ind w:firstLine="420"/>
      </w:pPr>
      <w:r>
        <w:rPr>
          <w:rFonts w:ascii="Times New Roman" w:hAnsi="Times New Roman" w:eastAsia="宋体"/>
          <w:b w:val="0"/>
          <w:i w:val="0"/>
          <w:color w:val="1A1A1A"/>
          <w:sz w:val="21"/>
        </w:rPr>
        <w:t>回答上述问题需要把处置路径拆成四个各自需要独立证据的环节。第一环考察设备提示是否等同于诊断，其判定条件是准确性尤其是阳性预测值（positive predictive value，PPV）在目标人群中足够高且稳定，且提示之后无需确认性检查；第二环考察确诊路径，其判定条件是指南体系把设备提示定位为筛查信号并以心电图记录作为诊断依据，且该定位可由可核验的指南解读文献与机制证据共同支持；第三环考察治疗路径，其判定条件是指南以已验证的卒中风险评分而非设备提示或症状驱动抗凝决策；第四环考察中成药，其判定条件是批准适应症文本或高质量临床研究覆盖房颤，且允许出现"适应症未覆盖且无支持性证据"的阴性判定。既往论述中常见两处跨越——由"设备准确性高"跨到"提示可作诊断"，由"药物在冠心病人群有效"跨到"可用于房颤"——四环结构的作用正是使每一次跨越出示与之匹配的证据。</w:t>
      </w:r>
    </w:p>
    <w:p>
      <w:pPr>
        <w:spacing w:after="120" w:line="312" w:lineRule="auto" w:before="240"/>
      </w:pPr>
      <w:r>
        <w:rPr>
          <w:rFonts w:ascii="Times New Roman" w:hAnsi="Times New Roman" w:eastAsia="黑体"/>
          <w:b/>
          <w:i w:val="0"/>
          <w:color w:val="1A1A1A"/>
          <w:sz w:val="26"/>
        </w:rPr>
        <w:t>2 资料与方法</w:t>
      </w:r>
    </w:p>
    <w:p>
      <w:pPr>
        <w:spacing w:after="80" w:line="312" w:lineRule="auto" w:before="160"/>
      </w:pPr>
      <w:r>
        <w:rPr>
          <w:rFonts w:ascii="Times New Roman" w:hAnsi="Times New Roman" w:eastAsia="黑体"/>
          <w:b/>
          <w:i w:val="0"/>
          <w:color w:val="1A1A1A"/>
          <w:sz w:val="22"/>
        </w:rPr>
        <w:t>2.1 检索策略</w:t>
      </w:r>
    </w:p>
    <w:p>
      <w:pPr>
        <w:spacing w:after="120" w:line="360" w:lineRule="auto"/>
        <w:ind w:firstLine="420"/>
      </w:pPr>
      <w:r>
        <w:rPr>
          <w:rFonts w:ascii="Times New Roman" w:hAnsi="Times New Roman" w:eastAsia="宋体"/>
          <w:b w:val="0"/>
          <w:i w:val="0"/>
          <w:color w:val="1A1A1A"/>
          <w:sz w:val="21"/>
        </w:rPr>
        <w:t>证据检索于2026年8月4日完成，数据库为四类：PubMed，Europe PMC与PMC全文库，指南与共识索引，以及用于数字对象标识符解析与题录核对的Crossref。共执行检索式35条，其中4条返回零结果，全部检索式及其命中数均予记录。速效救心丸的批准适应症、禁忌与注意事项取自国家药品监督管理局药品说明书索引记录，该类查询不属于文献检索式，未计入上述计数；英国国家医疗服务体系（National Health Service，NHS）胸痛官方患者页面另获取原文。</w:t>
      </w:r>
    </w:p>
    <w:p>
      <w:pPr>
        <w:spacing w:after="120" w:line="360" w:lineRule="auto"/>
        <w:ind w:firstLine="420"/>
      </w:pPr>
      <w:r>
        <w:rPr>
          <w:rFonts w:ascii="Times New Roman" w:hAnsi="Times New Roman" w:eastAsia="宋体"/>
          <w:b w:val="0"/>
          <w:i w:val="0"/>
          <w:color w:val="1A1A1A"/>
          <w:sz w:val="21"/>
        </w:rPr>
        <w:t>检索概念分四组：设备检出与筛查（如smartwatch atrial fibrillation detection photoplethysmography、irregular pulse notification、Apple Heart Study、Fitbit Heart Study）；指南与共识（如2024 ESC guidelines management of atrial fibrillation、atrial fibrillation guideline 2023 AHA ACC HRS、心房颤动诊断和治疗中国指南）；证据合成与立场文件（如wearable health devices systematic review、e-cardiology position paper）；中成药的反向检索（速效救心丸 心房颤动、suxiao jiuxin wan atrial fibrillation）。第四组的目的是主动寻找可能推翻末环阴性判定的证据。</w:t>
      </w:r>
    </w:p>
    <w:p>
      <w:pPr>
        <w:spacing w:after="80" w:line="312" w:lineRule="auto" w:before="160"/>
      </w:pPr>
      <w:r>
        <w:rPr>
          <w:rFonts w:ascii="Times New Roman" w:hAnsi="Times New Roman" w:eastAsia="黑体"/>
          <w:b/>
          <w:i w:val="0"/>
          <w:color w:val="1A1A1A"/>
          <w:sz w:val="22"/>
        </w:rPr>
        <w:t>2.2 纳入与排除标准</w:t>
      </w:r>
    </w:p>
    <w:p>
      <w:pPr>
        <w:spacing w:after="120" w:line="360" w:lineRule="auto"/>
        <w:ind w:firstLine="420"/>
      </w:pPr>
      <w:r>
        <w:rPr>
          <w:rFonts w:ascii="Times New Roman" w:hAnsi="Times New Roman" w:eastAsia="宋体"/>
          <w:b w:val="0"/>
          <w:i w:val="0"/>
          <w:color w:val="1A1A1A"/>
          <w:sz w:val="21"/>
        </w:rPr>
        <w:t>纳入标准为：以房颤检出或筛查准确性、指南推荐路径、抗凝决策，或速效救心丸临床证据为主要内容的指南与共识、系统评价与Meta分析、诊断准确性研究、随机对照试验及监管文件。排除标准为：与房颤无关的可穿戴设备研究；仅有题录而无可用内容的记录。共识别264条记录，去重后89条，最终纳入23个来源。去重按数字对象标识符、PubMed标识号、统一资源定位符与归一化题名依次进行，其中2023年ACC/AHA/ACCP/HRS指南在开放获取平台存在两个版本标识，按一篇独立文献计。对纳入记录逐一核对文献数据库，未发现撤稿、更正声明或关注表达，所引指南均为现行版本。</w:t>
      </w:r>
    </w:p>
    <w:p>
      <w:pPr>
        <w:spacing w:after="80" w:line="312" w:lineRule="auto" w:before="160"/>
      </w:pPr>
      <w:r>
        <w:rPr>
          <w:rFonts w:ascii="Times New Roman" w:hAnsi="Times New Roman" w:eastAsia="黑体"/>
          <w:b/>
          <w:i w:val="0"/>
          <w:color w:val="1A1A1A"/>
          <w:sz w:val="22"/>
        </w:rPr>
        <w:t>2.3 来源可核验程度的分级</w:t>
      </w:r>
    </w:p>
    <w:p>
      <w:pPr>
        <w:spacing w:after="120" w:line="360" w:lineRule="auto"/>
        <w:ind w:firstLine="420"/>
      </w:pPr>
      <w:r>
        <w:rPr>
          <w:rFonts w:ascii="Times New Roman" w:hAnsi="Times New Roman" w:eastAsia="宋体"/>
          <w:b w:val="0"/>
          <w:i w:val="0"/>
          <w:color w:val="1A1A1A"/>
          <w:sz w:val="21"/>
        </w:rPr>
        <w:t>本研究对每一个来源标注其可核验程度，并使该标注随引用一同呈现。第一级为开放获取全文或官方页面原文可逐条核验，共11个来源；第二级为仅能获得发表摘要，可用于定性描述，不作为承重数值的独立依据；第三级为仅能获得索引记录，不用于推断研究设计、效应量或推荐强度，本文在相应位置直接写明"全文未纳入核验"或"未能追溯到可核验出处"，不以推测填补。这一分级并非形式要求：三项里程碑设备研究与两套关键指南的原文均属受限文献，其数值与推荐文本只能经二次来源转述，若不加标注，转述与原文之间的差异将无从追踪。</w:t>
      </w:r>
    </w:p>
    <w:p>
      <w:pPr>
        <w:spacing w:after="80" w:line="312" w:lineRule="auto" w:before="160"/>
      </w:pPr>
      <w:r>
        <w:rPr>
          <w:rFonts w:ascii="Times New Roman" w:hAnsi="Times New Roman" w:eastAsia="黑体"/>
          <w:b/>
          <w:i w:val="0"/>
          <w:color w:val="1A1A1A"/>
          <w:sz w:val="22"/>
        </w:rPr>
        <w:t>2.4 证据评价方法与判定条件</w:t>
      </w:r>
    </w:p>
    <w:p>
      <w:pPr>
        <w:spacing w:after="120" w:line="360" w:lineRule="auto"/>
        <w:ind w:firstLine="420"/>
      </w:pPr>
      <w:r>
        <w:rPr>
          <w:rFonts w:ascii="Times New Roman" w:hAnsi="Times New Roman" w:eastAsia="宋体"/>
          <w:b w:val="0"/>
          <w:i w:val="0"/>
          <w:color w:val="1A1A1A"/>
          <w:sz w:val="21"/>
        </w:rPr>
        <w:t>结论性主张按三类分别评价：直接引证型与单一来源的逐字原文绑定；跨来源综合型须由至少两个相互独立的来源分别以原文支持；推导估算型须公开输入、方法、假设与敏感性分析，明确标注为本文推算，且不进入任何处置建议。四环证据分别取自诊断准确性研究、指南文本、治疗学证据与监管文件，互不代偿：任一环的证据不足，不得由相邻环的证据强度补足。</w:t>
      </w:r>
    </w:p>
    <w:p>
      <w:pPr>
        <w:spacing w:after="120" w:line="360" w:lineRule="auto"/>
        <w:ind w:firstLine="420"/>
      </w:pPr>
      <w:r>
        <w:rPr>
          <w:rFonts w:ascii="Times New Roman" w:hAnsi="Times New Roman" w:eastAsia="宋体"/>
          <w:b w:val="0"/>
          <w:i w:val="0"/>
          <w:color w:val="1A1A1A"/>
          <w:sz w:val="21"/>
        </w:rPr>
        <w:t>本研究为基于系统性检索的证据评价与综述，而非《系统评价和荟萃分析的首选报告条目》意义上的系统评价：未实施双人独立筛选与资料提取，未作前瞻性注册，亦未对纳入研究进行定量合并；文中出现的合并估计均引自已发表的Meta分析。</w:t>
      </w:r>
    </w:p>
    <w:p>
      <w:pPr>
        <w:spacing w:after="120" w:line="312" w:lineRule="auto" w:before="240"/>
      </w:pPr>
      <w:r>
        <w:rPr>
          <w:rFonts w:ascii="Times New Roman" w:hAnsi="Times New Roman" w:eastAsia="黑体"/>
          <w:b/>
          <w:i w:val="0"/>
          <w:color w:val="1A1A1A"/>
          <w:sz w:val="26"/>
        </w:rPr>
        <w:t>3 结果</w:t>
      </w:r>
    </w:p>
    <w:p>
      <w:pPr>
        <w:spacing w:after="80" w:line="312" w:lineRule="auto" w:before="160"/>
      </w:pPr>
      <w:r>
        <w:rPr>
          <w:rFonts w:ascii="Times New Roman" w:hAnsi="Times New Roman" w:eastAsia="黑体"/>
          <w:b/>
          <w:i w:val="0"/>
          <w:color w:val="1A1A1A"/>
          <w:sz w:val="22"/>
        </w:rPr>
        <w:t>3.1 检索与纳入</w:t>
      </w:r>
    </w:p>
    <w:p>
      <w:pPr>
        <w:spacing w:after="120" w:line="360" w:lineRule="auto"/>
        <w:ind w:firstLine="420"/>
      </w:pPr>
      <w:r>
        <w:rPr>
          <w:rFonts w:ascii="Times New Roman" w:hAnsi="Times New Roman" w:eastAsia="宋体"/>
          <w:b w:val="0"/>
          <w:i w:val="0"/>
          <w:color w:val="1A1A1A"/>
          <w:sz w:val="21"/>
        </w:rPr>
        <w:t>264条记录去重后为89条，23个来源进入证据体系。11个来源获得开放获取全文或官方页面原文并逐条核验，涵盖系统评价与Meta分析、指南解读、中国专家共识执行摘要、伦理分析、工作组立场文件、中成药Meta分析与官方患者页面。6个来源仅获得发表摘要，包括三项里程碑设备研究的原始发表</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、单中心设备验证研究</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、中成药系统评价</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，以及Fitbit心脏研究关于提示复发与心电图确认的随访报告</w:t>
      </w:r>
      <w:r>
        <w:rPr>
          <w:rFonts w:ascii="Times New Roman" w:hAnsi="Times New Roman" w:eastAsia="宋体"/>
          <w:b w:val="0"/>
          <w:i w:val="0"/>
          <w:color w:val="1A1A1A"/>
          <w:sz w:val="21"/>
          <w:vertAlign w:val="superscript"/>
        </w:rPr>
        <w:t>[22]</w:t>
      </w:r>
      <w:r>
        <w:rPr>
          <w:rFonts w:ascii="Times New Roman" w:hAnsi="Times New Roman" w:eastAsia="宋体"/>
          <w:b w:val="0"/>
          <w:i w:val="0"/>
          <w:color w:val="1A1A1A"/>
          <w:sz w:val="21"/>
        </w:rPr>
        <w:t>；后者全文未纳入核验，其数值未被本文用作证据。另有6个来源仅获得索引记录：2024年欧洲心脏病学会（European Society of Cardiology，ESC）房颤指南原文</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、2023年ACC/AHA/ACCP/HRS指南原文</w:t>
      </w:r>
      <w:r>
        <w:rPr>
          <w:rFonts w:ascii="Times New Roman" w:hAnsi="Times New Roman" w:eastAsia="宋体"/>
          <w:b w:val="0"/>
          <w:i w:val="0"/>
          <w:color w:val="1A1A1A"/>
          <w:sz w:val="21"/>
          <w:vertAlign w:val="superscript"/>
        </w:rPr>
        <w:t>[10]</w:t>
      </w:r>
      <w:r>
        <w:rPr>
          <w:rFonts w:ascii="Times New Roman" w:hAnsi="Times New Roman" w:eastAsia="宋体"/>
          <w:b w:val="0"/>
          <w:i w:val="0"/>
          <w:color w:val="1A1A1A"/>
          <w:sz w:val="21"/>
        </w:rPr>
        <w:t>、速效救心丸说明书记录</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、2025年《中国心房颤动管理指南》</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、英国国家卫生与临床优化研究所（National Institute for Health and Care Excellence，NICE）指南NG196</w:t>
      </w:r>
      <w:r>
        <w:rPr>
          <w:rFonts w:ascii="Times New Roman" w:hAnsi="Times New Roman" w:eastAsia="宋体"/>
          <w:b w:val="0"/>
          <w:i w:val="0"/>
          <w:color w:val="1A1A1A"/>
          <w:sz w:val="21"/>
          <w:vertAlign w:val="superscript"/>
        </w:rPr>
        <w:t>[19]</w:t>
      </w:r>
      <w:r>
        <w:rPr>
          <w:rFonts w:ascii="Times New Roman" w:hAnsi="Times New Roman" w:eastAsia="宋体"/>
          <w:b w:val="0"/>
          <w:i w:val="0"/>
          <w:color w:val="1A1A1A"/>
          <w:sz w:val="21"/>
        </w:rPr>
        <w:t>与美国预防服务工作组（US Preventive Services Task Force，USPSTF）2022年房颤筛查推荐声明</w:t>
      </w:r>
      <w:r>
        <w:rPr>
          <w:rFonts w:ascii="Times New Roman" w:hAnsi="Times New Roman" w:eastAsia="宋体"/>
          <w:b w:val="0"/>
          <w:i w:val="0"/>
          <w:color w:val="1A1A1A"/>
          <w:sz w:val="21"/>
          <w:vertAlign w:val="superscript"/>
        </w:rPr>
        <w:t>[20]</w:t>
      </w:r>
      <w:r>
        <w:rPr>
          <w:rFonts w:ascii="Times New Roman" w:hAnsi="Times New Roman" w:eastAsia="宋体"/>
          <w:b w:val="0"/>
          <w:i w:val="0"/>
          <w:color w:val="1A1A1A"/>
          <w:sz w:val="21"/>
        </w:rPr>
        <w:t>。两套关键指南的推荐内容分别经开放获取的官方解读文献</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与对比解读文献</w:t>
      </w:r>
      <w:r>
        <w:rPr>
          <w:rFonts w:ascii="Times New Roman" w:hAnsi="Times New Roman" w:eastAsia="宋体"/>
          <w:b w:val="0"/>
          <w:i w:val="0"/>
          <w:color w:val="1A1A1A"/>
          <w:sz w:val="21"/>
          <w:vertAlign w:val="superscript"/>
        </w:rPr>
        <w:t>[11]</w:t>
      </w:r>
      <w:r>
        <w:rPr>
          <w:rFonts w:ascii="Times New Roman" w:hAnsi="Times New Roman" w:eastAsia="宋体"/>
          <w:b w:val="0"/>
          <w:i w:val="0"/>
          <w:color w:val="1A1A1A"/>
          <w:sz w:val="21"/>
        </w:rPr>
        <w:t>、综述</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核读，三项里程碑设备研究的核心数值经一篇开放获取综述</w:t>
      </w:r>
      <w:r>
        <w:rPr>
          <w:rFonts w:ascii="Times New Roman" w:hAnsi="Times New Roman" w:eastAsia="宋体"/>
          <w:b w:val="0"/>
          <w:i w:val="0"/>
          <w:color w:val="1A1A1A"/>
          <w:sz w:val="21"/>
          <w:vertAlign w:val="superscript"/>
        </w:rPr>
        <w:t>[23]</w:t>
      </w:r>
      <w:r>
        <w:rPr>
          <w:rFonts w:ascii="Times New Roman" w:hAnsi="Times New Roman" w:eastAsia="宋体"/>
          <w:b w:val="0"/>
          <w:i w:val="0"/>
          <w:color w:val="1A1A1A"/>
          <w:sz w:val="21"/>
        </w:rPr>
        <w:t>逐项核对；由此每一个数值都能追溯到可核验的文本，但相关表述属转述而非原文。</w:t>
      </w:r>
    </w:p>
    <w:p>
      <w:pPr>
        <w:spacing w:after="80" w:line="312" w:lineRule="auto" w:before="160"/>
      </w:pPr>
      <w:r>
        <w:rPr>
          <w:rFonts w:ascii="Times New Roman" w:hAnsi="Times New Roman" w:eastAsia="黑体"/>
          <w:b/>
          <w:i w:val="0"/>
          <w:color w:val="1A1A1A"/>
          <w:sz w:val="22"/>
        </w:rPr>
        <w:t>3.2 设备检出准确性：跨设备与跨判读规则的离散</w:t>
      </w:r>
    </w:p>
    <w:p>
      <w:pPr>
        <w:spacing w:after="120" w:line="360" w:lineRule="auto"/>
        <w:ind w:firstLine="420"/>
      </w:pPr>
      <w:r>
        <w:rPr>
          <w:rFonts w:ascii="Times New Roman" w:hAnsi="Times New Roman" w:eastAsia="宋体"/>
          <w:b w:val="0"/>
          <w:i w:val="0"/>
          <w:color w:val="1A1A1A"/>
          <w:sz w:val="21"/>
        </w:rPr>
        <w:t>单项验证研究显示，"可穿戴设备"这一类别内部的性能差异远大于该词所暗示的同质性（表1）。以医师判读的12导联心电图为参照，对五款市售设备的临床验证（BASEL研究，201例患者，其中房颤62例）报告各设备敏感度介于58%~85%、特异度介于69%~79%，且每款设备均产生相当比例的无法判定记录</w:t>
      </w:r>
      <w:r>
        <w:rPr>
          <w:rFonts w:ascii="Times New Roman" w:hAnsi="Times New Roman" w:eastAsia="宋体"/>
          <w:b w:val="0"/>
          <w:i w:val="0"/>
          <w:color w:val="1A1A1A"/>
          <w:sz w:val="21"/>
          <w:vertAlign w:val="superscript"/>
        </w:rPr>
        <w:t>[4-5]</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判读规则本身即可显著改变性能。在734例患者（其中21%诊断为房颤）中，Apple Watch单导联心电在排除无法判定记录后敏感度为88%（95%CI 82%~93%）、特异度为98%（95%CI 97%~99%）；将无法判定记录按假结果计入后，两者分别降至69%（95%CI 61%~76%）与81%（95%CI 76%~84%）</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。在自动判读场景中，Apple Watch配合AliveCor KardiaBand的敏感度为94.4%、特异度为81.9%，但PPV仅为54.8%，其判读与12导联心电图的一致性为中等（κ=0.60）</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；同一系统评价转述的PPG手环研究则报告了更高的数值（表1）</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合并估计给出的整体印象更高，其内部离散度也更大。一项经前瞻注册的Meta分析纳入18项研究、424 371名受试者，其考察的结局是各类心律失常的检出（含房颤检出、缓慢与快速性心律失常及早搏），报告合并敏感度100%（95%CI 0.99~1.00）、特异度95%（95%CI 0.93~0.97）、准确度97%（95%CI 0.96~0.99）、PPV 85%（95%CI 0.79~0.90）与阴性预测值100%；同一批研究中，单项敏感度介于25%~100%、特异度介于68%~100%，异质性以PPV最高（I²=98.5%）、准确度最低（I²=81.1%）</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。因此这组合并值是各类心律失常检出的总体性能，而非房颤检出的专属估计；这一程度的异质性亦说明合并值不宜代表任何一款具体设备在任何一个具体人群中的表现</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设备提示的临床产出从终点一侧提供了量度。对264例因Apple Watch异常脉搏提示而就诊者的回顾性分析显示，既往已知房颤者58例（22.0%），最终仅30例（11.4%）获得有临床处置价值的心血管诊断</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。据此，第一环的预设判定条件不成立：准确性既不稳定，提示之后亦不能免于确认性检查。</w:t>
      </w:r>
    </w:p>
    <w:p>
      <w:pPr>
        <w:spacing w:after="60" w:line="360" w:lineRule="auto"/>
        <w:jc w:val="center"/>
      </w:pPr>
      <w:r>
        <w:rPr>
          <w:rFonts w:ascii="Times New Roman" w:hAnsi="Times New Roman" w:eastAsia="宋体"/>
          <w:b/>
          <w:i w:val="0"/>
          <w:color w:val="1A1A1A"/>
          <w:sz w:val="19"/>
        </w:rPr>
        <w:t>表1</w:t>
      </w:r>
      <w:r>
        <w:rPr>
          <w:rFonts w:ascii="Times New Roman" w:hAnsi="Times New Roman" w:eastAsia="宋体"/>
          <w:b w:val="0"/>
          <w:i w:val="0"/>
          <w:color w:val="1A1A1A"/>
          <w:sz w:val="19"/>
        </w:rPr>
        <w:t xml:space="preserve"> 消费级可穿戴设备检出心律失常与心房颤动的诊断准确性研究特征与结果</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295"/>
        <w:gridCol w:w="1295"/>
        <w:gridCol w:w="1295"/>
        <w:gridCol w:w="1295"/>
        <w:gridCol w:w="1295"/>
        <w:gridCol w:w="1295"/>
        <w:gridCol w:w="1295"/>
      </w:tblGrid>
      <w:tr>
        <w:tc>
          <w:tcPr>
            <w:tcW w:type="dxa" w:w="1295"/>
            <w:tcBorders>
              <w:bottom w:val="single" w:sz="6" w:color="1A1A1A"/>
            </w:tcBorders>
          </w:tcPr>
          <w:p>
            <w:pPr>
              <w:jc w:val="center"/>
            </w:pPr>
            <w:r>
              <w:rPr>
                <w:rFonts w:ascii="Times New Roman" w:hAnsi="Times New Roman" w:eastAsia="宋体"/>
                <w:b/>
                <w:i w:val="0"/>
                <w:color w:val="1A1A1A"/>
                <w:sz w:val="18"/>
              </w:rPr>
              <w:t>研究（设备或技术）</w:t>
            </w:r>
          </w:p>
        </w:tc>
        <w:tc>
          <w:tcPr>
            <w:tcW w:type="dxa" w:w="1295"/>
            <w:tcBorders>
              <w:bottom w:val="single" w:sz="6" w:color="1A1A1A"/>
            </w:tcBorders>
          </w:tcPr>
          <w:p>
            <w:pPr>
              <w:jc w:val="center"/>
            </w:pPr>
            <w:r>
              <w:rPr>
                <w:rFonts w:ascii="Times New Roman" w:hAnsi="Times New Roman" w:eastAsia="宋体"/>
                <w:b/>
                <w:i w:val="0"/>
                <w:color w:val="1A1A1A"/>
                <w:sz w:val="18"/>
              </w:rPr>
              <w:t>人群与样本</w:t>
            </w:r>
          </w:p>
        </w:tc>
        <w:tc>
          <w:tcPr>
            <w:tcW w:type="dxa" w:w="1295"/>
            <w:tcBorders>
              <w:bottom w:val="single" w:sz="6" w:color="1A1A1A"/>
            </w:tcBorders>
          </w:tcPr>
          <w:p>
            <w:pPr>
              <w:jc w:val="center"/>
            </w:pPr>
            <w:r>
              <w:rPr>
                <w:rFonts w:ascii="Times New Roman" w:hAnsi="Times New Roman" w:eastAsia="宋体"/>
                <w:b/>
                <w:i w:val="0"/>
                <w:color w:val="1A1A1A"/>
                <w:sz w:val="18"/>
              </w:rPr>
              <w:t>参照标准</w:t>
            </w:r>
          </w:p>
        </w:tc>
        <w:tc>
          <w:tcPr>
            <w:tcW w:type="dxa" w:w="1295"/>
            <w:tcBorders>
              <w:bottom w:val="single" w:sz="6" w:color="1A1A1A"/>
            </w:tcBorders>
          </w:tcPr>
          <w:p>
            <w:pPr>
              <w:jc w:val="center"/>
            </w:pPr>
            <w:r>
              <w:rPr>
                <w:rFonts w:ascii="Times New Roman" w:hAnsi="Times New Roman" w:eastAsia="宋体"/>
                <w:b/>
                <w:i w:val="0"/>
                <w:color w:val="1A1A1A"/>
                <w:sz w:val="18"/>
              </w:rPr>
              <w:t>敏感度</w:t>
            </w:r>
          </w:p>
        </w:tc>
        <w:tc>
          <w:tcPr>
            <w:tcW w:type="dxa" w:w="1295"/>
            <w:tcBorders>
              <w:bottom w:val="single" w:sz="6" w:color="1A1A1A"/>
            </w:tcBorders>
          </w:tcPr>
          <w:p>
            <w:pPr>
              <w:jc w:val="center"/>
            </w:pPr>
            <w:r>
              <w:rPr>
                <w:rFonts w:ascii="Times New Roman" w:hAnsi="Times New Roman" w:eastAsia="宋体"/>
                <w:b/>
                <w:i w:val="0"/>
                <w:color w:val="1A1A1A"/>
                <w:sz w:val="18"/>
              </w:rPr>
              <w:t>特异度</w:t>
            </w:r>
          </w:p>
        </w:tc>
        <w:tc>
          <w:tcPr>
            <w:tcW w:type="dxa" w:w="1295"/>
            <w:tcBorders>
              <w:bottom w:val="single" w:sz="6" w:color="1A1A1A"/>
            </w:tcBorders>
          </w:tcPr>
          <w:p>
            <w:pPr>
              <w:jc w:val="center"/>
            </w:pPr>
            <w:r>
              <w:rPr>
                <w:rFonts w:ascii="Times New Roman" w:hAnsi="Times New Roman" w:eastAsia="宋体"/>
                <w:b/>
                <w:i w:val="0"/>
                <w:color w:val="1A1A1A"/>
                <w:sz w:val="18"/>
              </w:rPr>
              <w:t>其他指标</w:t>
            </w:r>
          </w:p>
        </w:tc>
        <w:tc>
          <w:tcPr>
            <w:tcW w:type="dxa" w:w="1295"/>
            <w:tcBorders>
              <w:bottom w:val="single" w:sz="6" w:color="1A1A1A"/>
            </w:tcBorders>
          </w:tcPr>
          <w:p>
            <w:pPr>
              <w:jc w:val="center"/>
            </w:pPr>
            <w:r>
              <w:rPr>
                <w:rFonts w:ascii="Times New Roman" w:hAnsi="Times New Roman" w:eastAsia="宋体"/>
                <w:b/>
                <w:i w:val="0"/>
                <w:color w:val="1A1A1A"/>
                <w:sz w:val="18"/>
              </w:rPr>
              <w:t>可核验程度</w:t>
            </w:r>
          </w:p>
        </w:tc>
      </w:tr>
      <w:tr>
        <w:tc>
          <w:tcPr>
            <w:tcW w:type="dxa" w:w="1295"/>
          </w:tcPr>
          <w:p>
            <w:r>
              <w:rPr>
                <w:rFonts w:ascii="Times New Roman" w:hAnsi="Times New Roman" w:eastAsia="宋体"/>
                <w:b w:val="0"/>
                <w:i w:val="0"/>
                <w:color w:val="1A1A1A"/>
                <w:sz w:val="18"/>
              </w:rPr>
              <w:t>BASEL研究（Apple Watch 6／Samsung Galaxy Watch 3／Withings Scanwatch／Fitbit Sense／AliveCor KardiaMobile）</w:t>
            </w:r>
          </w:p>
        </w:tc>
        <w:tc>
          <w:tcPr>
            <w:tcW w:type="dxa" w:w="1295"/>
          </w:tcPr>
          <w:p>
            <w:r>
              <w:rPr>
                <w:rFonts w:ascii="Times New Roman" w:hAnsi="Times New Roman" w:eastAsia="宋体"/>
                <w:b w:val="0"/>
                <w:i w:val="0"/>
                <w:color w:val="1A1A1A"/>
                <w:sz w:val="18"/>
              </w:rPr>
              <w:t>201例，其中房颤62例</w:t>
            </w:r>
          </w:p>
        </w:tc>
        <w:tc>
          <w:tcPr>
            <w:tcW w:type="dxa" w:w="1295"/>
          </w:tcPr>
          <w:p>
            <w:r>
              <w:rPr>
                <w:rFonts w:ascii="Times New Roman" w:hAnsi="Times New Roman" w:eastAsia="宋体"/>
                <w:b w:val="0"/>
                <w:i w:val="0"/>
                <w:color w:val="1A1A1A"/>
                <w:sz w:val="18"/>
              </w:rPr>
              <w:t>医师判读12导联心电图</w:t>
            </w:r>
          </w:p>
        </w:tc>
        <w:tc>
          <w:tcPr>
            <w:tcW w:type="dxa" w:w="1295"/>
          </w:tcPr>
          <w:p>
            <w:r>
              <w:rPr>
                <w:rFonts w:ascii="Times New Roman" w:hAnsi="Times New Roman" w:eastAsia="宋体"/>
                <w:b w:val="0"/>
                <w:i w:val="0"/>
                <w:color w:val="1A1A1A"/>
                <w:sz w:val="18"/>
              </w:rPr>
              <w:t>85%／85%／58%／66%／79%</w:t>
            </w:r>
          </w:p>
        </w:tc>
        <w:tc>
          <w:tcPr>
            <w:tcW w:type="dxa" w:w="1295"/>
          </w:tcPr>
          <w:p>
            <w:r>
              <w:rPr>
                <w:rFonts w:ascii="Times New Roman" w:hAnsi="Times New Roman" w:eastAsia="宋体"/>
                <w:b w:val="0"/>
                <w:i w:val="0"/>
                <w:color w:val="1A1A1A"/>
                <w:sz w:val="18"/>
              </w:rPr>
              <w:t>75%／75%／75%／79%／69%</w:t>
            </w:r>
          </w:p>
        </w:tc>
        <w:tc>
          <w:tcPr>
            <w:tcW w:type="dxa" w:w="1295"/>
          </w:tcPr>
          <w:p>
            <w:r>
              <w:rPr>
                <w:rFonts w:ascii="Times New Roman" w:hAnsi="Times New Roman" w:eastAsia="宋体"/>
                <w:b w:val="0"/>
                <w:i w:val="0"/>
                <w:color w:val="1A1A1A"/>
                <w:sz w:val="18"/>
              </w:rPr>
              <w:t>各设备均产生相当比例的无法判定记录</w:t>
            </w:r>
          </w:p>
        </w:tc>
        <w:tc>
          <w:tcPr>
            <w:tcW w:type="dxa" w:w="1295"/>
          </w:tcPr>
          <w:p>
            <w:r>
              <w:rPr>
                <w:rFonts w:ascii="Times New Roman" w:hAnsi="Times New Roman" w:eastAsia="宋体"/>
                <w:b w:val="0"/>
                <w:i w:val="0"/>
                <w:color w:val="1A1A1A"/>
                <w:sz w:val="18"/>
              </w:rPr>
              <w:t>全文转述</w:t>
            </w:r>
            <w:r>
              <w:rPr>
                <w:rFonts w:ascii="Times New Roman" w:hAnsi="Times New Roman" w:eastAsia="宋体"/>
                <w:b w:val="0"/>
                <w:i w:val="0"/>
                <w:color w:val="1A1A1A"/>
                <w:sz w:val="18"/>
                <w:vertAlign w:val="superscript"/>
              </w:rPr>
              <w:t>[5]</w:t>
            </w:r>
            <w:r>
              <w:rPr>
                <w:rFonts w:ascii="Times New Roman" w:hAnsi="Times New Roman" w:eastAsia="宋体"/>
                <w:b w:val="0"/>
                <w:i w:val="0"/>
                <w:color w:val="1A1A1A"/>
                <w:sz w:val="18"/>
              </w:rPr>
              <w:t>；原文摘要级</w:t>
            </w:r>
            <w:r>
              <w:rPr>
                <w:rFonts w:ascii="Times New Roman" w:hAnsi="Times New Roman" w:eastAsia="宋体"/>
                <w:b w:val="0"/>
                <w:i w:val="0"/>
                <w:color w:val="1A1A1A"/>
                <w:sz w:val="18"/>
                <w:vertAlign w:val="superscript"/>
              </w:rPr>
              <w:t>[4]</w:t>
            </w:r>
          </w:p>
        </w:tc>
      </w:tr>
      <w:tr>
        <w:tc>
          <w:tcPr>
            <w:tcW w:type="dxa" w:w="1295"/>
          </w:tcPr>
          <w:p>
            <w:r>
              <w:rPr>
                <w:rFonts w:ascii="Times New Roman" w:hAnsi="Times New Roman" w:eastAsia="宋体"/>
                <w:b w:val="0"/>
                <w:i w:val="0"/>
                <w:color w:val="1A1A1A"/>
                <w:sz w:val="18"/>
              </w:rPr>
              <w:t>Apple Watch单导联心电</w:t>
            </w:r>
          </w:p>
        </w:tc>
        <w:tc>
          <w:tcPr>
            <w:tcW w:type="dxa" w:w="1295"/>
          </w:tcPr>
          <w:p>
            <w:r>
              <w:rPr>
                <w:rFonts w:ascii="Times New Roman" w:hAnsi="Times New Roman" w:eastAsia="宋体"/>
                <w:b w:val="0"/>
                <w:i w:val="0"/>
                <w:color w:val="1A1A1A"/>
                <w:sz w:val="18"/>
              </w:rPr>
              <w:t>734例，其中21%为房颤</w:t>
            </w:r>
          </w:p>
        </w:tc>
        <w:tc>
          <w:tcPr>
            <w:tcW w:type="dxa" w:w="1295"/>
          </w:tcPr>
          <w:p>
            <w:r>
              <w:rPr>
                <w:rFonts w:ascii="Times New Roman" w:hAnsi="Times New Roman" w:eastAsia="宋体"/>
                <w:b w:val="0"/>
                <w:i w:val="0"/>
                <w:color w:val="1A1A1A"/>
                <w:sz w:val="18"/>
              </w:rPr>
              <w:t>心电图</w:t>
            </w:r>
          </w:p>
        </w:tc>
        <w:tc>
          <w:tcPr>
            <w:tcW w:type="dxa" w:w="1295"/>
          </w:tcPr>
          <w:p>
            <w:r>
              <w:rPr>
                <w:rFonts w:ascii="Times New Roman" w:hAnsi="Times New Roman" w:eastAsia="宋体"/>
                <w:b w:val="0"/>
                <w:i w:val="0"/>
                <w:color w:val="1A1A1A"/>
                <w:sz w:val="18"/>
              </w:rPr>
              <w:t>排除无法判定记录后88%（82%~93%）；计入后69%（61%~76%）</w:t>
            </w:r>
          </w:p>
        </w:tc>
        <w:tc>
          <w:tcPr>
            <w:tcW w:type="dxa" w:w="1295"/>
          </w:tcPr>
          <w:p>
            <w:r>
              <w:rPr>
                <w:rFonts w:ascii="Times New Roman" w:hAnsi="Times New Roman" w:eastAsia="宋体"/>
                <w:b w:val="0"/>
                <w:i w:val="0"/>
                <w:color w:val="1A1A1A"/>
                <w:sz w:val="18"/>
              </w:rPr>
              <w:t>排除后98%（97%~99%）；计入后81%（76%~84%）</w:t>
            </w:r>
          </w:p>
        </w:tc>
        <w:tc>
          <w:tcPr>
            <w:tcW w:type="dxa" w:w="1295"/>
          </w:tcPr>
          <w:p>
            <w:r>
              <w:rPr>
                <w:rFonts w:ascii="Times New Roman" w:hAnsi="Times New Roman" w:eastAsia="宋体"/>
                <w:b w:val="0"/>
                <w:i w:val="0"/>
                <w:color w:val="1A1A1A"/>
                <w:sz w:val="18"/>
              </w:rPr>
              <w:t>判读规则改变性能达19个百分点</w:t>
            </w:r>
          </w:p>
        </w:tc>
        <w:tc>
          <w:tcPr>
            <w:tcW w:type="dxa" w:w="1295"/>
          </w:tcPr>
          <w:p>
            <w:r>
              <w:rPr>
                <w:rFonts w:ascii="Times New Roman" w:hAnsi="Times New Roman" w:eastAsia="宋体"/>
                <w:b w:val="0"/>
                <w:i w:val="0"/>
                <w:color w:val="1A1A1A"/>
                <w:sz w:val="18"/>
              </w:rPr>
              <w:t>全文转述</w:t>
            </w:r>
            <w:r>
              <w:rPr>
                <w:rFonts w:ascii="Times New Roman" w:hAnsi="Times New Roman" w:eastAsia="宋体"/>
                <w:b w:val="0"/>
                <w:i w:val="0"/>
                <w:color w:val="1A1A1A"/>
                <w:sz w:val="18"/>
                <w:vertAlign w:val="superscript"/>
              </w:rPr>
              <w:t>[5]</w:t>
            </w:r>
          </w:p>
        </w:tc>
      </w:tr>
      <w:tr>
        <w:tc>
          <w:tcPr>
            <w:tcW w:type="dxa" w:w="1295"/>
          </w:tcPr>
          <w:p>
            <w:r>
              <w:rPr>
                <w:rFonts w:ascii="Times New Roman" w:hAnsi="Times New Roman" w:eastAsia="宋体"/>
                <w:b w:val="0"/>
                <w:i w:val="0"/>
                <w:color w:val="1A1A1A"/>
                <w:sz w:val="18"/>
              </w:rPr>
              <w:t>PPG手环（Samsung Gear Fit 2）</w:t>
            </w:r>
          </w:p>
        </w:tc>
        <w:tc>
          <w:tcPr>
            <w:tcW w:type="dxa" w:w="1295"/>
          </w:tcPr>
          <w:p>
            <w:r>
              <w:rPr>
                <w:rFonts w:ascii="Times New Roman" w:hAnsi="Times New Roman" w:eastAsia="宋体"/>
                <w:b w:val="0"/>
                <w:i w:val="0"/>
                <w:color w:val="1A1A1A"/>
                <w:sz w:val="18"/>
              </w:rPr>
              <w:t>未报告</w:t>
            </w:r>
          </w:p>
        </w:tc>
        <w:tc>
          <w:tcPr>
            <w:tcW w:type="dxa" w:w="1295"/>
          </w:tcPr>
          <w:p>
            <w:r>
              <w:rPr>
                <w:rFonts w:ascii="Times New Roman" w:hAnsi="Times New Roman" w:eastAsia="宋体"/>
                <w:b w:val="0"/>
                <w:i w:val="0"/>
                <w:color w:val="1A1A1A"/>
                <w:sz w:val="18"/>
              </w:rPr>
              <w:t>未报告</w:t>
            </w:r>
          </w:p>
        </w:tc>
        <w:tc>
          <w:tcPr>
            <w:tcW w:type="dxa" w:w="1295"/>
          </w:tcPr>
          <w:p>
            <w:r>
              <w:rPr>
                <w:rFonts w:ascii="Times New Roman" w:hAnsi="Times New Roman" w:eastAsia="宋体"/>
                <w:b w:val="0"/>
                <w:i w:val="0"/>
                <w:color w:val="1A1A1A"/>
                <w:sz w:val="18"/>
              </w:rPr>
              <w:t>93.7%（89.8%~96.4%）</w:t>
            </w:r>
          </w:p>
        </w:tc>
        <w:tc>
          <w:tcPr>
            <w:tcW w:type="dxa" w:w="1295"/>
          </w:tcPr>
          <w:p>
            <w:r>
              <w:rPr>
                <w:rFonts w:ascii="Times New Roman" w:hAnsi="Times New Roman" w:eastAsia="宋体"/>
                <w:b w:val="0"/>
                <w:i w:val="0"/>
                <w:color w:val="1A1A1A"/>
                <w:sz w:val="18"/>
              </w:rPr>
              <w:t>98.2%（95.8%~99.4%）</w:t>
            </w:r>
          </w:p>
        </w:tc>
        <w:tc>
          <w:tcPr>
            <w:tcW w:type="dxa" w:w="1295"/>
          </w:tcPr>
          <w:p>
            <w:r>
              <w:rPr>
                <w:rFonts w:ascii="Times New Roman" w:hAnsi="Times New Roman" w:eastAsia="宋体"/>
                <w:b w:val="0"/>
                <w:i w:val="0"/>
                <w:color w:val="1A1A1A"/>
                <w:sz w:val="18"/>
              </w:rPr>
              <w:t>准确度96.1%（94.0%~97.5%）</w:t>
            </w:r>
          </w:p>
        </w:tc>
        <w:tc>
          <w:tcPr>
            <w:tcW w:type="dxa" w:w="1295"/>
          </w:tcPr>
          <w:p>
            <w:r>
              <w:rPr>
                <w:rFonts w:ascii="Times New Roman" w:hAnsi="Times New Roman" w:eastAsia="宋体"/>
                <w:b w:val="0"/>
                <w:i w:val="0"/>
                <w:color w:val="1A1A1A"/>
                <w:sz w:val="18"/>
              </w:rPr>
              <w:t>全文转述</w:t>
            </w:r>
            <w:r>
              <w:rPr>
                <w:rFonts w:ascii="Times New Roman" w:hAnsi="Times New Roman" w:eastAsia="宋体"/>
                <w:b w:val="0"/>
                <w:i w:val="0"/>
                <w:color w:val="1A1A1A"/>
                <w:sz w:val="18"/>
                <w:vertAlign w:val="superscript"/>
              </w:rPr>
              <w:t>[5]</w:t>
            </w:r>
          </w:p>
        </w:tc>
      </w:tr>
      <w:tr>
        <w:tc>
          <w:tcPr>
            <w:tcW w:type="dxa" w:w="1295"/>
          </w:tcPr>
          <w:p>
            <w:r>
              <w:rPr>
                <w:rFonts w:ascii="Times New Roman" w:hAnsi="Times New Roman" w:eastAsia="宋体"/>
                <w:b w:val="0"/>
                <w:i w:val="0"/>
                <w:color w:val="1A1A1A"/>
                <w:sz w:val="18"/>
              </w:rPr>
              <w:t>Apple Watch＋AliveCor KardiaBand（自动判读）</w:t>
            </w:r>
          </w:p>
        </w:tc>
        <w:tc>
          <w:tcPr>
            <w:tcW w:type="dxa" w:w="1295"/>
          </w:tcPr>
          <w:p>
            <w:r>
              <w:rPr>
                <w:rFonts w:ascii="Times New Roman" w:hAnsi="Times New Roman" w:eastAsia="宋体"/>
                <w:b w:val="0"/>
                <w:i w:val="0"/>
                <w:color w:val="1A1A1A"/>
                <w:sz w:val="18"/>
              </w:rPr>
              <w:t>未报告</w:t>
            </w:r>
          </w:p>
        </w:tc>
        <w:tc>
          <w:tcPr>
            <w:tcW w:type="dxa" w:w="1295"/>
          </w:tcPr>
          <w:p>
            <w:r>
              <w:rPr>
                <w:rFonts w:ascii="Times New Roman" w:hAnsi="Times New Roman" w:eastAsia="宋体"/>
                <w:b w:val="0"/>
                <w:i w:val="0"/>
                <w:color w:val="1A1A1A"/>
                <w:sz w:val="18"/>
              </w:rPr>
              <w:t>12导联心电图</w:t>
            </w:r>
          </w:p>
        </w:tc>
        <w:tc>
          <w:tcPr>
            <w:tcW w:type="dxa" w:w="1295"/>
          </w:tcPr>
          <w:p>
            <w:r>
              <w:rPr>
                <w:rFonts w:ascii="Times New Roman" w:hAnsi="Times New Roman" w:eastAsia="宋体"/>
                <w:b w:val="0"/>
                <w:i w:val="0"/>
                <w:color w:val="1A1A1A"/>
                <w:sz w:val="18"/>
              </w:rPr>
              <w:t>94.4%</w:t>
            </w:r>
          </w:p>
        </w:tc>
        <w:tc>
          <w:tcPr>
            <w:tcW w:type="dxa" w:w="1295"/>
          </w:tcPr>
          <w:p>
            <w:r>
              <w:rPr>
                <w:rFonts w:ascii="Times New Roman" w:hAnsi="Times New Roman" w:eastAsia="宋体"/>
                <w:b w:val="0"/>
                <w:i w:val="0"/>
                <w:color w:val="1A1A1A"/>
                <w:sz w:val="18"/>
              </w:rPr>
              <w:t>81.9%</w:t>
            </w:r>
          </w:p>
        </w:tc>
        <w:tc>
          <w:tcPr>
            <w:tcW w:type="dxa" w:w="1295"/>
          </w:tcPr>
          <w:p>
            <w:r>
              <w:rPr>
                <w:rFonts w:ascii="Times New Roman" w:hAnsi="Times New Roman" w:eastAsia="宋体"/>
                <w:b w:val="0"/>
                <w:i w:val="0"/>
                <w:color w:val="1A1A1A"/>
                <w:sz w:val="18"/>
              </w:rPr>
              <w:t>PPV 54.8%；阴性预测值98.4%；κ=0.60</w:t>
            </w:r>
          </w:p>
        </w:tc>
        <w:tc>
          <w:tcPr>
            <w:tcW w:type="dxa" w:w="1295"/>
          </w:tcPr>
          <w:p>
            <w:r>
              <w:rPr>
                <w:rFonts w:ascii="Times New Roman" w:hAnsi="Times New Roman" w:eastAsia="宋体"/>
                <w:b w:val="0"/>
                <w:i w:val="0"/>
                <w:color w:val="1A1A1A"/>
                <w:sz w:val="18"/>
              </w:rPr>
              <w:t>全文转述</w:t>
            </w:r>
            <w:r>
              <w:rPr>
                <w:rFonts w:ascii="Times New Roman" w:hAnsi="Times New Roman" w:eastAsia="宋体"/>
                <w:b w:val="0"/>
                <w:i w:val="0"/>
                <w:color w:val="1A1A1A"/>
                <w:sz w:val="18"/>
                <w:vertAlign w:val="superscript"/>
              </w:rPr>
              <w:t>[5]</w:t>
            </w:r>
          </w:p>
        </w:tc>
      </w:tr>
      <w:tr>
        <w:tc>
          <w:tcPr>
            <w:tcW w:type="dxa" w:w="1295"/>
          </w:tcPr>
          <w:p>
            <w:r>
              <w:rPr>
                <w:rFonts w:ascii="Times New Roman" w:hAnsi="Times New Roman" w:eastAsia="宋体"/>
                <w:b w:val="0"/>
                <w:i w:val="0"/>
                <w:color w:val="1A1A1A"/>
                <w:sz w:val="18"/>
              </w:rPr>
              <w:t>智能手表准确性Meta分析（18项研究）</w:t>
            </w:r>
          </w:p>
        </w:tc>
        <w:tc>
          <w:tcPr>
            <w:tcW w:type="dxa" w:w="1295"/>
          </w:tcPr>
          <w:p>
            <w:r>
              <w:rPr>
                <w:rFonts w:ascii="Times New Roman" w:hAnsi="Times New Roman" w:eastAsia="宋体"/>
                <w:b w:val="0"/>
                <w:i w:val="0"/>
                <w:color w:val="1A1A1A"/>
                <w:sz w:val="18"/>
              </w:rPr>
              <w:t>424 371名受试者</w:t>
            </w:r>
          </w:p>
        </w:tc>
        <w:tc>
          <w:tcPr>
            <w:tcW w:type="dxa" w:w="1295"/>
          </w:tcPr>
          <w:p>
            <w:r>
              <w:rPr>
                <w:rFonts w:ascii="Times New Roman" w:hAnsi="Times New Roman" w:eastAsia="宋体"/>
                <w:b w:val="0"/>
                <w:i w:val="0"/>
                <w:color w:val="1A1A1A"/>
                <w:sz w:val="18"/>
              </w:rPr>
              <w:t>各研究各自参照标准</w:t>
            </w:r>
          </w:p>
        </w:tc>
        <w:tc>
          <w:tcPr>
            <w:tcW w:type="dxa" w:w="1295"/>
          </w:tcPr>
          <w:p>
            <w:r>
              <w:rPr>
                <w:rFonts w:ascii="Times New Roman" w:hAnsi="Times New Roman" w:eastAsia="宋体"/>
                <w:b w:val="0"/>
                <w:i w:val="0"/>
                <w:color w:val="1A1A1A"/>
                <w:sz w:val="18"/>
              </w:rPr>
              <w:t>合并100%（0.99~1.00）；单项25%~100%</w:t>
            </w:r>
          </w:p>
        </w:tc>
        <w:tc>
          <w:tcPr>
            <w:tcW w:type="dxa" w:w="1295"/>
          </w:tcPr>
          <w:p>
            <w:r>
              <w:rPr>
                <w:rFonts w:ascii="Times New Roman" w:hAnsi="Times New Roman" w:eastAsia="宋体"/>
                <w:b w:val="0"/>
                <w:i w:val="0"/>
                <w:color w:val="1A1A1A"/>
                <w:sz w:val="18"/>
              </w:rPr>
              <w:t>合并95%（0.93~0.97）；单项68%~100%</w:t>
            </w:r>
          </w:p>
        </w:tc>
        <w:tc>
          <w:tcPr>
            <w:tcW w:type="dxa" w:w="1295"/>
          </w:tcPr>
          <w:p>
            <w:r>
              <w:rPr>
                <w:rFonts w:ascii="Times New Roman" w:hAnsi="Times New Roman" w:eastAsia="宋体"/>
                <w:b w:val="0"/>
                <w:i w:val="0"/>
                <w:color w:val="1A1A1A"/>
                <w:sz w:val="18"/>
              </w:rPr>
              <w:t>结局为各类心律失常（含房颤检出、缓慢与快速性心律失常及早搏）；准确度97%；PPV 85%（0.79~0.90）；PPV异质性I²=98.5%</w:t>
            </w:r>
          </w:p>
        </w:tc>
        <w:tc>
          <w:tcPr>
            <w:tcW w:type="dxa" w:w="1295"/>
          </w:tcPr>
          <w:p>
            <w:r>
              <w:rPr>
                <w:rFonts w:ascii="Times New Roman" w:hAnsi="Times New Roman" w:eastAsia="宋体"/>
                <w:b w:val="0"/>
                <w:i w:val="0"/>
                <w:color w:val="1A1A1A"/>
                <w:sz w:val="18"/>
              </w:rPr>
              <w:t>全文核验</w:t>
            </w:r>
            <w:r>
              <w:rPr>
                <w:rFonts w:ascii="Times New Roman" w:hAnsi="Times New Roman" w:eastAsia="宋体"/>
                <w:b w:val="0"/>
                <w:i w:val="0"/>
                <w:color w:val="1A1A1A"/>
                <w:sz w:val="18"/>
                <w:vertAlign w:val="superscript"/>
              </w:rPr>
              <w:t>[6]</w:t>
            </w:r>
          </w:p>
        </w:tc>
      </w:tr>
    </w:tbl>
    <w:p>
      <w:pPr>
        <w:spacing w:after="80"/>
      </w:pPr>
    </w:p>
    <w:p>
      <w:pPr>
        <w:spacing w:after="80" w:line="312" w:lineRule="auto" w:before="160"/>
      </w:pPr>
      <w:r>
        <w:rPr>
          <w:rFonts w:ascii="Times New Roman" w:hAnsi="Times New Roman" w:eastAsia="黑体"/>
          <w:b/>
          <w:i w:val="0"/>
          <w:color w:val="1A1A1A"/>
          <w:sz w:val="22"/>
        </w:rPr>
        <w:t>3.3 大规模人群研究：提示率与阳性预测值的不可比性</w:t>
      </w:r>
    </w:p>
    <w:p>
      <w:pPr>
        <w:spacing w:after="120" w:line="360" w:lineRule="auto"/>
        <w:ind w:firstLine="420"/>
      </w:pPr>
      <w:r>
        <w:rPr>
          <w:rFonts w:ascii="Times New Roman" w:hAnsi="Times New Roman" w:eastAsia="宋体"/>
          <w:b w:val="0"/>
          <w:i w:val="0"/>
          <w:color w:val="1A1A1A"/>
          <w:sz w:val="21"/>
        </w:rPr>
        <w:t>三项数十万人规模的研究常被并列引用以证明设备的可靠性，但其报告的PPV并非同一个量（表2）。三者的提示率介于0.23%~1%：苹果心脏研究的419 297名参与者中仅2 161人（0.52%）收到不规则脉搏提示，Fitbit心脏研究的455 699名参与者中检出不规则心律者为1%，华为心脏研究的187 912名监测者中有424人（0.23%）收到"疑似房颤"提示</w:t>
      </w:r>
      <w:r>
        <w:rPr>
          <w:rFonts w:ascii="Times New Roman" w:hAnsi="Times New Roman" w:eastAsia="宋体"/>
          <w:b w:val="0"/>
          <w:i w:val="0"/>
          <w:color w:val="1A1A1A"/>
          <w:sz w:val="21"/>
          <w:vertAlign w:val="superscript"/>
        </w:rPr>
        <w:t>[1-3,23]</w:t>
      </w:r>
      <w:r>
        <w:rPr>
          <w:rFonts w:ascii="Times New Roman" w:hAnsi="Times New Roman" w:eastAsia="宋体"/>
          <w:b w:val="0"/>
          <w:i w:val="0"/>
          <w:color w:val="1A1A1A"/>
          <w:sz w:val="21"/>
        </w:rPr>
        <w:t>。返回可分析心电图贴片者中检出房颤的比例，前两项研究分别为34%与32.2%；华为心脏研究在接受随访的262人中确认房颤227例</w:t>
      </w:r>
      <w:r>
        <w:rPr>
          <w:rFonts w:ascii="Times New Roman" w:hAnsi="Times New Roman" w:eastAsia="宋体"/>
          <w:b w:val="0"/>
          <w:i w:val="0"/>
          <w:color w:val="1A1A1A"/>
          <w:sz w:val="21"/>
          <w:vertAlign w:val="superscript"/>
        </w:rPr>
        <w:t>[23]</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三项研究的PPV分别为0.84、98.2%与91.6%（95%CI 91.5%~91.8%），其分母定义并不相同：苹果心脏研究为提示时点经心电图检出房颤（心搏间期图与心电图的一致率为0.71）；Fitbit心脏研究为不规则心律检出与贴片同时段房颤；华为心脏研究为疑似提示后经临床评估、心电图或24小时动态心电监测确认</w:t>
      </w:r>
      <w:r>
        <w:rPr>
          <w:rFonts w:ascii="Times New Roman" w:hAnsi="Times New Roman" w:eastAsia="宋体"/>
          <w:b w:val="0"/>
          <w:i w:val="0"/>
          <w:color w:val="1A1A1A"/>
          <w:sz w:val="21"/>
          <w:vertAlign w:val="superscript"/>
        </w:rPr>
        <w:t>[23]</w:t>
      </w:r>
      <w:r>
        <w:rPr>
          <w:rFonts w:ascii="Times New Roman" w:hAnsi="Times New Roman" w:eastAsia="宋体"/>
          <w:b w:val="0"/>
          <w:i w:val="0"/>
          <w:color w:val="1A1A1A"/>
          <w:sz w:val="21"/>
        </w:rPr>
        <w:t>。三者因此不可直接比较，把最高者引作"设备PPV"是一种取值上的选择而非证据的综合。三项研究间真正一致的量化信息是另一项：收到提示者中最终确认房颤的比例远低于全部提示。</w:t>
      </w:r>
    </w:p>
    <w:p>
      <w:pPr>
        <w:spacing w:after="60" w:line="360" w:lineRule="auto"/>
        <w:jc w:val="center"/>
      </w:pPr>
      <w:r>
        <w:rPr>
          <w:rFonts w:ascii="Times New Roman" w:hAnsi="Times New Roman" w:eastAsia="宋体"/>
          <w:b/>
          <w:i w:val="0"/>
          <w:color w:val="1A1A1A"/>
          <w:sz w:val="19"/>
        </w:rPr>
        <w:t>表2</w:t>
      </w:r>
      <w:r>
        <w:rPr>
          <w:rFonts w:ascii="Times New Roman" w:hAnsi="Times New Roman" w:eastAsia="宋体"/>
          <w:b w:val="0"/>
          <w:i w:val="0"/>
          <w:color w:val="1A1A1A"/>
          <w:sz w:val="19"/>
        </w:rPr>
        <w:t xml:space="preserve"> 三项大规模人群筛查研究的核心结果与阳性预测值定义</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511"/>
        <w:gridCol w:w="1511"/>
        <w:gridCol w:w="1511"/>
        <w:gridCol w:w="1511"/>
        <w:gridCol w:w="1511"/>
        <w:gridCol w:w="1511"/>
      </w:tblGrid>
      <w:tr>
        <w:tc>
          <w:tcPr>
            <w:tcW w:type="dxa" w:w="1511"/>
            <w:tcBorders>
              <w:bottom w:val="single" w:sz="6" w:color="1A1A1A"/>
            </w:tcBorders>
          </w:tcPr>
          <w:p>
            <w:pPr>
              <w:jc w:val="center"/>
            </w:pPr>
            <w:r>
              <w:rPr>
                <w:rFonts w:ascii="Times New Roman" w:hAnsi="Times New Roman" w:eastAsia="宋体"/>
                <w:b/>
                <w:i w:val="0"/>
                <w:color w:val="1A1A1A"/>
                <w:sz w:val="18"/>
              </w:rPr>
              <w:t>研究</w:t>
            </w:r>
          </w:p>
        </w:tc>
        <w:tc>
          <w:tcPr>
            <w:tcW w:type="dxa" w:w="1511"/>
            <w:tcBorders>
              <w:bottom w:val="single" w:sz="6" w:color="1A1A1A"/>
            </w:tcBorders>
          </w:tcPr>
          <w:p>
            <w:pPr>
              <w:jc w:val="center"/>
            </w:pPr>
            <w:r>
              <w:rPr>
                <w:rFonts w:ascii="Times New Roman" w:hAnsi="Times New Roman" w:eastAsia="宋体"/>
                <w:b/>
                <w:i w:val="0"/>
                <w:color w:val="1A1A1A"/>
                <w:sz w:val="18"/>
              </w:rPr>
              <w:t>参与或监测人数</w:t>
            </w:r>
          </w:p>
        </w:tc>
        <w:tc>
          <w:tcPr>
            <w:tcW w:type="dxa" w:w="1511"/>
            <w:tcBorders>
              <w:bottom w:val="single" w:sz="6" w:color="1A1A1A"/>
            </w:tcBorders>
          </w:tcPr>
          <w:p>
            <w:pPr>
              <w:jc w:val="center"/>
            </w:pPr>
            <w:r>
              <w:rPr>
                <w:rFonts w:ascii="Times New Roman" w:hAnsi="Times New Roman" w:eastAsia="宋体"/>
                <w:b/>
                <w:i w:val="0"/>
                <w:color w:val="1A1A1A"/>
                <w:sz w:val="18"/>
              </w:rPr>
              <w:t>提示（检出）率</w:t>
            </w:r>
          </w:p>
        </w:tc>
        <w:tc>
          <w:tcPr>
            <w:tcW w:type="dxa" w:w="1511"/>
            <w:tcBorders>
              <w:bottom w:val="single" w:sz="6" w:color="1A1A1A"/>
            </w:tcBorders>
          </w:tcPr>
          <w:p>
            <w:pPr>
              <w:jc w:val="center"/>
            </w:pPr>
            <w:r>
              <w:rPr>
                <w:rFonts w:ascii="Times New Roman" w:hAnsi="Times New Roman" w:eastAsia="宋体"/>
                <w:b/>
                <w:i w:val="0"/>
                <w:color w:val="1A1A1A"/>
                <w:sz w:val="18"/>
              </w:rPr>
              <w:t>监测或随访时长</w:t>
            </w:r>
          </w:p>
        </w:tc>
        <w:tc>
          <w:tcPr>
            <w:tcW w:type="dxa" w:w="1511"/>
            <w:tcBorders>
              <w:bottom w:val="single" w:sz="6" w:color="1A1A1A"/>
            </w:tcBorders>
          </w:tcPr>
          <w:p>
            <w:pPr>
              <w:jc w:val="center"/>
            </w:pPr>
            <w:r>
              <w:rPr>
                <w:rFonts w:ascii="Times New Roman" w:hAnsi="Times New Roman" w:eastAsia="宋体"/>
                <w:b/>
                <w:i w:val="0"/>
                <w:color w:val="1A1A1A"/>
                <w:sz w:val="18"/>
              </w:rPr>
              <w:t>贴片或随访确认结果</w:t>
            </w:r>
          </w:p>
        </w:tc>
        <w:tc>
          <w:tcPr>
            <w:tcW w:type="dxa" w:w="1511"/>
            <w:tcBorders>
              <w:bottom w:val="single" w:sz="6" w:color="1A1A1A"/>
            </w:tcBorders>
          </w:tcPr>
          <w:p>
            <w:pPr>
              <w:jc w:val="center"/>
            </w:pPr>
            <w:r>
              <w:rPr>
                <w:rFonts w:ascii="Times New Roman" w:hAnsi="Times New Roman" w:eastAsia="宋体"/>
                <w:b/>
                <w:i w:val="0"/>
                <w:color w:val="1A1A1A"/>
                <w:sz w:val="18"/>
              </w:rPr>
              <w:t>阳性预测值及其定义</w:t>
            </w:r>
          </w:p>
        </w:tc>
      </w:tr>
      <w:tr>
        <w:tc>
          <w:tcPr>
            <w:tcW w:type="dxa" w:w="1511"/>
          </w:tcPr>
          <w:p>
            <w:r>
              <w:rPr>
                <w:rFonts w:ascii="Times New Roman" w:hAnsi="Times New Roman" w:eastAsia="宋体"/>
                <w:b w:val="0"/>
                <w:i w:val="0"/>
                <w:color w:val="1A1A1A"/>
                <w:sz w:val="18"/>
              </w:rPr>
              <w:t>苹果心脏研究</w:t>
            </w:r>
            <w:r>
              <w:rPr>
                <w:rFonts w:ascii="Times New Roman" w:hAnsi="Times New Roman" w:eastAsia="宋体"/>
                <w:b w:val="0"/>
                <w:i w:val="0"/>
                <w:color w:val="1A1A1A"/>
                <w:sz w:val="18"/>
                <w:vertAlign w:val="superscript"/>
              </w:rPr>
              <w:t>[1,23]</w:t>
            </w:r>
          </w:p>
        </w:tc>
        <w:tc>
          <w:tcPr>
            <w:tcW w:type="dxa" w:w="1511"/>
          </w:tcPr>
          <w:p>
            <w:r>
              <w:rPr>
                <w:rFonts w:ascii="Times New Roman" w:hAnsi="Times New Roman" w:eastAsia="宋体"/>
                <w:b w:val="0"/>
                <w:i w:val="0"/>
                <w:color w:val="1A1A1A"/>
                <w:sz w:val="18"/>
              </w:rPr>
              <w:t>419 297</w:t>
            </w:r>
          </w:p>
        </w:tc>
        <w:tc>
          <w:tcPr>
            <w:tcW w:type="dxa" w:w="1511"/>
          </w:tcPr>
          <w:p>
            <w:r>
              <w:rPr>
                <w:rFonts w:ascii="Times New Roman" w:hAnsi="Times New Roman" w:eastAsia="宋体"/>
                <w:b w:val="0"/>
                <w:i w:val="0"/>
                <w:color w:val="1A1A1A"/>
                <w:sz w:val="18"/>
              </w:rPr>
              <w:t>2 161人（0.52%）</w:t>
            </w:r>
          </w:p>
        </w:tc>
        <w:tc>
          <w:tcPr>
            <w:tcW w:type="dxa" w:w="1511"/>
          </w:tcPr>
          <w:p>
            <w:r>
              <w:rPr>
                <w:rFonts w:ascii="Times New Roman" w:hAnsi="Times New Roman" w:eastAsia="宋体"/>
                <w:b w:val="0"/>
                <w:i w:val="0"/>
                <w:color w:val="1A1A1A"/>
                <w:sz w:val="18"/>
              </w:rPr>
              <w:t>中位117天</w:t>
            </w:r>
          </w:p>
        </w:tc>
        <w:tc>
          <w:tcPr>
            <w:tcW w:type="dxa" w:w="1511"/>
          </w:tcPr>
          <w:p>
            <w:r>
              <w:rPr>
                <w:rFonts w:ascii="Times New Roman" w:hAnsi="Times New Roman" w:eastAsia="宋体"/>
                <w:b w:val="0"/>
                <w:i w:val="0"/>
                <w:color w:val="1A1A1A"/>
                <w:sz w:val="18"/>
              </w:rPr>
              <w:t>450份可分析贴片中34%检出房颤（≥65岁者35%）</w:t>
            </w:r>
          </w:p>
        </w:tc>
        <w:tc>
          <w:tcPr>
            <w:tcW w:type="dxa" w:w="1511"/>
          </w:tcPr>
          <w:p>
            <w:r>
              <w:rPr>
                <w:rFonts w:ascii="Times New Roman" w:hAnsi="Times New Roman" w:eastAsia="宋体"/>
                <w:b w:val="0"/>
                <w:i w:val="0"/>
                <w:color w:val="1A1A1A"/>
                <w:sz w:val="18"/>
              </w:rPr>
              <w:t>0.84：提示时点经心电图检出房颤；心搏间期图一致率0.71</w:t>
            </w:r>
          </w:p>
        </w:tc>
      </w:tr>
      <w:tr>
        <w:tc>
          <w:tcPr>
            <w:tcW w:type="dxa" w:w="1511"/>
          </w:tcPr>
          <w:p>
            <w:r>
              <w:rPr>
                <w:rFonts w:ascii="Times New Roman" w:hAnsi="Times New Roman" w:eastAsia="宋体"/>
                <w:b w:val="0"/>
                <w:i w:val="0"/>
                <w:color w:val="1A1A1A"/>
                <w:sz w:val="18"/>
              </w:rPr>
              <w:t>Fitbit心脏研究</w:t>
            </w:r>
            <w:r>
              <w:rPr>
                <w:rFonts w:ascii="Times New Roman" w:hAnsi="Times New Roman" w:eastAsia="宋体"/>
                <w:b w:val="0"/>
                <w:i w:val="0"/>
                <w:color w:val="1A1A1A"/>
                <w:sz w:val="18"/>
                <w:vertAlign w:val="superscript"/>
              </w:rPr>
              <w:t>[2,23]</w:t>
            </w:r>
          </w:p>
        </w:tc>
        <w:tc>
          <w:tcPr>
            <w:tcW w:type="dxa" w:w="1511"/>
          </w:tcPr>
          <w:p>
            <w:r>
              <w:rPr>
                <w:rFonts w:ascii="Times New Roman" w:hAnsi="Times New Roman" w:eastAsia="宋体"/>
                <w:b w:val="0"/>
                <w:i w:val="0"/>
                <w:color w:val="1A1A1A"/>
                <w:sz w:val="18"/>
              </w:rPr>
              <w:t>455 699</w:t>
            </w:r>
          </w:p>
        </w:tc>
        <w:tc>
          <w:tcPr>
            <w:tcW w:type="dxa" w:w="1511"/>
          </w:tcPr>
          <w:p>
            <w:r>
              <w:rPr>
                <w:rFonts w:ascii="Times New Roman" w:hAnsi="Times New Roman" w:eastAsia="宋体"/>
                <w:b w:val="0"/>
                <w:i w:val="0"/>
                <w:color w:val="1A1A1A"/>
                <w:sz w:val="18"/>
              </w:rPr>
              <w:t>1%（≥65岁者4%）</w:t>
            </w:r>
          </w:p>
        </w:tc>
        <w:tc>
          <w:tcPr>
            <w:tcW w:type="dxa" w:w="1511"/>
          </w:tcPr>
          <w:p>
            <w:r>
              <w:rPr>
                <w:rFonts w:ascii="Times New Roman" w:hAnsi="Times New Roman" w:eastAsia="宋体"/>
                <w:b w:val="0"/>
                <w:i w:val="0"/>
                <w:color w:val="1A1A1A"/>
                <w:sz w:val="18"/>
              </w:rPr>
              <w:t>中位122天</w:t>
            </w:r>
          </w:p>
        </w:tc>
        <w:tc>
          <w:tcPr>
            <w:tcW w:type="dxa" w:w="1511"/>
          </w:tcPr>
          <w:p>
            <w:r>
              <w:rPr>
                <w:rFonts w:ascii="Times New Roman" w:hAnsi="Times New Roman" w:eastAsia="宋体"/>
                <w:b w:val="0"/>
                <w:i w:val="0"/>
                <w:color w:val="1A1A1A"/>
                <w:sz w:val="18"/>
              </w:rPr>
              <w:t>1 057例可分析贴片中32.2%检出房颤</w:t>
            </w:r>
          </w:p>
        </w:tc>
        <w:tc>
          <w:tcPr>
            <w:tcW w:type="dxa" w:w="1511"/>
          </w:tcPr>
          <w:p>
            <w:r>
              <w:rPr>
                <w:rFonts w:ascii="Times New Roman" w:hAnsi="Times New Roman" w:eastAsia="宋体"/>
                <w:b w:val="0"/>
                <w:i w:val="0"/>
                <w:color w:val="1A1A1A"/>
                <w:sz w:val="18"/>
              </w:rPr>
              <w:t>98.2%：不规则心律检出与贴片同时段房颤（≥65岁者97%）</w:t>
            </w:r>
          </w:p>
        </w:tc>
      </w:tr>
      <w:tr>
        <w:tc>
          <w:tcPr>
            <w:tcW w:type="dxa" w:w="1511"/>
          </w:tcPr>
          <w:p>
            <w:r>
              <w:rPr>
                <w:rFonts w:ascii="Times New Roman" w:hAnsi="Times New Roman" w:eastAsia="宋体"/>
                <w:b w:val="0"/>
                <w:i w:val="0"/>
                <w:color w:val="1A1A1A"/>
                <w:sz w:val="18"/>
              </w:rPr>
              <w:t>华为心脏研究</w:t>
            </w:r>
            <w:r>
              <w:rPr>
                <w:rFonts w:ascii="Times New Roman" w:hAnsi="Times New Roman" w:eastAsia="宋体"/>
                <w:b w:val="0"/>
                <w:i w:val="0"/>
                <w:color w:val="1A1A1A"/>
                <w:sz w:val="18"/>
                <w:vertAlign w:val="superscript"/>
              </w:rPr>
              <w:t>[3,23]</w:t>
            </w:r>
          </w:p>
        </w:tc>
        <w:tc>
          <w:tcPr>
            <w:tcW w:type="dxa" w:w="1511"/>
          </w:tcPr>
          <w:p>
            <w:r>
              <w:rPr>
                <w:rFonts w:ascii="Times New Roman" w:hAnsi="Times New Roman" w:eastAsia="宋体"/>
                <w:b w:val="0"/>
                <w:i w:val="0"/>
                <w:color w:val="1A1A1A"/>
                <w:sz w:val="18"/>
              </w:rPr>
              <w:t>187 912</w:t>
            </w:r>
          </w:p>
        </w:tc>
        <w:tc>
          <w:tcPr>
            <w:tcW w:type="dxa" w:w="1511"/>
          </w:tcPr>
          <w:p>
            <w:r>
              <w:rPr>
                <w:rFonts w:ascii="Times New Roman" w:hAnsi="Times New Roman" w:eastAsia="宋体"/>
                <w:b w:val="0"/>
                <w:i w:val="0"/>
                <w:color w:val="1A1A1A"/>
                <w:sz w:val="18"/>
              </w:rPr>
              <w:t>424人（0.23%，平均年龄54岁）</w:t>
            </w:r>
          </w:p>
        </w:tc>
        <w:tc>
          <w:tcPr>
            <w:tcW w:type="dxa" w:w="1511"/>
          </w:tcPr>
          <w:p>
            <w:r>
              <w:rPr>
                <w:rFonts w:ascii="Times New Roman" w:hAnsi="Times New Roman" w:eastAsia="宋体"/>
                <w:b w:val="0"/>
                <w:i w:val="0"/>
                <w:color w:val="1A1A1A"/>
                <w:sz w:val="18"/>
              </w:rPr>
              <w:t>佩戴≥14天</w:t>
            </w:r>
          </w:p>
        </w:tc>
        <w:tc>
          <w:tcPr>
            <w:tcW w:type="dxa" w:w="1511"/>
          </w:tcPr>
          <w:p>
            <w:r>
              <w:rPr>
                <w:rFonts w:ascii="Times New Roman" w:hAnsi="Times New Roman" w:eastAsia="宋体"/>
                <w:b w:val="0"/>
                <w:i w:val="0"/>
                <w:color w:val="1A1A1A"/>
                <w:sz w:val="18"/>
              </w:rPr>
              <w:t>随访者中227/262例确认房颤</w:t>
            </w:r>
          </w:p>
        </w:tc>
        <w:tc>
          <w:tcPr>
            <w:tcW w:type="dxa" w:w="1511"/>
          </w:tcPr>
          <w:p>
            <w:r>
              <w:rPr>
                <w:rFonts w:ascii="Times New Roman" w:hAnsi="Times New Roman" w:eastAsia="宋体"/>
                <w:b w:val="0"/>
                <w:i w:val="0"/>
                <w:color w:val="1A1A1A"/>
                <w:sz w:val="18"/>
              </w:rPr>
              <w:t>91.6%（95%CI 91.5%~91.8%）：疑似提示后经临床确认</w:t>
            </w:r>
          </w:p>
        </w:tc>
      </w:tr>
    </w:tbl>
    <w:p>
      <w:pPr>
        <w:spacing w:after="80"/>
      </w:pPr>
    </w:p>
    <w:p>
      <w:pPr>
        <w:spacing w:after="80" w:line="312" w:lineRule="auto" w:before="160"/>
      </w:pPr>
      <w:r>
        <w:rPr>
          <w:rFonts w:ascii="Times New Roman" w:hAnsi="Times New Roman" w:eastAsia="黑体"/>
          <w:b/>
          <w:i w:val="0"/>
          <w:color w:val="1A1A1A"/>
          <w:sz w:val="22"/>
        </w:rPr>
        <w:t>3.4 阳性预测值的患病率依赖与假阳性负担</w:t>
      </w:r>
    </w:p>
    <w:p>
      <w:pPr>
        <w:spacing w:after="120" w:line="360" w:lineRule="auto"/>
        <w:ind w:firstLine="420"/>
      </w:pPr>
      <w:r>
        <w:rPr>
          <w:rFonts w:ascii="Times New Roman" w:hAnsi="Times New Roman" w:eastAsia="宋体"/>
          <w:b w:val="0"/>
          <w:i w:val="0"/>
          <w:color w:val="1A1A1A"/>
          <w:sz w:val="21"/>
        </w:rPr>
        <w:t>PPV随人群患病率变化，是第一环判定条件不成立的结构性原因。该Meta分析明确承认其合并PPV受患病率驱动：成人房颤患病率估计为2%~4%且随年龄上升，而美国仅4.6%的智能手表用户年龄超过65岁，因此该综述中85%的PPV在智能手表用户中可能高于实际；文中同时指出存在大量假阳性，导致收到提示者不必要的焦虑，并可能带来不适当地启动治疗的后果</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。伦理分析给出同向判断，并引用估计称每1 000万名被筛查者中约有近100万人会得到假阳性结果</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。设备用户的构成印证了"低危年轻化"特征：苹果心脏研究参与者平均年龄41岁、68%为白人，该人群不能代表全体用户，算法在代表性不足人群中缺乏准确性证据</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。厂家自报的算法性能为敏感度大于98%、特异度大于99%</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，但该参数与真实世界提示后的PPV属于两个不同量级的概念。</w:t>
      </w:r>
    </w:p>
    <w:p>
      <w:pPr>
        <w:spacing w:after="120" w:line="360" w:lineRule="auto"/>
        <w:ind w:firstLine="420"/>
      </w:pPr>
      <w:r>
        <w:rPr>
          <w:rFonts w:ascii="Times New Roman" w:hAnsi="Times New Roman" w:eastAsia="宋体"/>
          <w:b w:val="0"/>
          <w:i w:val="0"/>
          <w:color w:val="1A1A1A"/>
          <w:sz w:val="21"/>
        </w:rPr>
        <w:t>在此基础上可作两项推算，用以说明假阳性的量级，不用于任何个体判断（表3）。第一项以厂家自报性能与人群患病率为输入，按贝叶斯公式计算，即PPV等于敏感度与患病率之积，除以该积与"（1−特异度）×（1−患病率）"之和；取敏感度0.98、特异度0.99，当未确诊房颤患病率为0.1%时PPV约为8.9%，为0.5%时约为33.0%，相当于每100次提示中约67~91次为假阳性。其假设为算法在真实世界年轻人群中的性能与厂家报告一致，且患病率由中国55~59岁人群的0.72%向更年轻年龄段外推。敏感性分析显示特异度是主导参数——在患病率0.5%时，特异度由99%提高至99.9%可使PPV升至约83%，患病率升至1%时PPV约为50%——因此该推算的意义在于量级而非精确值。第二项推算以实测PPV直接换算假阳性比例：按各类心律失常检出的合并PPV 85%计，每100次提示中约15次为假阳性；按自动判读研究报告的54.8%计，约45次为假阳性；若再把各设备均存在的无法判定记录计入（推算中按约18%~26%计，该区间取自本文推算所设假设，原始逐字证据只写明各设备均产生相当比例的无法判定记录，未给出具体比例），实际无临床处置价值的比例更高。</w:t>
      </w:r>
    </w:p>
    <w:p>
      <w:pPr>
        <w:spacing w:after="60" w:line="360" w:lineRule="auto"/>
        <w:jc w:val="center"/>
      </w:pPr>
      <w:r>
        <w:rPr>
          <w:rFonts w:ascii="Times New Roman" w:hAnsi="Times New Roman" w:eastAsia="宋体"/>
          <w:b/>
          <w:i w:val="0"/>
          <w:color w:val="1A1A1A"/>
          <w:sz w:val="19"/>
        </w:rPr>
        <w:t>表3</w:t>
      </w:r>
      <w:r>
        <w:rPr>
          <w:rFonts w:ascii="Times New Roman" w:hAnsi="Times New Roman" w:eastAsia="宋体"/>
          <w:b w:val="0"/>
          <w:i w:val="0"/>
          <w:color w:val="1A1A1A"/>
          <w:sz w:val="19"/>
        </w:rPr>
        <w:t xml:space="preserve"> 阳性预测值与假阳性比例的推算结果（本文推算，用于说明量级，不用于个体判断）</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推算输入</w:t>
            </w:r>
          </w:p>
        </w:tc>
        <w:tc>
          <w:tcPr>
            <w:tcW w:type="dxa" w:w="2266"/>
            <w:tcBorders>
              <w:bottom w:val="single" w:sz="6" w:color="1A1A1A"/>
            </w:tcBorders>
          </w:tcPr>
          <w:p>
            <w:pPr>
              <w:jc w:val="center"/>
            </w:pPr>
            <w:r>
              <w:rPr>
                <w:rFonts w:ascii="Times New Roman" w:hAnsi="Times New Roman" w:eastAsia="宋体"/>
                <w:b/>
                <w:i w:val="0"/>
                <w:color w:val="1A1A1A"/>
                <w:sz w:val="18"/>
              </w:rPr>
              <w:t>阳性预测值</w:t>
            </w:r>
          </w:p>
        </w:tc>
        <w:tc>
          <w:tcPr>
            <w:tcW w:type="dxa" w:w="2266"/>
            <w:tcBorders>
              <w:bottom w:val="single" w:sz="6" w:color="1A1A1A"/>
            </w:tcBorders>
          </w:tcPr>
          <w:p>
            <w:pPr>
              <w:jc w:val="center"/>
            </w:pPr>
            <w:r>
              <w:rPr>
                <w:rFonts w:ascii="Times New Roman" w:hAnsi="Times New Roman" w:eastAsia="宋体"/>
                <w:b/>
                <w:i w:val="0"/>
                <w:color w:val="1A1A1A"/>
                <w:sz w:val="18"/>
              </w:rPr>
              <w:t>每100次提示中的假阳性次数</w:t>
            </w:r>
          </w:p>
        </w:tc>
        <w:tc>
          <w:tcPr>
            <w:tcW w:type="dxa" w:w="2266"/>
            <w:tcBorders>
              <w:bottom w:val="single" w:sz="6" w:color="1A1A1A"/>
            </w:tcBorders>
          </w:tcPr>
          <w:p>
            <w:pPr>
              <w:jc w:val="center"/>
            </w:pPr>
            <w:r>
              <w:rPr>
                <w:rFonts w:ascii="Times New Roman" w:hAnsi="Times New Roman" w:eastAsia="宋体"/>
                <w:b/>
                <w:i w:val="0"/>
                <w:color w:val="1A1A1A"/>
                <w:sz w:val="18"/>
              </w:rPr>
              <w:t>推算方法</w:t>
            </w:r>
          </w:p>
        </w:tc>
      </w:tr>
      <w:tr>
        <w:tc>
          <w:tcPr>
            <w:tcW w:type="dxa" w:w="2266"/>
          </w:tcPr>
          <w:p>
            <w:r>
              <w:rPr>
                <w:rFonts w:ascii="Times New Roman" w:hAnsi="Times New Roman" w:eastAsia="宋体"/>
                <w:b w:val="0"/>
                <w:i w:val="0"/>
                <w:color w:val="1A1A1A"/>
                <w:sz w:val="18"/>
              </w:rPr>
              <w:t>敏感度98%、特异度99%、患病率0.1%</w:t>
            </w:r>
          </w:p>
        </w:tc>
        <w:tc>
          <w:tcPr>
            <w:tcW w:type="dxa" w:w="2266"/>
          </w:tcPr>
          <w:p>
            <w:r>
              <w:rPr>
                <w:rFonts w:ascii="Times New Roman" w:hAnsi="Times New Roman" w:eastAsia="宋体"/>
                <w:b w:val="0"/>
                <w:i w:val="0"/>
                <w:color w:val="1A1A1A"/>
                <w:sz w:val="18"/>
              </w:rPr>
              <w:t>约8.9%</w:t>
            </w:r>
          </w:p>
        </w:tc>
        <w:tc>
          <w:tcPr>
            <w:tcW w:type="dxa" w:w="2266"/>
          </w:tcPr>
          <w:p>
            <w:r>
              <w:rPr>
                <w:rFonts w:ascii="Times New Roman" w:hAnsi="Times New Roman" w:eastAsia="宋体"/>
                <w:b w:val="0"/>
                <w:i w:val="0"/>
                <w:color w:val="1A1A1A"/>
                <w:sz w:val="18"/>
              </w:rPr>
              <w:t>约91</w:t>
            </w:r>
          </w:p>
        </w:tc>
        <w:tc>
          <w:tcPr>
            <w:tcW w:type="dxa" w:w="2266"/>
          </w:tcPr>
          <w:p>
            <w:r>
              <w:rPr>
                <w:rFonts w:ascii="Times New Roman" w:hAnsi="Times New Roman" w:eastAsia="宋体"/>
                <w:b w:val="0"/>
                <w:i w:val="0"/>
                <w:color w:val="1A1A1A"/>
                <w:sz w:val="18"/>
              </w:rPr>
              <w:t>贝叶斯公式</w:t>
            </w:r>
          </w:p>
        </w:tc>
      </w:tr>
      <w:tr>
        <w:tc>
          <w:tcPr>
            <w:tcW w:type="dxa" w:w="2266"/>
          </w:tcPr>
          <w:p>
            <w:r>
              <w:rPr>
                <w:rFonts w:ascii="Times New Roman" w:hAnsi="Times New Roman" w:eastAsia="宋体"/>
                <w:b w:val="0"/>
                <w:i w:val="0"/>
                <w:color w:val="1A1A1A"/>
                <w:sz w:val="18"/>
              </w:rPr>
              <w:t>敏感度98%、特异度99%、患病率0.5%</w:t>
            </w:r>
          </w:p>
        </w:tc>
        <w:tc>
          <w:tcPr>
            <w:tcW w:type="dxa" w:w="2266"/>
          </w:tcPr>
          <w:p>
            <w:r>
              <w:rPr>
                <w:rFonts w:ascii="Times New Roman" w:hAnsi="Times New Roman" w:eastAsia="宋体"/>
                <w:b w:val="0"/>
                <w:i w:val="0"/>
                <w:color w:val="1A1A1A"/>
                <w:sz w:val="18"/>
              </w:rPr>
              <w:t>约33.0%</w:t>
            </w:r>
          </w:p>
        </w:tc>
        <w:tc>
          <w:tcPr>
            <w:tcW w:type="dxa" w:w="2266"/>
          </w:tcPr>
          <w:p>
            <w:r>
              <w:rPr>
                <w:rFonts w:ascii="Times New Roman" w:hAnsi="Times New Roman" w:eastAsia="宋体"/>
                <w:b w:val="0"/>
                <w:i w:val="0"/>
                <w:color w:val="1A1A1A"/>
                <w:sz w:val="18"/>
              </w:rPr>
              <w:t>约67</w:t>
            </w:r>
          </w:p>
        </w:tc>
        <w:tc>
          <w:tcPr>
            <w:tcW w:type="dxa" w:w="2266"/>
          </w:tcPr>
          <w:p>
            <w:r>
              <w:rPr>
                <w:rFonts w:ascii="Times New Roman" w:hAnsi="Times New Roman" w:eastAsia="宋体"/>
                <w:b w:val="0"/>
                <w:i w:val="0"/>
                <w:color w:val="1A1A1A"/>
                <w:sz w:val="18"/>
              </w:rPr>
              <w:t>贝叶斯公式</w:t>
            </w:r>
          </w:p>
        </w:tc>
      </w:tr>
      <w:tr>
        <w:tc>
          <w:tcPr>
            <w:tcW w:type="dxa" w:w="2266"/>
          </w:tcPr>
          <w:p>
            <w:r>
              <w:rPr>
                <w:rFonts w:ascii="Times New Roman" w:hAnsi="Times New Roman" w:eastAsia="宋体"/>
                <w:b w:val="0"/>
                <w:i w:val="0"/>
                <w:color w:val="1A1A1A"/>
                <w:sz w:val="18"/>
              </w:rPr>
              <w:t>敏感度98%、特异度99.9%、患病率0.5%</w:t>
            </w:r>
          </w:p>
        </w:tc>
        <w:tc>
          <w:tcPr>
            <w:tcW w:type="dxa" w:w="2266"/>
          </w:tcPr>
          <w:p>
            <w:r>
              <w:rPr>
                <w:rFonts w:ascii="Times New Roman" w:hAnsi="Times New Roman" w:eastAsia="宋体"/>
                <w:b w:val="0"/>
                <w:i w:val="0"/>
                <w:color w:val="1A1A1A"/>
                <w:sz w:val="18"/>
              </w:rPr>
              <w:t>约83%</w:t>
            </w:r>
          </w:p>
        </w:tc>
        <w:tc>
          <w:tcPr>
            <w:tcW w:type="dxa" w:w="2266"/>
          </w:tcPr>
          <w:p>
            <w:r>
              <w:rPr>
                <w:rFonts w:ascii="Times New Roman" w:hAnsi="Times New Roman" w:eastAsia="宋体"/>
                <w:b w:val="0"/>
                <w:i w:val="0"/>
                <w:color w:val="1A1A1A"/>
                <w:sz w:val="18"/>
              </w:rPr>
              <w:t>约17</w:t>
            </w:r>
          </w:p>
        </w:tc>
        <w:tc>
          <w:tcPr>
            <w:tcW w:type="dxa" w:w="2266"/>
          </w:tcPr>
          <w:p>
            <w:r>
              <w:rPr>
                <w:rFonts w:ascii="Times New Roman" w:hAnsi="Times New Roman" w:eastAsia="宋体"/>
                <w:b w:val="0"/>
                <w:i w:val="0"/>
                <w:color w:val="1A1A1A"/>
                <w:sz w:val="18"/>
              </w:rPr>
              <w:t>敏感性分析</w:t>
            </w:r>
          </w:p>
        </w:tc>
      </w:tr>
      <w:tr>
        <w:tc>
          <w:tcPr>
            <w:tcW w:type="dxa" w:w="2266"/>
          </w:tcPr>
          <w:p>
            <w:r>
              <w:rPr>
                <w:rFonts w:ascii="Times New Roman" w:hAnsi="Times New Roman" w:eastAsia="宋体"/>
                <w:b w:val="0"/>
                <w:i w:val="0"/>
                <w:color w:val="1A1A1A"/>
                <w:sz w:val="18"/>
              </w:rPr>
              <w:t>敏感度98%、特异度99%、患病率1.0%</w:t>
            </w:r>
          </w:p>
        </w:tc>
        <w:tc>
          <w:tcPr>
            <w:tcW w:type="dxa" w:w="2266"/>
          </w:tcPr>
          <w:p>
            <w:r>
              <w:rPr>
                <w:rFonts w:ascii="Times New Roman" w:hAnsi="Times New Roman" w:eastAsia="宋体"/>
                <w:b w:val="0"/>
                <w:i w:val="0"/>
                <w:color w:val="1A1A1A"/>
                <w:sz w:val="18"/>
              </w:rPr>
              <w:t>约50%</w:t>
            </w:r>
          </w:p>
        </w:tc>
        <w:tc>
          <w:tcPr>
            <w:tcW w:type="dxa" w:w="2266"/>
          </w:tcPr>
          <w:p>
            <w:r>
              <w:rPr>
                <w:rFonts w:ascii="Times New Roman" w:hAnsi="Times New Roman" w:eastAsia="宋体"/>
                <w:b w:val="0"/>
                <w:i w:val="0"/>
                <w:color w:val="1A1A1A"/>
                <w:sz w:val="18"/>
              </w:rPr>
              <w:t>约50</w:t>
            </w:r>
          </w:p>
        </w:tc>
        <w:tc>
          <w:tcPr>
            <w:tcW w:type="dxa" w:w="2266"/>
          </w:tcPr>
          <w:p>
            <w:r>
              <w:rPr>
                <w:rFonts w:ascii="Times New Roman" w:hAnsi="Times New Roman" w:eastAsia="宋体"/>
                <w:b w:val="0"/>
                <w:i w:val="0"/>
                <w:color w:val="1A1A1A"/>
                <w:sz w:val="18"/>
              </w:rPr>
              <w:t>敏感性分析</w:t>
            </w:r>
          </w:p>
        </w:tc>
      </w:tr>
      <w:tr>
        <w:tc>
          <w:tcPr>
            <w:tcW w:type="dxa" w:w="2266"/>
          </w:tcPr>
          <w:p>
            <w:r>
              <w:rPr>
                <w:rFonts w:ascii="Times New Roman" w:hAnsi="Times New Roman" w:eastAsia="宋体"/>
                <w:b w:val="0"/>
                <w:i w:val="0"/>
                <w:color w:val="1A1A1A"/>
                <w:sz w:val="18"/>
              </w:rPr>
              <w:t>采用Meta分析合并PPV 85%（各类心律失常检出）</w:t>
            </w:r>
          </w:p>
        </w:tc>
        <w:tc>
          <w:tcPr>
            <w:tcW w:type="dxa" w:w="2266"/>
          </w:tcPr>
          <w:p>
            <w:r>
              <w:rPr>
                <w:rFonts w:ascii="Times New Roman" w:hAnsi="Times New Roman" w:eastAsia="宋体"/>
                <w:b w:val="0"/>
                <w:i w:val="0"/>
                <w:color w:val="1A1A1A"/>
                <w:sz w:val="18"/>
              </w:rPr>
              <w:t>85%</w:t>
            </w:r>
          </w:p>
        </w:tc>
        <w:tc>
          <w:tcPr>
            <w:tcW w:type="dxa" w:w="2266"/>
          </w:tcPr>
          <w:p>
            <w:r>
              <w:rPr>
                <w:rFonts w:ascii="Times New Roman" w:hAnsi="Times New Roman" w:eastAsia="宋体"/>
                <w:b w:val="0"/>
                <w:i w:val="0"/>
                <w:color w:val="1A1A1A"/>
                <w:sz w:val="18"/>
              </w:rPr>
              <w:t>15</w:t>
            </w:r>
          </w:p>
        </w:tc>
        <w:tc>
          <w:tcPr>
            <w:tcW w:type="dxa" w:w="2266"/>
          </w:tcPr>
          <w:p>
            <w:r>
              <w:rPr>
                <w:rFonts w:ascii="Times New Roman" w:hAnsi="Times New Roman" w:eastAsia="宋体"/>
                <w:b w:val="0"/>
                <w:i w:val="0"/>
                <w:color w:val="1A1A1A"/>
                <w:sz w:val="18"/>
              </w:rPr>
              <w:t>假阳性占比＝1−PPV</w:t>
            </w:r>
          </w:p>
        </w:tc>
      </w:tr>
      <w:tr>
        <w:tc>
          <w:tcPr>
            <w:tcW w:type="dxa" w:w="2266"/>
          </w:tcPr>
          <w:p>
            <w:r>
              <w:rPr>
                <w:rFonts w:ascii="Times New Roman" w:hAnsi="Times New Roman" w:eastAsia="宋体"/>
                <w:b w:val="0"/>
                <w:i w:val="0"/>
                <w:color w:val="1A1A1A"/>
                <w:sz w:val="18"/>
              </w:rPr>
              <w:t>采用自动判读研究PPV 54.8%</w:t>
            </w:r>
          </w:p>
        </w:tc>
        <w:tc>
          <w:tcPr>
            <w:tcW w:type="dxa" w:w="2266"/>
          </w:tcPr>
          <w:p>
            <w:r>
              <w:rPr>
                <w:rFonts w:ascii="Times New Roman" w:hAnsi="Times New Roman" w:eastAsia="宋体"/>
                <w:b w:val="0"/>
                <w:i w:val="0"/>
                <w:color w:val="1A1A1A"/>
                <w:sz w:val="18"/>
              </w:rPr>
              <w:t>54.8%</w:t>
            </w:r>
          </w:p>
        </w:tc>
        <w:tc>
          <w:tcPr>
            <w:tcW w:type="dxa" w:w="2266"/>
          </w:tcPr>
          <w:p>
            <w:r>
              <w:rPr>
                <w:rFonts w:ascii="Times New Roman" w:hAnsi="Times New Roman" w:eastAsia="宋体"/>
                <w:b w:val="0"/>
                <w:i w:val="0"/>
                <w:color w:val="1A1A1A"/>
                <w:sz w:val="18"/>
              </w:rPr>
              <w:t>约45</w:t>
            </w:r>
          </w:p>
        </w:tc>
        <w:tc>
          <w:tcPr>
            <w:tcW w:type="dxa" w:w="2266"/>
          </w:tcPr>
          <w:p>
            <w:r>
              <w:rPr>
                <w:rFonts w:ascii="Times New Roman" w:hAnsi="Times New Roman" w:eastAsia="宋体"/>
                <w:b w:val="0"/>
                <w:i w:val="0"/>
                <w:color w:val="1A1A1A"/>
                <w:sz w:val="18"/>
              </w:rPr>
              <w:t>假阳性占比＝1−PPV</w:t>
            </w:r>
          </w:p>
        </w:tc>
      </w:tr>
    </w:tbl>
    <w:p>
      <w:pPr>
        <w:spacing w:after="80"/>
      </w:pPr>
    </w:p>
    <w:p>
      <w:pPr>
        <w:spacing w:after="80" w:line="312" w:lineRule="auto" w:before="160"/>
      </w:pPr>
      <w:r>
        <w:rPr>
          <w:rFonts w:ascii="Times New Roman" w:hAnsi="Times New Roman" w:eastAsia="黑体"/>
          <w:b/>
          <w:i w:val="0"/>
          <w:color w:val="1A1A1A"/>
          <w:sz w:val="22"/>
        </w:rPr>
        <w:t>3.5 指南对设备提示的定位与确诊要求</w:t>
      </w:r>
    </w:p>
    <w:p>
      <w:pPr>
        <w:spacing w:after="120" w:line="360" w:lineRule="auto"/>
        <w:ind w:firstLine="420"/>
      </w:pPr>
      <w:r>
        <w:rPr>
          <w:rFonts w:ascii="Times New Roman" w:hAnsi="Times New Roman" w:eastAsia="宋体"/>
          <w:b w:val="0"/>
          <w:i w:val="0"/>
          <w:color w:val="1A1A1A"/>
          <w:sz w:val="21"/>
        </w:rPr>
        <w:t>指南层面的定位与准确性证据方向一致（表4）。ESC电子心脏病学工作组立场文件指出，仅有少数消费级系统获得美国上市前许可或CE认证作为个人心电图监测与不规则心律检测用途，且受特定操作限制，其可靠识别房颤的能力仍在评估之中；该文件同时指出不同设备之间准确性存在差异，并随活动水平增加而显著下降</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2024年ESC/EACTS房颤指南引入AF-CARE框架，四大支柱依次为合并症与危险因素管理、避免卒中与血栓栓塞、以心率或节律控制缓解症状，以及评估与动态再评估；该指南把医疗接触时的机会性检出与群体筛查明确区分（表4），并指出关于新型诊断技术与消费级可穿戴技术效用的证据仍过于稀少，无法给出明确指导</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。2024年中国老年房颤诊治专家共识推荐在老年人群或高危人群（如合并阻塞性睡眠呼吸暂停、高血压、糖尿病、卒中后等）中使用带PPG或单导联、多导联心电的智能设备进行房颤筛查</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，其定位仍是筛查工具。USPSTF 2022年推荐声明与NICE指南NG196均仅获得索引记录：前者的立场经伦理分析转述为现有证据不足以确定心电图筛查引起的不必要随访与治疗可能造成的危害</w:t>
      </w:r>
      <w:r>
        <w:rPr>
          <w:rFonts w:ascii="Times New Roman" w:hAnsi="Times New Roman" w:eastAsia="宋体"/>
          <w:b w:val="0"/>
          <w:i w:val="0"/>
          <w:color w:val="1A1A1A"/>
          <w:sz w:val="21"/>
          <w:vertAlign w:val="superscript"/>
        </w:rPr>
        <w:t>[7,20]</w:t>
      </w:r>
      <w:r>
        <w:rPr>
          <w:rFonts w:ascii="Times New Roman" w:hAnsi="Times New Roman" w:eastAsia="宋体"/>
          <w:b w:val="0"/>
          <w:i w:val="0"/>
          <w:color w:val="1A1A1A"/>
          <w:sz w:val="21"/>
        </w:rPr>
        <w:t>，后者未被用于作出任何推荐判断</w:t>
      </w:r>
      <w:r>
        <w:rPr>
          <w:rFonts w:ascii="Times New Roman" w:hAnsi="Times New Roman" w:eastAsia="宋体"/>
          <w:b w:val="0"/>
          <w:i w:val="0"/>
          <w:color w:val="1A1A1A"/>
          <w:sz w:val="21"/>
          <w:vertAlign w:val="superscript"/>
        </w:rPr>
        <w:t>[19]</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机制层面的理由与指南要求相互印证。PPG检测的是脉搏节律而非心房电活动，其传感器在较高心率与运动状态下可靠性下降，且无法检测心肌缺血或心室起源的心律失常，因此在现阶段无法完全替代12导联心电图</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；单导联心电亦会产生无法判定记录</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据此，"提示—心电图确认—风险分层—治疗决策"的次序在工程与生理两个层面都是必需的；与指南把设备提示定位为筛查工具的立场合并，第二环的判定条件成立。需要说明的是，该判定由可核验的指南解读文献</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、共识执行摘要</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、立场文件</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与机制证据</w:t>
      </w:r>
      <w:r>
        <w:rPr>
          <w:rFonts w:ascii="Times New Roman" w:hAnsi="Times New Roman" w:eastAsia="宋体"/>
          <w:b w:val="0"/>
          <w:i w:val="0"/>
          <w:color w:val="1A1A1A"/>
          <w:sz w:val="21"/>
          <w:vertAlign w:val="superscript"/>
        </w:rPr>
        <w:t>[5-6]</w:t>
      </w:r>
      <w:r>
        <w:rPr>
          <w:rFonts w:ascii="Times New Roman" w:hAnsi="Times New Roman" w:eastAsia="宋体"/>
          <w:b w:val="0"/>
          <w:i w:val="0"/>
          <w:color w:val="1A1A1A"/>
          <w:sz w:val="21"/>
        </w:rPr>
        <w:t>共同支持，2024年ESC指南</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与2023年ACC/AHA指南</w:t>
      </w:r>
      <w:r>
        <w:rPr>
          <w:rFonts w:ascii="Times New Roman" w:hAnsi="Times New Roman" w:eastAsia="宋体"/>
          <w:b w:val="0"/>
          <w:i w:val="0"/>
          <w:color w:val="1A1A1A"/>
          <w:sz w:val="21"/>
          <w:vertAlign w:val="superscript"/>
        </w:rPr>
        <w:t>[10]</w:t>
      </w:r>
      <w:r>
        <w:rPr>
          <w:rFonts w:ascii="Times New Roman" w:hAnsi="Times New Roman" w:eastAsia="宋体"/>
          <w:b w:val="0"/>
          <w:i w:val="0"/>
          <w:color w:val="1A1A1A"/>
          <w:sz w:val="21"/>
        </w:rPr>
        <w:t>原文仅获索引记录，本文未据其原文推断推荐强度。</w:t>
      </w:r>
    </w:p>
    <w:p>
      <w:pPr>
        <w:spacing w:after="60" w:line="360" w:lineRule="auto"/>
        <w:jc w:val="center"/>
      </w:pPr>
      <w:r>
        <w:rPr>
          <w:rFonts w:ascii="Times New Roman" w:hAnsi="Times New Roman" w:eastAsia="宋体"/>
          <w:b/>
          <w:i w:val="0"/>
          <w:color w:val="1A1A1A"/>
          <w:sz w:val="19"/>
        </w:rPr>
        <w:t>表4</w:t>
      </w:r>
      <w:r>
        <w:rPr>
          <w:rFonts w:ascii="Times New Roman" w:hAnsi="Times New Roman" w:eastAsia="宋体"/>
          <w:b w:val="0"/>
          <w:i w:val="0"/>
          <w:color w:val="1A1A1A"/>
          <w:sz w:val="19"/>
        </w:rPr>
        <w:t xml:space="preserve"> 主要指南与共识对设备检出心房颤动的定位、确诊要求与抗凝决策工具</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813"/>
        <w:gridCol w:w="1813"/>
        <w:gridCol w:w="1813"/>
        <w:gridCol w:w="1813"/>
        <w:gridCol w:w="1813"/>
      </w:tblGrid>
      <w:tr>
        <w:tc>
          <w:tcPr>
            <w:tcW w:type="dxa" w:w="1813"/>
            <w:tcBorders>
              <w:bottom w:val="single" w:sz="6" w:color="1A1A1A"/>
            </w:tcBorders>
          </w:tcPr>
          <w:p>
            <w:pPr>
              <w:jc w:val="center"/>
            </w:pPr>
            <w:r>
              <w:rPr>
                <w:rFonts w:ascii="Times New Roman" w:hAnsi="Times New Roman" w:eastAsia="宋体"/>
                <w:b/>
                <w:i w:val="0"/>
                <w:color w:val="1A1A1A"/>
                <w:sz w:val="18"/>
              </w:rPr>
              <w:t>文件</w:t>
            </w:r>
          </w:p>
        </w:tc>
        <w:tc>
          <w:tcPr>
            <w:tcW w:type="dxa" w:w="1813"/>
            <w:tcBorders>
              <w:bottom w:val="single" w:sz="6" w:color="1A1A1A"/>
            </w:tcBorders>
          </w:tcPr>
          <w:p>
            <w:pPr>
              <w:jc w:val="center"/>
            </w:pPr>
            <w:r>
              <w:rPr>
                <w:rFonts w:ascii="Times New Roman" w:hAnsi="Times New Roman" w:eastAsia="宋体"/>
                <w:b/>
                <w:i w:val="0"/>
                <w:color w:val="1A1A1A"/>
                <w:sz w:val="18"/>
              </w:rPr>
              <w:t>对消费级可穿戴设备的定位</w:t>
            </w:r>
          </w:p>
        </w:tc>
        <w:tc>
          <w:tcPr>
            <w:tcW w:type="dxa" w:w="1813"/>
            <w:tcBorders>
              <w:bottom w:val="single" w:sz="6" w:color="1A1A1A"/>
            </w:tcBorders>
          </w:tcPr>
          <w:p>
            <w:pPr>
              <w:jc w:val="center"/>
            </w:pPr>
            <w:r>
              <w:rPr>
                <w:rFonts w:ascii="Times New Roman" w:hAnsi="Times New Roman" w:eastAsia="宋体"/>
                <w:b/>
                <w:i w:val="0"/>
                <w:color w:val="1A1A1A"/>
                <w:sz w:val="18"/>
              </w:rPr>
              <w:t>卒中风险工具与抗凝阈值</w:t>
            </w:r>
          </w:p>
        </w:tc>
        <w:tc>
          <w:tcPr>
            <w:tcW w:type="dxa" w:w="1813"/>
            <w:tcBorders>
              <w:bottom w:val="single" w:sz="6" w:color="1A1A1A"/>
            </w:tcBorders>
          </w:tcPr>
          <w:p>
            <w:pPr>
              <w:jc w:val="center"/>
            </w:pPr>
            <w:r>
              <w:rPr>
                <w:rFonts w:ascii="Times New Roman" w:hAnsi="Times New Roman" w:eastAsia="宋体"/>
                <w:b/>
                <w:i w:val="0"/>
                <w:color w:val="1A1A1A"/>
                <w:sz w:val="18"/>
              </w:rPr>
              <w:t>节律控制要点</w:t>
            </w:r>
          </w:p>
        </w:tc>
        <w:tc>
          <w:tcPr>
            <w:tcW w:type="dxa" w:w="1813"/>
            <w:tcBorders>
              <w:bottom w:val="single" w:sz="6" w:color="1A1A1A"/>
            </w:tcBorders>
          </w:tcPr>
          <w:p>
            <w:pPr>
              <w:jc w:val="center"/>
            </w:pPr>
            <w:r>
              <w:rPr>
                <w:rFonts w:ascii="Times New Roman" w:hAnsi="Times New Roman" w:eastAsia="宋体"/>
                <w:b/>
                <w:i w:val="0"/>
                <w:color w:val="1A1A1A"/>
                <w:sz w:val="18"/>
              </w:rPr>
              <w:t>可核验程度</w:t>
            </w:r>
          </w:p>
        </w:tc>
      </w:tr>
      <w:tr>
        <w:tc>
          <w:tcPr>
            <w:tcW w:type="dxa" w:w="1813"/>
          </w:tcPr>
          <w:p>
            <w:r>
              <w:rPr>
                <w:rFonts w:ascii="Times New Roman" w:hAnsi="Times New Roman" w:eastAsia="宋体"/>
                <w:b w:val="0"/>
                <w:i w:val="0"/>
                <w:color w:val="1A1A1A"/>
                <w:sz w:val="18"/>
              </w:rPr>
              <w:t>2024年ESC/EACTS房颤指南</w:t>
            </w:r>
            <w:r>
              <w:rPr>
                <w:rFonts w:ascii="Times New Roman" w:hAnsi="Times New Roman" w:eastAsia="宋体"/>
                <w:b w:val="0"/>
                <w:i w:val="0"/>
                <w:color w:val="1A1A1A"/>
                <w:sz w:val="18"/>
                <w:vertAlign w:val="superscript"/>
              </w:rPr>
              <w:t>[8-9]</w:t>
            </w:r>
          </w:p>
        </w:tc>
        <w:tc>
          <w:tcPr>
            <w:tcW w:type="dxa" w:w="1813"/>
          </w:tcPr>
          <w:p>
            <w:r>
              <w:rPr>
                <w:rFonts w:ascii="Times New Roman" w:hAnsi="Times New Roman" w:eastAsia="宋体"/>
                <w:b w:val="0"/>
                <w:i w:val="0"/>
                <w:color w:val="1A1A1A"/>
                <w:sz w:val="18"/>
              </w:rPr>
              <w:t>≥65岁者医疗接触时常规心律评估；≥75岁或≥65岁合并危险因素者应考虑延长无创心电图筛查；消费级技术效用证据过于稀少</w:t>
            </w:r>
          </w:p>
        </w:tc>
        <w:tc>
          <w:tcPr>
            <w:tcW w:type="dxa" w:w="1813"/>
          </w:tcPr>
          <w:p>
            <w:r>
              <w:rPr>
                <w:rFonts w:ascii="Times New Roman" w:hAnsi="Times New Roman" w:eastAsia="宋体"/>
                <w:b w:val="0"/>
                <w:i w:val="0"/>
                <w:color w:val="1A1A1A"/>
                <w:sz w:val="18"/>
              </w:rPr>
              <w:t>CHA₂DS₂-VA；≥2分建议直接口服抗凝药，1分考虑抗凝；抗血小板单药不适用</w:t>
            </w:r>
          </w:p>
        </w:tc>
        <w:tc>
          <w:tcPr>
            <w:tcW w:type="dxa" w:w="1813"/>
          </w:tcPr>
          <w:p>
            <w:r>
              <w:rPr>
                <w:rFonts w:ascii="Times New Roman" w:hAnsi="Times New Roman" w:eastAsia="宋体"/>
                <w:b w:val="0"/>
                <w:i w:val="0"/>
                <w:color w:val="1A1A1A"/>
                <w:sz w:val="18"/>
              </w:rPr>
              <w:t>未用药阵发性房颤一线导管消融；不稳定者紧急电复律</w:t>
            </w:r>
          </w:p>
        </w:tc>
        <w:tc>
          <w:tcPr>
            <w:tcW w:type="dxa" w:w="1813"/>
          </w:tcPr>
          <w:p>
            <w:r>
              <w:rPr>
                <w:rFonts w:ascii="Times New Roman" w:hAnsi="Times New Roman" w:eastAsia="宋体"/>
                <w:b w:val="0"/>
                <w:i w:val="0"/>
                <w:color w:val="1A1A1A"/>
                <w:sz w:val="18"/>
              </w:rPr>
              <w:t>原文仅获索引记录，经解读文献核读</w:t>
            </w:r>
            <w:r>
              <w:rPr>
                <w:rFonts w:ascii="Times New Roman" w:hAnsi="Times New Roman" w:eastAsia="宋体"/>
                <w:b w:val="0"/>
                <w:i w:val="0"/>
                <w:color w:val="1A1A1A"/>
                <w:sz w:val="18"/>
                <w:vertAlign w:val="superscript"/>
              </w:rPr>
              <w:t>[9]</w:t>
            </w:r>
          </w:p>
        </w:tc>
      </w:tr>
      <w:tr>
        <w:tc>
          <w:tcPr>
            <w:tcW w:type="dxa" w:w="1813"/>
          </w:tcPr>
          <w:p>
            <w:r>
              <w:rPr>
                <w:rFonts w:ascii="Times New Roman" w:hAnsi="Times New Roman" w:eastAsia="宋体"/>
                <w:b w:val="0"/>
                <w:i w:val="0"/>
                <w:color w:val="1A1A1A"/>
                <w:sz w:val="18"/>
              </w:rPr>
              <w:t>2023年ACC/AHA/ACCP/HRS指南</w:t>
            </w:r>
            <w:r>
              <w:rPr>
                <w:rFonts w:ascii="Times New Roman" w:hAnsi="Times New Roman" w:eastAsia="宋体"/>
                <w:b w:val="0"/>
                <w:i w:val="0"/>
                <w:color w:val="1A1A1A"/>
                <w:sz w:val="18"/>
                <w:vertAlign w:val="superscript"/>
              </w:rPr>
              <w:t>[10-12]</w:t>
            </w:r>
          </w:p>
        </w:tc>
        <w:tc>
          <w:tcPr>
            <w:tcW w:type="dxa" w:w="1813"/>
          </w:tcPr>
          <w:p>
            <w:r>
              <w:rPr>
                <w:rFonts w:ascii="Times New Roman" w:hAnsi="Times New Roman" w:eastAsia="宋体"/>
                <w:b w:val="0"/>
                <w:i w:val="0"/>
                <w:color w:val="1A1A1A"/>
                <w:sz w:val="18"/>
              </w:rPr>
              <w:t>按疾病连续体分为四个阶段，无设备定位条目</w:t>
            </w:r>
          </w:p>
        </w:tc>
        <w:tc>
          <w:tcPr>
            <w:tcW w:type="dxa" w:w="1813"/>
          </w:tcPr>
          <w:p>
            <w:r>
              <w:rPr>
                <w:rFonts w:ascii="Times New Roman" w:hAnsi="Times New Roman" w:eastAsia="宋体"/>
                <w:b w:val="0"/>
                <w:i w:val="0"/>
                <w:color w:val="1A1A1A"/>
                <w:sz w:val="18"/>
              </w:rPr>
              <w:t>CHA₂DS₂-VASc；直接口服抗凝药优于华法林（机械瓣、中重度二尖瓣狭窄、特定血栓形成倾向除外）</w:t>
            </w:r>
          </w:p>
        </w:tc>
        <w:tc>
          <w:tcPr>
            <w:tcW w:type="dxa" w:w="1813"/>
          </w:tcPr>
          <w:p>
            <w:r>
              <w:rPr>
                <w:rFonts w:ascii="Times New Roman" w:hAnsi="Times New Roman" w:eastAsia="宋体"/>
                <w:b w:val="0"/>
                <w:i w:val="0"/>
                <w:color w:val="1A1A1A"/>
                <w:sz w:val="18"/>
              </w:rPr>
              <w:t>选定患者一线导管消融升为1类；索他洛尔降为2b类</w:t>
            </w:r>
          </w:p>
        </w:tc>
        <w:tc>
          <w:tcPr>
            <w:tcW w:type="dxa" w:w="1813"/>
          </w:tcPr>
          <w:p>
            <w:r>
              <w:rPr>
                <w:rFonts w:ascii="Times New Roman" w:hAnsi="Times New Roman" w:eastAsia="宋体"/>
                <w:b w:val="0"/>
                <w:i w:val="0"/>
                <w:color w:val="1A1A1A"/>
                <w:sz w:val="18"/>
              </w:rPr>
              <w:t>原文仅获索引记录，经解读</w:t>
            </w:r>
            <w:r>
              <w:rPr>
                <w:rFonts w:ascii="Times New Roman" w:hAnsi="Times New Roman" w:eastAsia="宋体"/>
                <w:b w:val="0"/>
                <w:i w:val="0"/>
                <w:color w:val="1A1A1A"/>
                <w:sz w:val="18"/>
                <w:vertAlign w:val="superscript"/>
              </w:rPr>
              <w:t>[11]</w:t>
            </w:r>
            <w:r>
              <w:rPr>
                <w:rFonts w:ascii="Times New Roman" w:hAnsi="Times New Roman" w:eastAsia="宋体"/>
                <w:b w:val="0"/>
                <w:i w:val="0"/>
                <w:color w:val="1A1A1A"/>
                <w:sz w:val="18"/>
              </w:rPr>
              <w:t>与综述</w:t>
            </w:r>
            <w:r>
              <w:rPr>
                <w:rFonts w:ascii="Times New Roman" w:hAnsi="Times New Roman" w:eastAsia="宋体"/>
                <w:b w:val="0"/>
                <w:i w:val="0"/>
                <w:color w:val="1A1A1A"/>
                <w:sz w:val="18"/>
                <w:vertAlign w:val="superscript"/>
              </w:rPr>
              <w:t>[12]</w:t>
            </w:r>
            <w:r>
              <w:rPr>
                <w:rFonts w:ascii="Times New Roman" w:hAnsi="Times New Roman" w:eastAsia="宋体"/>
                <w:b w:val="0"/>
                <w:i w:val="0"/>
                <w:color w:val="1A1A1A"/>
                <w:sz w:val="18"/>
              </w:rPr>
              <w:t>核读</w:t>
            </w:r>
          </w:p>
        </w:tc>
      </w:tr>
      <w:tr>
        <w:tc>
          <w:tcPr>
            <w:tcW w:type="dxa" w:w="1813"/>
          </w:tcPr>
          <w:p>
            <w:r>
              <w:rPr>
                <w:rFonts w:ascii="Times New Roman" w:hAnsi="Times New Roman" w:eastAsia="宋体"/>
                <w:b w:val="0"/>
                <w:i w:val="0"/>
                <w:color w:val="1A1A1A"/>
                <w:sz w:val="18"/>
              </w:rPr>
              <w:t>2024年中国老年房颤诊治专家共识</w:t>
            </w:r>
            <w:r>
              <w:rPr>
                <w:rFonts w:ascii="Times New Roman" w:hAnsi="Times New Roman" w:eastAsia="宋体"/>
                <w:b w:val="0"/>
                <w:i w:val="0"/>
                <w:color w:val="1A1A1A"/>
                <w:sz w:val="18"/>
                <w:vertAlign w:val="superscript"/>
              </w:rPr>
              <w:t>[13]</w:t>
            </w:r>
          </w:p>
        </w:tc>
        <w:tc>
          <w:tcPr>
            <w:tcW w:type="dxa" w:w="1813"/>
          </w:tcPr>
          <w:p>
            <w:r>
              <w:rPr>
                <w:rFonts w:ascii="Times New Roman" w:hAnsi="Times New Roman" w:eastAsia="宋体"/>
                <w:b w:val="0"/>
                <w:i w:val="0"/>
                <w:color w:val="1A1A1A"/>
                <w:sz w:val="18"/>
              </w:rPr>
              <w:t>推荐老年或高危人群使用带PPG或单导联、多导联心电的智能设备筛查</w:t>
            </w:r>
          </w:p>
        </w:tc>
        <w:tc>
          <w:tcPr>
            <w:tcW w:type="dxa" w:w="1813"/>
          </w:tcPr>
          <w:p>
            <w:r>
              <w:rPr>
                <w:rFonts w:ascii="Times New Roman" w:hAnsi="Times New Roman" w:eastAsia="宋体"/>
                <w:b w:val="0"/>
                <w:i w:val="0"/>
                <w:color w:val="1A1A1A"/>
                <w:sz w:val="18"/>
              </w:rPr>
              <w:t>CHA₂DS₂-VASc（至少每年再评估）与HAS-BLED；优先NOAC</w:t>
            </w:r>
          </w:p>
        </w:tc>
        <w:tc>
          <w:tcPr>
            <w:tcW w:type="dxa" w:w="1813"/>
          </w:tcPr>
          <w:p>
            <w:r>
              <w:rPr>
                <w:rFonts w:ascii="Times New Roman" w:hAnsi="Times New Roman" w:eastAsia="宋体"/>
                <w:b w:val="0"/>
                <w:i w:val="0"/>
                <w:color w:val="1A1A1A"/>
                <w:sz w:val="18"/>
              </w:rPr>
              <w:t>ABC综合管理路径</w:t>
            </w:r>
          </w:p>
        </w:tc>
        <w:tc>
          <w:tcPr>
            <w:tcW w:type="dxa" w:w="1813"/>
          </w:tcPr>
          <w:p>
            <w:r>
              <w:rPr>
                <w:rFonts w:ascii="Times New Roman" w:hAnsi="Times New Roman" w:eastAsia="宋体"/>
                <w:b w:val="0"/>
                <w:i w:val="0"/>
                <w:color w:val="1A1A1A"/>
                <w:sz w:val="18"/>
              </w:rPr>
              <w:t>执行摘要全文核验</w:t>
            </w:r>
          </w:p>
        </w:tc>
      </w:tr>
      <w:tr>
        <w:tc>
          <w:tcPr>
            <w:tcW w:type="dxa" w:w="1813"/>
          </w:tcPr>
          <w:p>
            <w:r>
              <w:rPr>
                <w:rFonts w:ascii="Times New Roman" w:hAnsi="Times New Roman" w:eastAsia="宋体"/>
                <w:b w:val="0"/>
                <w:i w:val="0"/>
                <w:color w:val="1A1A1A"/>
                <w:sz w:val="18"/>
              </w:rPr>
              <w:t>ESC电子心脏病学工作组立场文件</w:t>
            </w:r>
            <w:r>
              <w:rPr>
                <w:rFonts w:ascii="Times New Roman" w:hAnsi="Times New Roman" w:eastAsia="宋体"/>
                <w:b w:val="0"/>
                <w:i w:val="0"/>
                <w:color w:val="1A1A1A"/>
                <w:sz w:val="18"/>
                <w:vertAlign w:val="superscript"/>
              </w:rPr>
              <w:t>[14]</w:t>
            </w:r>
          </w:p>
        </w:tc>
        <w:tc>
          <w:tcPr>
            <w:tcW w:type="dxa" w:w="1813"/>
          </w:tcPr>
          <w:p>
            <w:r>
              <w:rPr>
                <w:rFonts w:ascii="Times New Roman" w:hAnsi="Times New Roman" w:eastAsia="宋体"/>
                <w:b w:val="0"/>
                <w:i w:val="0"/>
                <w:color w:val="1A1A1A"/>
                <w:sz w:val="18"/>
              </w:rPr>
              <w:t>仅少数系统获上市前许可或CE认证，可靠识别房颤的能力仍在评估中</w:t>
            </w:r>
          </w:p>
        </w:tc>
        <w:tc>
          <w:tcPr>
            <w:tcW w:type="dxa" w:w="1813"/>
          </w:tcPr>
          <w:p>
            <w:r>
              <w:rPr>
                <w:rFonts w:ascii="Times New Roman" w:hAnsi="Times New Roman" w:eastAsia="宋体"/>
                <w:b w:val="0"/>
                <w:i w:val="0"/>
                <w:color w:val="1A1A1A"/>
                <w:sz w:val="18"/>
              </w:rPr>
              <w:t>未涉及</w:t>
            </w:r>
          </w:p>
        </w:tc>
        <w:tc>
          <w:tcPr>
            <w:tcW w:type="dxa" w:w="1813"/>
          </w:tcPr>
          <w:p>
            <w:r>
              <w:rPr>
                <w:rFonts w:ascii="Times New Roman" w:hAnsi="Times New Roman" w:eastAsia="宋体"/>
                <w:b w:val="0"/>
                <w:i w:val="0"/>
                <w:color w:val="1A1A1A"/>
                <w:sz w:val="18"/>
              </w:rPr>
              <w:t>未涉及</w:t>
            </w:r>
          </w:p>
        </w:tc>
        <w:tc>
          <w:tcPr>
            <w:tcW w:type="dxa" w:w="1813"/>
          </w:tcPr>
          <w:p>
            <w:r>
              <w:rPr>
                <w:rFonts w:ascii="Times New Roman" w:hAnsi="Times New Roman" w:eastAsia="宋体"/>
                <w:b w:val="0"/>
                <w:i w:val="0"/>
                <w:color w:val="1A1A1A"/>
                <w:sz w:val="18"/>
              </w:rPr>
              <w:t>全文核验</w:t>
            </w:r>
          </w:p>
        </w:tc>
      </w:tr>
      <w:tr>
        <w:tc>
          <w:tcPr>
            <w:tcW w:type="dxa" w:w="1813"/>
          </w:tcPr>
          <w:p>
            <w:r>
              <w:rPr>
                <w:rFonts w:ascii="Times New Roman" w:hAnsi="Times New Roman" w:eastAsia="宋体"/>
                <w:b w:val="0"/>
                <w:i w:val="0"/>
                <w:color w:val="1A1A1A"/>
                <w:sz w:val="18"/>
              </w:rPr>
              <w:t>2025年《中国心房颤动管理指南》</w:t>
            </w:r>
            <w:r>
              <w:rPr>
                <w:rFonts w:ascii="Times New Roman" w:hAnsi="Times New Roman" w:eastAsia="宋体"/>
                <w:b w:val="0"/>
                <w:i w:val="0"/>
                <w:color w:val="1A1A1A"/>
                <w:sz w:val="18"/>
                <w:vertAlign w:val="superscript"/>
              </w:rPr>
              <w:t>[18]</w:t>
            </w:r>
          </w:p>
        </w:tc>
        <w:tc>
          <w:tcPr>
            <w:tcW w:type="dxa" w:w="1813"/>
          </w:tcPr>
          <w:p>
            <w:r>
              <w:rPr>
                <w:rFonts w:ascii="Times New Roman" w:hAnsi="Times New Roman" w:eastAsia="宋体"/>
                <w:b w:val="0"/>
                <w:i w:val="0"/>
                <w:color w:val="1A1A1A"/>
                <w:sz w:val="18"/>
              </w:rPr>
              <w:t>更新说明将"中医药预防"列为研究进展之一</w:t>
            </w:r>
          </w:p>
        </w:tc>
        <w:tc>
          <w:tcPr>
            <w:tcW w:type="dxa" w:w="1813"/>
          </w:tcPr>
          <w:p>
            <w:r>
              <w:rPr>
                <w:rFonts w:ascii="Times New Roman" w:hAnsi="Times New Roman" w:eastAsia="宋体"/>
                <w:b w:val="0"/>
                <w:i w:val="0"/>
                <w:color w:val="1A1A1A"/>
                <w:sz w:val="18"/>
              </w:rPr>
              <w:t>未能核验</w:t>
            </w:r>
          </w:p>
        </w:tc>
        <w:tc>
          <w:tcPr>
            <w:tcW w:type="dxa" w:w="1813"/>
          </w:tcPr>
          <w:p>
            <w:r>
              <w:rPr>
                <w:rFonts w:ascii="Times New Roman" w:hAnsi="Times New Roman" w:eastAsia="宋体"/>
                <w:b w:val="0"/>
                <w:i w:val="0"/>
                <w:color w:val="1A1A1A"/>
                <w:sz w:val="18"/>
              </w:rPr>
              <w:t>未能核验</w:t>
            </w:r>
          </w:p>
        </w:tc>
        <w:tc>
          <w:tcPr>
            <w:tcW w:type="dxa" w:w="1813"/>
          </w:tcPr>
          <w:p>
            <w:r>
              <w:rPr>
                <w:rFonts w:ascii="Times New Roman" w:hAnsi="Times New Roman" w:eastAsia="宋体"/>
                <w:b w:val="0"/>
                <w:i w:val="0"/>
                <w:color w:val="1A1A1A"/>
                <w:sz w:val="18"/>
              </w:rPr>
              <w:t>仅获索引记录</w:t>
            </w:r>
          </w:p>
        </w:tc>
      </w:tr>
      <w:tr>
        <w:tc>
          <w:tcPr>
            <w:tcW w:type="dxa" w:w="1813"/>
          </w:tcPr>
          <w:p>
            <w:r>
              <w:rPr>
                <w:rFonts w:ascii="Times New Roman" w:hAnsi="Times New Roman" w:eastAsia="宋体"/>
                <w:b w:val="0"/>
                <w:i w:val="0"/>
                <w:color w:val="1A1A1A"/>
                <w:sz w:val="18"/>
              </w:rPr>
              <w:t>USPSTF 2022年推荐声明</w:t>
            </w:r>
            <w:r>
              <w:rPr>
                <w:rFonts w:ascii="Times New Roman" w:hAnsi="Times New Roman" w:eastAsia="宋体"/>
                <w:b w:val="0"/>
                <w:i w:val="0"/>
                <w:color w:val="1A1A1A"/>
                <w:sz w:val="18"/>
                <w:vertAlign w:val="superscript"/>
              </w:rPr>
              <w:t>[20]</w:t>
            </w:r>
          </w:p>
        </w:tc>
        <w:tc>
          <w:tcPr>
            <w:tcW w:type="dxa" w:w="1813"/>
          </w:tcPr>
          <w:p>
            <w:r>
              <w:rPr>
                <w:rFonts w:ascii="Times New Roman" w:hAnsi="Times New Roman" w:eastAsia="宋体"/>
                <w:b w:val="0"/>
                <w:i w:val="0"/>
                <w:color w:val="1A1A1A"/>
                <w:sz w:val="18"/>
              </w:rPr>
              <w:t>经伦理分析转述：现有证据不足以确定心电图筛查引起的不必要随访与治疗可能造成的危害</w:t>
            </w:r>
            <w:r>
              <w:rPr>
                <w:rFonts w:ascii="Times New Roman" w:hAnsi="Times New Roman" w:eastAsia="宋体"/>
                <w:b w:val="0"/>
                <w:i w:val="0"/>
                <w:color w:val="1A1A1A"/>
                <w:sz w:val="18"/>
                <w:vertAlign w:val="superscript"/>
              </w:rPr>
              <w:t>[7]</w:t>
            </w:r>
          </w:p>
        </w:tc>
        <w:tc>
          <w:tcPr>
            <w:tcW w:type="dxa" w:w="1813"/>
          </w:tcPr>
          <w:p>
            <w:r>
              <w:rPr>
                <w:rFonts w:ascii="Times New Roman" w:hAnsi="Times New Roman" w:eastAsia="宋体"/>
                <w:b w:val="0"/>
                <w:i w:val="0"/>
                <w:color w:val="1A1A1A"/>
                <w:sz w:val="18"/>
              </w:rPr>
              <w:t>未涉及</w:t>
            </w:r>
          </w:p>
        </w:tc>
        <w:tc>
          <w:tcPr>
            <w:tcW w:type="dxa" w:w="1813"/>
          </w:tcPr>
          <w:p>
            <w:r>
              <w:rPr>
                <w:rFonts w:ascii="Times New Roman" w:hAnsi="Times New Roman" w:eastAsia="宋体"/>
                <w:b w:val="0"/>
                <w:i w:val="0"/>
                <w:color w:val="1A1A1A"/>
                <w:sz w:val="18"/>
              </w:rPr>
              <w:t>未涉及</w:t>
            </w:r>
          </w:p>
        </w:tc>
        <w:tc>
          <w:tcPr>
            <w:tcW w:type="dxa" w:w="1813"/>
          </w:tcPr>
          <w:p>
            <w:r>
              <w:rPr>
                <w:rFonts w:ascii="Times New Roman" w:hAnsi="Times New Roman" w:eastAsia="宋体"/>
                <w:b w:val="0"/>
                <w:i w:val="0"/>
                <w:color w:val="1A1A1A"/>
                <w:sz w:val="18"/>
              </w:rPr>
              <w:t>仅获索引记录</w:t>
            </w:r>
          </w:p>
        </w:tc>
      </w:tr>
      <w:tr>
        <w:tc>
          <w:tcPr>
            <w:tcW w:type="dxa" w:w="1813"/>
          </w:tcPr>
          <w:p>
            <w:r>
              <w:rPr>
                <w:rFonts w:ascii="Times New Roman" w:hAnsi="Times New Roman" w:eastAsia="宋体"/>
                <w:b w:val="0"/>
                <w:i w:val="0"/>
                <w:color w:val="1A1A1A"/>
                <w:sz w:val="18"/>
              </w:rPr>
              <w:t>NICE指南NG196</w:t>
            </w:r>
            <w:r>
              <w:rPr>
                <w:rFonts w:ascii="Times New Roman" w:hAnsi="Times New Roman" w:eastAsia="宋体"/>
                <w:b w:val="0"/>
                <w:i w:val="0"/>
                <w:color w:val="1A1A1A"/>
                <w:sz w:val="18"/>
                <w:vertAlign w:val="superscript"/>
              </w:rPr>
              <w:t>[19]</w:t>
            </w:r>
          </w:p>
        </w:tc>
        <w:tc>
          <w:tcPr>
            <w:tcW w:type="dxa" w:w="1813"/>
          </w:tcPr>
          <w:p>
            <w:r>
              <w:rPr>
                <w:rFonts w:ascii="Times New Roman" w:hAnsi="Times New Roman" w:eastAsia="宋体"/>
                <w:b w:val="0"/>
                <w:i w:val="0"/>
                <w:color w:val="1A1A1A"/>
                <w:sz w:val="18"/>
              </w:rPr>
              <w:t>未用于作出任何判断</w:t>
            </w:r>
          </w:p>
        </w:tc>
        <w:tc>
          <w:tcPr>
            <w:tcW w:type="dxa" w:w="1813"/>
          </w:tcPr>
          <w:p>
            <w:r>
              <w:rPr>
                <w:rFonts w:ascii="Times New Roman" w:hAnsi="Times New Roman" w:eastAsia="宋体"/>
                <w:b w:val="0"/>
                <w:i w:val="0"/>
                <w:color w:val="1A1A1A"/>
                <w:sz w:val="18"/>
              </w:rPr>
              <w:t>未涉及</w:t>
            </w:r>
          </w:p>
        </w:tc>
        <w:tc>
          <w:tcPr>
            <w:tcW w:type="dxa" w:w="1813"/>
          </w:tcPr>
          <w:p>
            <w:r>
              <w:rPr>
                <w:rFonts w:ascii="Times New Roman" w:hAnsi="Times New Roman" w:eastAsia="宋体"/>
                <w:b w:val="0"/>
                <w:i w:val="0"/>
                <w:color w:val="1A1A1A"/>
                <w:sz w:val="18"/>
              </w:rPr>
              <w:t>未涉及</w:t>
            </w:r>
          </w:p>
        </w:tc>
        <w:tc>
          <w:tcPr>
            <w:tcW w:type="dxa" w:w="1813"/>
          </w:tcPr>
          <w:p>
            <w:r>
              <w:rPr>
                <w:rFonts w:ascii="Times New Roman" w:hAnsi="Times New Roman" w:eastAsia="宋体"/>
                <w:b w:val="0"/>
                <w:i w:val="0"/>
                <w:color w:val="1A1A1A"/>
                <w:sz w:val="18"/>
              </w:rPr>
              <w:t>仅获索引记录</w:t>
            </w:r>
          </w:p>
        </w:tc>
      </w:tr>
    </w:tbl>
    <w:p>
      <w:pPr>
        <w:spacing w:after="80"/>
      </w:pPr>
    </w:p>
    <w:p>
      <w:pPr>
        <w:spacing w:after="80" w:line="312" w:lineRule="auto" w:before="160"/>
      </w:pPr>
      <w:r>
        <w:rPr>
          <w:rFonts w:ascii="Times New Roman" w:hAnsi="Times New Roman" w:eastAsia="黑体"/>
          <w:b/>
          <w:i w:val="0"/>
          <w:color w:val="1A1A1A"/>
          <w:sz w:val="22"/>
        </w:rPr>
        <w:t>3.6 确诊之后的治疗路径：抗凝为核心</w:t>
      </w:r>
    </w:p>
    <w:p>
      <w:pPr>
        <w:spacing w:after="120" w:line="360" w:lineRule="auto"/>
        <w:ind w:firstLine="420"/>
      </w:pPr>
      <w:r>
        <w:rPr>
          <w:rFonts w:ascii="Times New Roman" w:hAnsi="Times New Roman" w:eastAsia="宋体"/>
          <w:b w:val="0"/>
          <w:i w:val="0"/>
          <w:color w:val="1A1A1A"/>
          <w:sz w:val="21"/>
        </w:rPr>
        <w:t>治疗路径的核心是卒中预防。2024年ESC指南在缺乏本地验证评分时以CHA₂DS₂-VA评分替代CHA₂DS₂-VASc评分，赋分沿用充血性心力衰竭、高血压、年龄、糖尿病、既往卒中或血栓栓塞与血管疾病等经典危险因素而去除性别维度；评分2分及以上者建议使用直接口服抗凝药，1分者考虑抗凝</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该指南同时明确，抗凝决策取决于卒中危险因素的存在，而非房颤类型或所采用的节律控制策略；即便维持窦性心律或无症状，也应依据风险继续口服抗凝，因为缺血性卒中的发生与房颤发作之间并无时间关联；抗血小板单药不适用于房颤的卒中预防</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2023年ACC/AHA/ACCP/HRS体系与中国共识仍采用CHA₂DS₂-VASc评分。前者在需要抗凝时优先选择直接口服抗凝药，中重度二尖瓣狭窄、机械心脏瓣膜或特定血栓形成倾向（如抗磷脂综合征）者仍以华法林为推荐治疗，无法耐受抗凝者可考虑经皮左心耳封堵</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后者推荐老年房颤患者采用ABC综合管理路径（抗凝避免卒中、以患者为中心的症状导向心率或节律控制、心血管危险因素与合并症管理），优先选择NOAC而非华法林（机械瓣或重度二尖瓣狭窄除外）；卒中风险以CHA₂DS₂-VASc评分至少每年再评估，出血风险以HAS-BLED评分评估</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节律与心率控制服务于症状缓解，并在特定人群中带来预后获益。EAST-AFNET 4试验将2 789例早期房颤合并心血管疾病患者随机分组并随访5年，早期节律控制较心率控制降低了心血管死亡、卒中或因心力衰竭与急性冠脉综合征住院的复合终点（HR 0.79），合并症负担较重者（CHA₂DS₂-VASc评分≥4）获益更明显（23%对34%，HR 0.64）</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。2024年ESC指南将导管消融升级为未用过抗心律失常药物的阵发性房颤患者的一线节律控制选择</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；2023年ACC/AHA体系对选定的年轻、合并症较少的患者作出同向调整，并将索他洛尔降为2b类</w:t>
      </w:r>
      <w:r>
        <w:rPr>
          <w:rFonts w:ascii="Times New Roman" w:hAnsi="Times New Roman" w:eastAsia="宋体"/>
          <w:b w:val="0"/>
          <w:i w:val="0"/>
          <w:color w:val="1A1A1A"/>
          <w:sz w:val="21"/>
          <w:vertAlign w:val="superscript"/>
        </w:rPr>
        <w:t>[11]</w:t>
      </w:r>
      <w:r>
        <w:rPr>
          <w:rFonts w:ascii="Times New Roman" w:hAnsi="Times New Roman" w:eastAsia="宋体"/>
          <w:b w:val="0"/>
          <w:i w:val="0"/>
          <w:color w:val="1A1A1A"/>
          <w:sz w:val="21"/>
        </w:rPr>
        <w:t>。血流动力学不稳定者属急症，指南推荐紧急电复律</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。第三环的判定条件成立：抗凝由风险评分驱动，指南体系中不存在可替代抗凝的卒中预防手段。</w:t>
      </w:r>
    </w:p>
    <w:p>
      <w:pPr>
        <w:spacing w:after="80" w:line="312" w:lineRule="auto" w:before="160"/>
      </w:pPr>
      <w:r>
        <w:rPr>
          <w:rFonts w:ascii="Times New Roman" w:hAnsi="Times New Roman" w:eastAsia="黑体"/>
          <w:b/>
          <w:i w:val="0"/>
          <w:color w:val="1A1A1A"/>
          <w:sz w:val="22"/>
        </w:rPr>
        <w:t>3.7 设备检出的亚临床房颤：一条有边界的建议</w:t>
      </w:r>
    </w:p>
    <w:p>
      <w:pPr>
        <w:spacing w:after="120" w:line="360" w:lineRule="auto"/>
        <w:ind w:firstLine="420"/>
      </w:pPr>
      <w:r>
        <w:rPr>
          <w:rFonts w:ascii="Times New Roman" w:hAnsi="Times New Roman" w:eastAsia="宋体"/>
          <w:b w:val="0"/>
          <w:i w:val="0"/>
          <w:color w:val="1A1A1A"/>
          <w:sz w:val="21"/>
        </w:rPr>
        <w:t>指南对"设备检出的亚临床房颤"另设条目，其证据边界须一并保留。2024年ESC指南指出，ARTESiA试验显示阿哌沙班较阿司匹林降低卒中或体循环栓塞风险但增加大出血风险，NOAH试验（艾多沙班对安慰剂）因无效与安全顾虑提前终止；据此，对设备检出的亚临床房颤、卒中高危且出血低危者可考虑使用直接口服抗凝药，同时须权衡其每年6%~9%进展为临床房颤的可能与抗凝出血风险</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。中国老年共识对同一组证据的表述是：口服抗凝降低了设备检出房颤患者的卒中风险，但增加了大出血风险，建议结合CHA₂DS₂-VASc评分与心房高频事件持续时间进行个体化决策</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须强调的是，两项试验的证据对象均为植入式心脏电子装置记录的亚临床房颤或心房高频事件（ARTESiA的入选窗口为发作持续6分钟以上但不超过24小时），指南并未把消费级手表的提示与植入装置的连续记录等同</w:t>
      </w:r>
      <w:r>
        <w:rPr>
          <w:rFonts w:ascii="Times New Roman" w:hAnsi="Times New Roman" w:eastAsia="宋体"/>
          <w:b w:val="0"/>
          <w:i w:val="0"/>
          <w:color w:val="1A1A1A"/>
          <w:sz w:val="21"/>
          <w:vertAlign w:val="superscript"/>
        </w:rPr>
        <w:t>[9,13]</w:t>
      </w:r>
      <w:r>
        <w:rPr>
          <w:rFonts w:ascii="Times New Roman" w:hAnsi="Times New Roman" w:eastAsia="宋体"/>
          <w:b w:val="0"/>
          <w:i w:val="0"/>
          <w:color w:val="1A1A1A"/>
          <w:sz w:val="21"/>
        </w:rPr>
        <w:t>。把这一条目直接移用于手表提示，等于以另一人群的抗凝证据回答本人群的诊断问题。</w:t>
      </w:r>
    </w:p>
    <w:p>
      <w:pPr>
        <w:spacing w:after="80" w:line="312" w:lineRule="auto" w:before="160"/>
      </w:pPr>
      <w:r>
        <w:rPr>
          <w:rFonts w:ascii="Times New Roman" w:hAnsi="Times New Roman" w:eastAsia="黑体"/>
          <w:b/>
          <w:i w:val="0"/>
          <w:color w:val="1A1A1A"/>
          <w:sz w:val="22"/>
        </w:rPr>
        <w:t>3.8 速效救心丸：适应症、临床证据与指南推荐的三维核查</w:t>
      </w:r>
    </w:p>
    <w:p>
      <w:pPr>
        <w:spacing w:after="120" w:line="360" w:lineRule="auto"/>
        <w:ind w:firstLine="420"/>
      </w:pPr>
      <w:r>
        <w:rPr>
          <w:rFonts w:ascii="Times New Roman" w:hAnsi="Times New Roman" w:eastAsia="宋体"/>
          <w:b w:val="0"/>
          <w:i w:val="0"/>
          <w:color w:val="1A1A1A"/>
          <w:sz w:val="21"/>
        </w:rPr>
        <w:t>说明书层面，速效救心丸的批准适应症为"行气活血，祛瘀止痛，增加冠脉血流量，缓解心绞痛。用于气滞血瘀型冠心病，心绞痛"；禁忌为孕妇禁用，注意事项包含寒凝血瘀、阴虚血瘀胸痹心痛不宜单用、伴有中重度心力衰竭的心肌缺血者慎用等</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。适应症文本不涵盖房颤。该内容经药品说明书索引记录核读，属索引化记录，仍须以国家药品监督管理局现行官方文本为准。</w:t>
      </w:r>
    </w:p>
    <w:p>
      <w:pPr>
        <w:spacing w:after="120" w:line="360" w:lineRule="auto"/>
        <w:ind w:firstLine="420"/>
      </w:pPr>
      <w:r>
        <w:rPr>
          <w:rFonts w:ascii="Times New Roman" w:hAnsi="Times New Roman" w:eastAsia="宋体"/>
          <w:b w:val="0"/>
          <w:i w:val="0"/>
          <w:color w:val="1A1A1A"/>
          <w:sz w:val="21"/>
        </w:rPr>
        <w:t>临床证据层面，该药用于冠心病与心绞痛的Meta分析纳入41项随机对照试验、6 276例冠心病患者，报告心电图改善优于对照（RR 1.32，95%CI 1.26~1.38，P&lt;0.001），但该结局存在显著异质性（I²=62.3%），且多数纳入研究因缺乏双盲设计而获得低Jadad评分</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。该Meta分析的纳入标准要求研究报告心电图结果、血脂和/或血液流变学变化作为结局，全部41项研究均来自冠心病人群，没有任何一项以房颤为研究人群或结局</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。一项系统评价的结论同样限定在该适应症之内：速效救心丸用于心绞痛可能有效，但因纳入研究方法学质量差，证据仍然薄弱</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反向检索未能推翻上述阴性判定。以中英文检索式检索该药与房颤的组合，返回结果全部为冠心病、心绞痛相关内容，未检索到任何以房颤为适应症或主要结局的随机对照试验；检索命中的实验研究中，该药被报道可抑制L型钙电流并减少心室颤动的诱发，但该结局是心室颤动而非心房颤动，且属动物与离体研究。2025年《中国心房颤动管理指南》在更新说明中将"中医药预防"列为我国房颤研究进展之一，但该指南全文未纳入核验，其中成药推荐原文未能追溯到可核验出处</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。综合三个维度，第四环的判定条件不成立（表5）：速效救心丸在房颤场景中无适应症、无支持其用于房颤任一治疗环节（抗凝、节律控制、心室率控制、危险因素管理）的临床证据、无指南推荐。</w:t>
      </w:r>
    </w:p>
    <w:p>
      <w:pPr>
        <w:spacing w:after="60" w:line="360" w:lineRule="auto"/>
        <w:jc w:val="center"/>
      </w:pPr>
      <w:r>
        <w:rPr>
          <w:rFonts w:ascii="Times New Roman" w:hAnsi="Times New Roman" w:eastAsia="宋体"/>
          <w:b/>
          <w:i w:val="0"/>
          <w:color w:val="1A1A1A"/>
          <w:sz w:val="19"/>
        </w:rPr>
        <w:t>表5</w:t>
      </w:r>
      <w:r>
        <w:rPr>
          <w:rFonts w:ascii="Times New Roman" w:hAnsi="Times New Roman" w:eastAsia="宋体"/>
          <w:b w:val="0"/>
          <w:i w:val="0"/>
          <w:color w:val="1A1A1A"/>
          <w:sz w:val="19"/>
        </w:rPr>
        <w:t xml:space="preserve"> 速效救心丸在心房颤动场景中的三维核查结果</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核查维度</w:t>
            </w:r>
          </w:p>
        </w:tc>
        <w:tc>
          <w:tcPr>
            <w:tcW w:type="dxa" w:w="2266"/>
            <w:tcBorders>
              <w:bottom w:val="single" w:sz="6" w:color="1A1A1A"/>
            </w:tcBorders>
          </w:tcPr>
          <w:p>
            <w:pPr>
              <w:jc w:val="center"/>
            </w:pPr>
            <w:r>
              <w:rPr>
                <w:rFonts w:ascii="Times New Roman" w:hAnsi="Times New Roman" w:eastAsia="宋体"/>
                <w:b/>
                <w:i w:val="0"/>
                <w:color w:val="1A1A1A"/>
                <w:sz w:val="18"/>
              </w:rPr>
              <w:t>内容</w:t>
            </w:r>
          </w:p>
        </w:tc>
        <w:tc>
          <w:tcPr>
            <w:tcW w:type="dxa" w:w="2266"/>
            <w:tcBorders>
              <w:bottom w:val="single" w:sz="6" w:color="1A1A1A"/>
            </w:tcBorders>
          </w:tcPr>
          <w:p>
            <w:pPr>
              <w:jc w:val="center"/>
            </w:pPr>
            <w:r>
              <w:rPr>
                <w:rFonts w:ascii="Times New Roman" w:hAnsi="Times New Roman" w:eastAsia="宋体"/>
                <w:b/>
                <w:i w:val="0"/>
                <w:color w:val="1A1A1A"/>
                <w:sz w:val="18"/>
              </w:rPr>
              <w:t>是否覆盖房颤</w:t>
            </w:r>
          </w:p>
        </w:tc>
        <w:tc>
          <w:tcPr>
            <w:tcW w:type="dxa" w:w="2266"/>
            <w:tcBorders>
              <w:bottom w:val="single" w:sz="6" w:color="1A1A1A"/>
            </w:tcBorders>
          </w:tcPr>
          <w:p>
            <w:pPr>
              <w:jc w:val="center"/>
            </w:pPr>
            <w:r>
              <w:rPr>
                <w:rFonts w:ascii="Times New Roman" w:hAnsi="Times New Roman" w:eastAsia="宋体"/>
                <w:b/>
                <w:i w:val="0"/>
                <w:color w:val="1A1A1A"/>
                <w:sz w:val="18"/>
              </w:rPr>
              <w:t>来源与可核验程度</w:t>
            </w:r>
          </w:p>
        </w:tc>
      </w:tr>
      <w:tr>
        <w:tc>
          <w:tcPr>
            <w:tcW w:type="dxa" w:w="2266"/>
          </w:tcPr>
          <w:p>
            <w:r>
              <w:rPr>
                <w:rFonts w:ascii="Times New Roman" w:hAnsi="Times New Roman" w:eastAsia="宋体"/>
                <w:b w:val="0"/>
                <w:i w:val="0"/>
                <w:color w:val="1A1A1A"/>
                <w:sz w:val="18"/>
              </w:rPr>
              <w:t>批准适应症</w:t>
            </w:r>
          </w:p>
        </w:tc>
        <w:tc>
          <w:tcPr>
            <w:tcW w:type="dxa" w:w="2266"/>
          </w:tcPr>
          <w:p>
            <w:r>
              <w:rPr>
                <w:rFonts w:ascii="Times New Roman" w:hAnsi="Times New Roman" w:eastAsia="宋体"/>
                <w:b w:val="0"/>
                <w:i w:val="0"/>
                <w:color w:val="1A1A1A"/>
                <w:sz w:val="18"/>
              </w:rPr>
              <w:t>行气活血，祛瘀止痛，增加冠脉血流量，缓解心绞痛；用于气滞血瘀型冠心病，心绞痛</w:t>
            </w:r>
          </w:p>
        </w:tc>
        <w:tc>
          <w:tcPr>
            <w:tcW w:type="dxa" w:w="2266"/>
          </w:tcPr>
          <w:p>
            <w:r>
              <w:rPr>
                <w:rFonts w:ascii="Times New Roman" w:hAnsi="Times New Roman" w:eastAsia="宋体"/>
                <w:b w:val="0"/>
                <w:i w:val="0"/>
                <w:color w:val="1A1A1A"/>
                <w:sz w:val="18"/>
              </w:rPr>
              <w:t>否</w:t>
            </w:r>
          </w:p>
        </w:tc>
        <w:tc>
          <w:tcPr>
            <w:tcW w:type="dxa" w:w="2266"/>
          </w:tcPr>
          <w:p>
            <w:r>
              <w:rPr>
                <w:rFonts w:ascii="Times New Roman" w:hAnsi="Times New Roman" w:eastAsia="宋体"/>
                <w:b w:val="0"/>
                <w:i w:val="0"/>
                <w:color w:val="1A1A1A"/>
                <w:sz w:val="18"/>
              </w:rPr>
              <w:t>说明书索引记录</w:t>
            </w:r>
            <w:r>
              <w:rPr>
                <w:rFonts w:ascii="Times New Roman" w:hAnsi="Times New Roman" w:eastAsia="宋体"/>
                <w:b w:val="0"/>
                <w:i w:val="0"/>
                <w:color w:val="1A1A1A"/>
                <w:sz w:val="18"/>
                <w:vertAlign w:val="superscript"/>
              </w:rPr>
              <w:t>[17]</w:t>
            </w:r>
          </w:p>
        </w:tc>
      </w:tr>
      <w:tr>
        <w:tc>
          <w:tcPr>
            <w:tcW w:type="dxa" w:w="2266"/>
          </w:tcPr>
          <w:p>
            <w:r>
              <w:rPr>
                <w:rFonts w:ascii="Times New Roman" w:hAnsi="Times New Roman" w:eastAsia="宋体"/>
                <w:b w:val="0"/>
                <w:i w:val="0"/>
                <w:color w:val="1A1A1A"/>
                <w:sz w:val="18"/>
              </w:rPr>
              <w:t>禁忌与注意事项</w:t>
            </w:r>
          </w:p>
        </w:tc>
        <w:tc>
          <w:tcPr>
            <w:tcW w:type="dxa" w:w="2266"/>
          </w:tcPr>
          <w:p>
            <w:r>
              <w:rPr>
                <w:rFonts w:ascii="Times New Roman" w:hAnsi="Times New Roman" w:eastAsia="宋体"/>
                <w:b w:val="0"/>
                <w:i w:val="0"/>
                <w:color w:val="1A1A1A"/>
                <w:sz w:val="18"/>
              </w:rPr>
              <w:t>孕妇禁用；寒凝血瘀、阴虚血瘀胸痹心痛不宜单用</w:t>
            </w:r>
          </w:p>
        </w:tc>
        <w:tc>
          <w:tcPr>
            <w:tcW w:type="dxa" w:w="2266"/>
          </w:tcPr>
          <w:p>
            <w:r>
              <w:rPr>
                <w:rFonts w:ascii="Times New Roman" w:hAnsi="Times New Roman" w:eastAsia="宋体"/>
                <w:b w:val="0"/>
                <w:i w:val="0"/>
                <w:color w:val="1A1A1A"/>
                <w:sz w:val="18"/>
              </w:rPr>
              <w:t>不适用</w:t>
            </w:r>
          </w:p>
        </w:tc>
        <w:tc>
          <w:tcPr>
            <w:tcW w:type="dxa" w:w="2266"/>
          </w:tcPr>
          <w:p>
            <w:r>
              <w:rPr>
                <w:rFonts w:ascii="Times New Roman" w:hAnsi="Times New Roman" w:eastAsia="宋体"/>
                <w:b w:val="0"/>
                <w:i w:val="0"/>
                <w:color w:val="1A1A1A"/>
                <w:sz w:val="18"/>
              </w:rPr>
              <w:t>说明书索引记录</w:t>
            </w:r>
            <w:r>
              <w:rPr>
                <w:rFonts w:ascii="Times New Roman" w:hAnsi="Times New Roman" w:eastAsia="宋体"/>
                <w:b w:val="0"/>
                <w:i w:val="0"/>
                <w:color w:val="1A1A1A"/>
                <w:sz w:val="18"/>
                <w:vertAlign w:val="superscript"/>
              </w:rPr>
              <w:t>[17]</w:t>
            </w:r>
          </w:p>
        </w:tc>
      </w:tr>
      <w:tr>
        <w:tc>
          <w:tcPr>
            <w:tcW w:type="dxa" w:w="2266"/>
          </w:tcPr>
          <w:p>
            <w:r>
              <w:rPr>
                <w:rFonts w:ascii="Times New Roman" w:hAnsi="Times New Roman" w:eastAsia="宋体"/>
                <w:b w:val="0"/>
                <w:i w:val="0"/>
                <w:color w:val="1A1A1A"/>
                <w:sz w:val="18"/>
              </w:rPr>
              <w:t>随机对照证据</w:t>
            </w:r>
          </w:p>
        </w:tc>
        <w:tc>
          <w:tcPr>
            <w:tcW w:type="dxa" w:w="2266"/>
          </w:tcPr>
          <w:p>
            <w:r>
              <w:rPr>
                <w:rFonts w:ascii="Times New Roman" w:hAnsi="Times New Roman" w:eastAsia="宋体"/>
                <w:b w:val="0"/>
                <w:i w:val="0"/>
                <w:color w:val="1A1A1A"/>
                <w:sz w:val="18"/>
              </w:rPr>
              <w:t>41项随机对照试验、6 276例冠心病患者；心电图改善RR 1.32（95%CI 1.26~1.38），I²=62.3%；多数研究因缺乏双盲获得低Jadad评分</w:t>
            </w:r>
          </w:p>
        </w:tc>
        <w:tc>
          <w:tcPr>
            <w:tcW w:type="dxa" w:w="2266"/>
          </w:tcPr>
          <w:p>
            <w:r>
              <w:rPr>
                <w:rFonts w:ascii="Times New Roman" w:hAnsi="Times New Roman" w:eastAsia="宋体"/>
                <w:b w:val="0"/>
                <w:i w:val="0"/>
                <w:color w:val="1A1A1A"/>
                <w:sz w:val="18"/>
              </w:rPr>
              <w:t>否（人群与结局均限于冠心病）</w:t>
            </w:r>
          </w:p>
        </w:tc>
        <w:tc>
          <w:tcPr>
            <w:tcW w:type="dxa" w:w="2266"/>
          </w:tcPr>
          <w:p>
            <w:r>
              <w:rPr>
                <w:rFonts w:ascii="Times New Roman" w:hAnsi="Times New Roman" w:eastAsia="宋体"/>
                <w:b w:val="0"/>
                <w:i w:val="0"/>
                <w:color w:val="1A1A1A"/>
                <w:sz w:val="18"/>
              </w:rPr>
              <w:t>全文核验</w:t>
            </w:r>
            <w:r>
              <w:rPr>
                <w:rFonts w:ascii="Times New Roman" w:hAnsi="Times New Roman" w:eastAsia="宋体"/>
                <w:b w:val="0"/>
                <w:i w:val="0"/>
                <w:color w:val="1A1A1A"/>
                <w:sz w:val="18"/>
                <w:vertAlign w:val="superscript"/>
              </w:rPr>
              <w:t>[15]</w:t>
            </w:r>
          </w:p>
        </w:tc>
      </w:tr>
      <w:tr>
        <w:tc>
          <w:tcPr>
            <w:tcW w:type="dxa" w:w="2266"/>
          </w:tcPr>
          <w:p>
            <w:r>
              <w:rPr>
                <w:rFonts w:ascii="Times New Roman" w:hAnsi="Times New Roman" w:eastAsia="宋体"/>
                <w:b w:val="0"/>
                <w:i w:val="0"/>
                <w:color w:val="1A1A1A"/>
                <w:sz w:val="18"/>
              </w:rPr>
              <w:t>系统评价结论</w:t>
            </w:r>
          </w:p>
        </w:tc>
        <w:tc>
          <w:tcPr>
            <w:tcW w:type="dxa" w:w="2266"/>
          </w:tcPr>
          <w:p>
            <w:r>
              <w:rPr>
                <w:rFonts w:ascii="Times New Roman" w:hAnsi="Times New Roman" w:eastAsia="宋体"/>
                <w:b w:val="0"/>
                <w:i w:val="0"/>
                <w:color w:val="1A1A1A"/>
                <w:sz w:val="18"/>
              </w:rPr>
              <w:t>用于心绞痛可能有效，证据薄弱</w:t>
            </w:r>
          </w:p>
        </w:tc>
        <w:tc>
          <w:tcPr>
            <w:tcW w:type="dxa" w:w="2266"/>
          </w:tcPr>
          <w:p>
            <w:r>
              <w:rPr>
                <w:rFonts w:ascii="Times New Roman" w:hAnsi="Times New Roman" w:eastAsia="宋体"/>
                <w:b w:val="0"/>
                <w:i w:val="0"/>
                <w:color w:val="1A1A1A"/>
                <w:sz w:val="18"/>
              </w:rPr>
              <w:t>否</w:t>
            </w:r>
          </w:p>
        </w:tc>
        <w:tc>
          <w:tcPr>
            <w:tcW w:type="dxa" w:w="2266"/>
          </w:tcPr>
          <w:p>
            <w:r>
              <w:rPr>
                <w:rFonts w:ascii="Times New Roman" w:hAnsi="Times New Roman" w:eastAsia="宋体"/>
                <w:b w:val="0"/>
                <w:i w:val="0"/>
                <w:color w:val="1A1A1A"/>
                <w:sz w:val="18"/>
              </w:rPr>
              <w:t>摘要级</w:t>
            </w:r>
            <w:r>
              <w:rPr>
                <w:rFonts w:ascii="Times New Roman" w:hAnsi="Times New Roman" w:eastAsia="宋体"/>
                <w:b w:val="0"/>
                <w:i w:val="0"/>
                <w:color w:val="1A1A1A"/>
                <w:sz w:val="18"/>
                <w:vertAlign w:val="superscript"/>
              </w:rPr>
              <w:t>[16]</w:t>
            </w:r>
          </w:p>
        </w:tc>
      </w:tr>
      <w:tr>
        <w:tc>
          <w:tcPr>
            <w:tcW w:type="dxa" w:w="2266"/>
          </w:tcPr>
          <w:p>
            <w:r>
              <w:rPr>
                <w:rFonts w:ascii="Times New Roman" w:hAnsi="Times New Roman" w:eastAsia="宋体"/>
                <w:b w:val="0"/>
                <w:i w:val="0"/>
                <w:color w:val="1A1A1A"/>
                <w:sz w:val="18"/>
              </w:rPr>
              <w:t>指南推荐</w:t>
            </w:r>
          </w:p>
        </w:tc>
        <w:tc>
          <w:tcPr>
            <w:tcW w:type="dxa" w:w="2266"/>
          </w:tcPr>
          <w:p>
            <w:r>
              <w:rPr>
                <w:rFonts w:ascii="Times New Roman" w:hAnsi="Times New Roman" w:eastAsia="宋体"/>
                <w:b w:val="0"/>
                <w:i w:val="0"/>
                <w:color w:val="1A1A1A"/>
                <w:sz w:val="18"/>
              </w:rPr>
              <w:t>未检索到推荐其用于房颤任一治疗环节的条目</w:t>
            </w:r>
          </w:p>
        </w:tc>
        <w:tc>
          <w:tcPr>
            <w:tcW w:type="dxa" w:w="2266"/>
          </w:tcPr>
          <w:p>
            <w:r>
              <w:rPr>
                <w:rFonts w:ascii="Times New Roman" w:hAnsi="Times New Roman" w:eastAsia="宋体"/>
                <w:b w:val="0"/>
                <w:i w:val="0"/>
                <w:color w:val="1A1A1A"/>
                <w:sz w:val="18"/>
              </w:rPr>
              <w:t>否</w:t>
            </w:r>
          </w:p>
        </w:tc>
        <w:tc>
          <w:tcPr>
            <w:tcW w:type="dxa" w:w="2266"/>
          </w:tcPr>
          <w:p>
            <w:r>
              <w:rPr>
                <w:rFonts w:ascii="Times New Roman" w:hAnsi="Times New Roman" w:eastAsia="宋体"/>
                <w:b w:val="0"/>
                <w:i w:val="0"/>
                <w:color w:val="1A1A1A"/>
                <w:sz w:val="18"/>
              </w:rPr>
              <w:t>本研究检索结果</w:t>
            </w:r>
          </w:p>
        </w:tc>
      </w:tr>
      <w:tr>
        <w:tc>
          <w:tcPr>
            <w:tcW w:type="dxa" w:w="2266"/>
          </w:tcPr>
          <w:p>
            <w:r>
              <w:rPr>
                <w:rFonts w:ascii="Times New Roman" w:hAnsi="Times New Roman" w:eastAsia="宋体"/>
                <w:b w:val="0"/>
                <w:i w:val="0"/>
                <w:color w:val="1A1A1A"/>
                <w:sz w:val="18"/>
              </w:rPr>
              <w:t>实验研究</w:t>
            </w:r>
          </w:p>
        </w:tc>
        <w:tc>
          <w:tcPr>
            <w:tcW w:type="dxa" w:w="2266"/>
          </w:tcPr>
          <w:p>
            <w:r>
              <w:rPr>
                <w:rFonts w:ascii="Times New Roman" w:hAnsi="Times New Roman" w:eastAsia="宋体"/>
                <w:b w:val="0"/>
                <w:i w:val="0"/>
                <w:color w:val="1A1A1A"/>
                <w:sz w:val="18"/>
              </w:rPr>
              <w:t>抑制L型钙电流并减少心室颤动诱发（动物与离体）</w:t>
            </w:r>
          </w:p>
        </w:tc>
        <w:tc>
          <w:tcPr>
            <w:tcW w:type="dxa" w:w="2266"/>
          </w:tcPr>
          <w:p>
            <w:r>
              <w:rPr>
                <w:rFonts w:ascii="Times New Roman" w:hAnsi="Times New Roman" w:eastAsia="宋体"/>
                <w:b w:val="0"/>
                <w:i w:val="0"/>
                <w:color w:val="1A1A1A"/>
                <w:sz w:val="18"/>
              </w:rPr>
              <w:t>否（结局为心室颤动）</w:t>
            </w:r>
          </w:p>
        </w:tc>
        <w:tc>
          <w:tcPr>
            <w:tcW w:type="dxa" w:w="2266"/>
          </w:tcPr>
          <w:p>
            <w:r>
              <w:rPr>
                <w:rFonts w:ascii="Times New Roman" w:hAnsi="Times New Roman" w:eastAsia="宋体"/>
                <w:b w:val="0"/>
                <w:i w:val="0"/>
                <w:color w:val="1A1A1A"/>
                <w:sz w:val="18"/>
              </w:rPr>
              <w:t>检索命中的实验研究记录</w:t>
            </w:r>
          </w:p>
        </w:tc>
      </w:tr>
    </w:tbl>
    <w:p>
      <w:pPr>
        <w:spacing w:after="80"/>
      </w:pPr>
    </w:p>
    <w:p>
      <w:pPr>
        <w:spacing w:after="120" w:line="312" w:lineRule="auto" w:before="240"/>
      </w:pPr>
      <w:r>
        <w:rPr>
          <w:rFonts w:ascii="Times New Roman" w:hAnsi="Times New Roman" w:eastAsia="黑体"/>
          <w:b/>
          <w:i w:val="0"/>
          <w:color w:val="1A1A1A"/>
          <w:sz w:val="26"/>
        </w:rPr>
        <w:t>4 讨论</w:t>
      </w:r>
    </w:p>
    <w:p>
      <w:pPr>
        <w:spacing w:after="80" w:line="312" w:lineRule="auto" w:before="160"/>
      </w:pPr>
      <w:r>
        <w:rPr>
          <w:rFonts w:ascii="Times New Roman" w:hAnsi="Times New Roman" w:eastAsia="黑体"/>
          <w:b/>
          <w:i w:val="0"/>
          <w:color w:val="1A1A1A"/>
          <w:sz w:val="22"/>
        </w:rPr>
        <w:t>4.1 四环判定的总体结果</w:t>
      </w:r>
    </w:p>
    <w:p>
      <w:pPr>
        <w:spacing w:after="120" w:line="360" w:lineRule="auto"/>
        <w:ind w:firstLine="420"/>
      </w:pPr>
      <w:r>
        <w:rPr>
          <w:rFonts w:ascii="Times New Roman" w:hAnsi="Times New Roman" w:eastAsia="宋体"/>
          <w:b w:val="0"/>
          <w:i w:val="0"/>
          <w:color w:val="1A1A1A"/>
          <w:sz w:val="21"/>
        </w:rPr>
        <w:t>逐环检验的结果是：第一环不成立，第二环与第三环成立，第四环不成立。第一环不成立的证据基础是准确性的不稳定与PPV的患病率依赖——同一类别内不同设备的敏感度可相差27个百分点</w:t>
      </w:r>
      <w:r>
        <w:rPr>
          <w:rFonts w:ascii="Times New Roman" w:hAnsi="Times New Roman" w:eastAsia="宋体"/>
          <w:b w:val="0"/>
          <w:i w:val="0"/>
          <w:color w:val="1A1A1A"/>
          <w:sz w:val="21"/>
          <w:vertAlign w:val="superscript"/>
        </w:rPr>
        <w:t>[4-5]</w:t>
      </w:r>
      <w:r>
        <w:rPr>
          <w:rFonts w:ascii="Times New Roman" w:hAnsi="Times New Roman" w:eastAsia="宋体"/>
          <w:b w:val="0"/>
          <w:i w:val="0"/>
          <w:color w:val="1A1A1A"/>
          <w:sz w:val="21"/>
        </w:rPr>
        <w:t>，同一设备在不同判读规则下敏感度可相差19个百分点</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，合并PPV的异质性达I²=98.5%</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这并不否定设备的技术能力，而是限定其结论的适用范围：一次提示所支持的推论是"值得接受确认性检查"，而不是"存在房颤"。第二环与第三环成立，意味着提示之后的路径已由指南写定；第四环不成立，意味着这条路径中没有可供中成药插入的位置。</w:t>
      </w:r>
    </w:p>
    <w:p>
      <w:pPr>
        <w:spacing w:after="120" w:line="360" w:lineRule="auto"/>
        <w:ind w:firstLine="420"/>
      </w:pPr>
      <w:r>
        <w:rPr>
          <w:rFonts w:ascii="Times New Roman" w:hAnsi="Times New Roman" w:eastAsia="宋体"/>
          <w:b w:val="0"/>
          <w:i w:val="0"/>
          <w:color w:val="1A1A1A"/>
          <w:sz w:val="21"/>
        </w:rPr>
        <w:t>四环之间是串联而非并联关系：设备准确性再高也不改变确诊须依赖心电图记录这一要求</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，指南对确诊路径的规定也不因个别研究报告了高PPV而放宽。三个相互独立的视角在此汇合——准确性视角显示合并PPV受患病率驱动且异质性极高</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，临床终点视角显示提示后就医者中仅11.4%获得有临床处置价值的诊断</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，指南视角显示消费级技术的效用证据过于稀少</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、其定位是筛查工具</w:t>
      </w:r>
      <w:r>
        <w:rPr>
          <w:rFonts w:ascii="Times New Roman" w:hAnsi="Times New Roman" w:eastAsia="宋体"/>
          <w:b w:val="0"/>
          <w:i w:val="0"/>
          <w:color w:val="1A1A1A"/>
          <w:sz w:val="21"/>
          <w:vertAlign w:val="superscript"/>
        </w:rPr>
        <w:t>[13-14]</w:t>
      </w:r>
      <w:r>
        <w:rPr>
          <w:rFonts w:ascii="Times New Roman" w:hAnsi="Times New Roman" w:eastAsia="宋体"/>
          <w:b w:val="0"/>
          <w:i w:val="0"/>
          <w:color w:val="1A1A1A"/>
          <w:sz w:val="21"/>
        </w:rPr>
        <w:t>。</w:t>
      </w:r>
    </w:p>
    <w:p>
      <w:pPr>
        <w:spacing w:after="80" w:line="312" w:lineRule="auto" w:before="160"/>
      </w:pPr>
      <w:r>
        <w:rPr>
          <w:rFonts w:ascii="Times New Roman" w:hAnsi="Times New Roman" w:eastAsia="黑体"/>
          <w:b/>
          <w:i w:val="0"/>
          <w:color w:val="1A1A1A"/>
          <w:sz w:val="22"/>
        </w:rPr>
        <w:t>4.2 人群错配是假阳性问题的根源</w:t>
      </w:r>
    </w:p>
    <w:p>
      <w:pPr>
        <w:spacing w:after="120" w:line="360" w:lineRule="auto"/>
        <w:ind w:firstLine="420"/>
      </w:pPr>
      <w:r>
        <w:rPr>
          <w:rFonts w:ascii="Times New Roman" w:hAnsi="Times New Roman" w:eastAsia="宋体"/>
          <w:b w:val="0"/>
          <w:i w:val="0"/>
          <w:color w:val="1A1A1A"/>
          <w:sz w:val="21"/>
        </w:rPr>
        <w:t>消费级设备面临一处典型的人群错配：房颤患病率随年龄陡升，而设备用户以年轻人为主。美国仅4.6%的智能手表用户年龄超过65岁</w:t>
      </w:r>
      <w:r>
        <w:rPr>
          <w:rFonts w:ascii="Times New Roman" w:hAnsi="Times New Roman" w:eastAsia="宋体"/>
          <w:b w:val="0"/>
          <w:i w:val="0"/>
          <w:color w:val="1A1A1A"/>
          <w:sz w:val="21"/>
          <w:vertAlign w:val="superscript"/>
        </w:rPr>
        <w:t>[6-7]</w:t>
      </w:r>
      <w:r>
        <w:rPr>
          <w:rFonts w:ascii="Times New Roman" w:hAnsi="Times New Roman" w:eastAsia="宋体"/>
          <w:b w:val="0"/>
          <w:i w:val="0"/>
          <w:color w:val="1A1A1A"/>
          <w:sz w:val="21"/>
        </w:rPr>
        <w:t>，苹果心脏研究参与者平均年龄41岁</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，而中国55~59岁人群的房颤患病率仅0.72%</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在这种配置下，即便算法特异度达到厂家自报水平，提示的PPV仍会大幅下降（表3）。其代价不止于统计层面，还包括被误报者的焦虑、后续检查的资源占用与不适当地启动治疗的风险，而抗凝治疗本身可导致出血</w:t>
      </w:r>
      <w:r>
        <w:rPr>
          <w:rFonts w:ascii="Times New Roman" w:hAnsi="Times New Roman" w:eastAsia="宋体"/>
          <w:b w:val="0"/>
          <w:i w:val="0"/>
          <w:color w:val="1A1A1A"/>
          <w:sz w:val="21"/>
          <w:vertAlign w:val="superscript"/>
        </w:rPr>
        <w:t>[6-7]</w:t>
      </w:r>
      <w:r>
        <w:rPr>
          <w:rFonts w:ascii="Times New Roman" w:hAnsi="Times New Roman" w:eastAsia="宋体"/>
          <w:b w:val="0"/>
          <w:i w:val="0"/>
          <w:color w:val="1A1A1A"/>
          <w:sz w:val="21"/>
        </w:rPr>
        <w:t>；提示后就医者中仅11.4%获得有临床处置价值的心血管诊断</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，正是这一代价在医疗系统一侧的表现。</w:t>
      </w:r>
    </w:p>
    <w:p>
      <w:pPr>
        <w:spacing w:after="120" w:line="360" w:lineRule="auto"/>
        <w:ind w:firstLine="420"/>
      </w:pPr>
      <w:r>
        <w:rPr>
          <w:rFonts w:ascii="Times New Roman" w:hAnsi="Times New Roman" w:eastAsia="宋体"/>
          <w:b w:val="0"/>
          <w:i w:val="0"/>
          <w:color w:val="1A1A1A"/>
          <w:sz w:val="21"/>
        </w:rPr>
        <w:t>推算与实测的作用并不相同：前者给出量级判断且对特异度高度敏感，后者受提示定义与确认方式影响，两者均不能直接外推，但共同支持一个方向性结论——在低危年轻人群中，假阳性是设备提示的主要后果。这也解释了为何指南把设备筛查的推荐限定在老年与高危人群</w:t>
      </w:r>
      <w:r>
        <w:rPr>
          <w:rFonts w:ascii="Times New Roman" w:hAnsi="Times New Roman" w:eastAsia="宋体"/>
          <w:b w:val="0"/>
          <w:i w:val="0"/>
          <w:color w:val="1A1A1A"/>
          <w:sz w:val="21"/>
          <w:vertAlign w:val="superscript"/>
        </w:rPr>
        <w:t>[9,13]</w:t>
      </w:r>
      <w:r>
        <w:rPr>
          <w:rFonts w:ascii="Times New Roman" w:hAnsi="Times New Roman" w:eastAsia="宋体"/>
          <w:b w:val="0"/>
          <w:i w:val="0"/>
          <w:color w:val="1A1A1A"/>
          <w:sz w:val="21"/>
        </w:rPr>
        <w:t>，为何USPSTF指出现有证据不足以确定心电图筛查引起的不必要随访与治疗可能造成的危害</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，以及为何在高房颤概率人群中开展系统的机会性筛查被认为可能是更有效率的资源使用方式</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w:t>
      </w:r>
    </w:p>
    <w:p>
      <w:pPr>
        <w:spacing w:after="80" w:line="312" w:lineRule="auto" w:before="160"/>
      </w:pPr>
      <w:r>
        <w:rPr>
          <w:rFonts w:ascii="Times New Roman" w:hAnsi="Times New Roman" w:eastAsia="黑体"/>
          <w:b/>
          <w:i w:val="0"/>
          <w:color w:val="1A1A1A"/>
          <w:sz w:val="22"/>
        </w:rPr>
        <w:t>4.3 阴性结论的强度、边界与安全相关表述</w:t>
      </w:r>
    </w:p>
    <w:p>
      <w:pPr>
        <w:spacing w:after="120" w:line="360" w:lineRule="auto"/>
        <w:ind w:firstLine="420"/>
      </w:pPr>
      <w:r>
        <w:rPr>
          <w:rFonts w:ascii="Times New Roman" w:hAnsi="Times New Roman" w:eastAsia="宋体"/>
          <w:b w:val="0"/>
          <w:i w:val="0"/>
          <w:color w:val="1A1A1A"/>
          <w:sz w:val="21"/>
        </w:rPr>
        <w:t>本研究对速效救心丸的判定是一项阴性结论，其强度来自三条相互独立的证据线同时为阴性：批准适应症不含房颤</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；41项随机对照试验、6 276例的临床证据全部来自冠心病人群</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指南体系中未检索到推荐其用于房颤的条目。三条证据线分属监管文件、临床研究与推荐意见，不易被单一来源的更新推翻。该药在其适应症内的证据强度本身也有限：多数纳入研究因缺乏双盲设计而获得低Jadad评分</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，系统评价的结论亦为"可能有效但证据薄弱"</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阴性结论有其表述边界。"无证据"不等于"已被证伪"，检索未发现支持性研究并不排除未来出现相关研究的可能；但在现有证据格局下，以"辅助""改善循环"等模糊表述为其在房颤中的使用辩护，缺乏可引用的依据。动物与离体研究中关于抑制L型钙电流与减少心室颤动诱发的报道，其结局与房颤在发生部位、机制与临床后果上均不相同，不能作为旁证。对2025年《中国心房颤动管理指南》中的"中医药预防"表述，本研究因全文未纳入核验而既不据以支持、也不据以否定任何具体中成药，将其如实记为一处证据缺口</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就用药安全而言，上述证据结构支持一条不打折扣的表述：房颤提示或确诊之后，不应以速效救心丸替代心电图确认、风险分层与抗凝，以免延误卒中预防</w:t>
      </w:r>
      <w:r>
        <w:rPr>
          <w:rFonts w:ascii="Times New Roman" w:hAnsi="Times New Roman" w:eastAsia="宋体"/>
          <w:b w:val="0"/>
          <w:i w:val="0"/>
          <w:color w:val="1A1A1A"/>
          <w:sz w:val="21"/>
          <w:vertAlign w:val="superscript"/>
        </w:rPr>
        <w:t>[15,17]</w:t>
      </w:r>
      <w:r>
        <w:rPr>
          <w:rFonts w:ascii="Times New Roman" w:hAnsi="Times New Roman" w:eastAsia="宋体"/>
          <w:b w:val="0"/>
          <w:i w:val="0"/>
          <w:color w:val="1A1A1A"/>
          <w:sz w:val="21"/>
        </w:rPr>
        <w:t>。服用速效救心丸不是推迟就医或延迟呼叫急救的理由——即使已服用，也应在同一时间呼叫急救（中国为120），而非之后</w:t>
      </w:r>
      <w:r>
        <w:rPr>
          <w:rFonts w:ascii="Times New Roman" w:hAnsi="Times New Roman" w:eastAsia="宋体"/>
          <w:b w:val="0"/>
          <w:i w:val="0"/>
          <w:color w:val="1A1A1A"/>
          <w:sz w:val="21"/>
          <w:vertAlign w:val="superscript"/>
        </w:rPr>
        <w:t>[21]</w:t>
      </w:r>
      <w:r>
        <w:rPr>
          <w:rFonts w:ascii="Times New Roman" w:hAnsi="Times New Roman" w:eastAsia="宋体"/>
          <w:b w:val="0"/>
          <w:i w:val="0"/>
          <w:color w:val="1A1A1A"/>
          <w:sz w:val="21"/>
        </w:rPr>
        <w:t>。出现突然的胸部压榨样疼痛且不缓解、疼痛放射至上肢、颈部、下颌或背部，或伴出汗、恶心、头晕与气促时，应立即呼叫急救，不要延误</w:t>
      </w:r>
      <w:r>
        <w:rPr>
          <w:rFonts w:ascii="Times New Roman" w:hAnsi="Times New Roman" w:eastAsia="宋体"/>
          <w:b w:val="0"/>
          <w:i w:val="0"/>
          <w:color w:val="1A1A1A"/>
          <w:sz w:val="21"/>
          <w:vertAlign w:val="superscript"/>
        </w:rPr>
        <w:t>[21]</w:t>
      </w:r>
      <w:r>
        <w:rPr>
          <w:rFonts w:ascii="Times New Roman" w:hAnsi="Times New Roman" w:eastAsia="宋体"/>
          <w:b w:val="0"/>
          <w:i w:val="0"/>
          <w:color w:val="1A1A1A"/>
          <w:sz w:val="21"/>
        </w:rPr>
        <w:t>；房颤合并血流动力学不稳定属急症，需要紧急处理</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w:t>
      </w:r>
    </w:p>
    <w:p>
      <w:pPr>
        <w:spacing w:after="80" w:line="312" w:lineRule="auto" w:before="160"/>
      </w:pPr>
      <w:r>
        <w:rPr>
          <w:rFonts w:ascii="Times New Roman" w:hAnsi="Times New Roman" w:eastAsia="黑体"/>
          <w:b/>
          <w:i w:val="0"/>
          <w:color w:val="1A1A1A"/>
          <w:sz w:val="22"/>
        </w:rPr>
        <w:t>4.4 可以改变现有判断的证据形态</w:t>
      </w:r>
    </w:p>
    <w:p>
      <w:pPr>
        <w:spacing w:after="120" w:line="360" w:lineRule="auto"/>
        <w:ind w:firstLine="420"/>
      </w:pPr>
      <w:r>
        <w:rPr>
          <w:rFonts w:ascii="Times New Roman" w:hAnsi="Times New Roman" w:eastAsia="宋体"/>
          <w:b w:val="0"/>
          <w:i w:val="0"/>
          <w:color w:val="1A1A1A"/>
          <w:sz w:val="21"/>
        </w:rPr>
        <w:t>三类研究能够实质性改变本文的判断。其一，针对消费级设备提示人群的前瞻性队列，以标准12导联心电图或动态心电监测为参照，按年龄与提示定义分层报告PPV与假阳性率——现有三项最大规模研究均未按最终临床可处置诊断分层报告</w:t>
      </w:r>
      <w:r>
        <w:rPr>
          <w:rFonts w:ascii="Times New Roman" w:hAnsi="Times New Roman" w:eastAsia="宋体"/>
          <w:b w:val="0"/>
          <w:i w:val="0"/>
          <w:color w:val="1A1A1A"/>
          <w:sz w:val="21"/>
          <w:vertAlign w:val="superscript"/>
        </w:rPr>
        <w:t>[1-3,23]</w:t>
      </w:r>
      <w:r>
        <w:rPr>
          <w:rFonts w:ascii="Times New Roman" w:hAnsi="Times New Roman" w:eastAsia="宋体"/>
          <w:b w:val="0"/>
          <w:i w:val="0"/>
          <w:color w:val="1A1A1A"/>
          <w:sz w:val="21"/>
        </w:rPr>
        <w:t>，这正是当前PPV数值难以互相比较的根源；Fitbit心脏研究关于提示复发与心电图确认的随访报告可能提供部分信息，但其全文未纳入核验</w:t>
      </w:r>
      <w:r>
        <w:rPr>
          <w:rFonts w:ascii="Times New Roman" w:hAnsi="Times New Roman" w:eastAsia="宋体"/>
          <w:b w:val="0"/>
          <w:i w:val="0"/>
          <w:color w:val="1A1A1A"/>
          <w:sz w:val="21"/>
          <w:vertAlign w:val="superscript"/>
        </w:rPr>
        <w:t>[22]</w:t>
      </w:r>
      <w:r>
        <w:rPr>
          <w:rFonts w:ascii="Times New Roman" w:hAnsi="Times New Roman" w:eastAsia="宋体"/>
          <w:b w:val="0"/>
          <w:i w:val="0"/>
          <w:color w:val="1A1A1A"/>
          <w:sz w:val="21"/>
        </w:rPr>
        <w:t>。其二，以房颤患者为人群、以房颤相关结局为终点的速效救心丸随机对照试验；在此类研究出现之前，第四环的阴性判定不受挑战。其三，把设备检出与卒中等临床结局相关联的干预试验</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w:t>
      </w:r>
    </w:p>
    <w:p>
      <w:pPr>
        <w:spacing w:after="80" w:line="312" w:lineRule="auto" w:before="160"/>
      </w:pPr>
      <w:r>
        <w:rPr>
          <w:rFonts w:ascii="Times New Roman" w:hAnsi="Times New Roman" w:eastAsia="黑体"/>
          <w:b/>
          <w:i w:val="0"/>
          <w:color w:val="1A1A1A"/>
          <w:sz w:val="22"/>
        </w:rPr>
        <w:t>4.5 局限性</w:t>
      </w:r>
    </w:p>
    <w:p>
      <w:pPr>
        <w:spacing w:after="120" w:line="360" w:lineRule="auto"/>
        <w:ind w:firstLine="420"/>
      </w:pPr>
      <w:r>
        <w:rPr>
          <w:rFonts w:ascii="Times New Roman" w:hAnsi="Times New Roman" w:eastAsia="宋体"/>
          <w:b w:val="0"/>
          <w:i w:val="0"/>
          <w:color w:val="1A1A1A"/>
          <w:sz w:val="21"/>
        </w:rPr>
        <w:t>本研究的局限直接影响结论的适用范围。第一，证据形式的间接性：三项里程碑设备研究与两套关键指南的原文全文均未纳入核验，其数值与推荐文本经开放获取综述</w:t>
      </w:r>
      <w:r>
        <w:rPr>
          <w:rFonts w:ascii="Times New Roman" w:hAnsi="Times New Roman" w:eastAsia="宋体"/>
          <w:b w:val="0"/>
          <w:i w:val="0"/>
          <w:color w:val="1A1A1A"/>
          <w:sz w:val="21"/>
          <w:vertAlign w:val="superscript"/>
        </w:rPr>
        <w:t>[23]</w:t>
      </w:r>
      <w:r>
        <w:rPr>
          <w:rFonts w:ascii="Times New Roman" w:hAnsi="Times New Roman" w:eastAsia="宋体"/>
          <w:b w:val="0"/>
          <w:i w:val="0"/>
          <w:color w:val="1A1A1A"/>
          <w:sz w:val="21"/>
        </w:rPr>
        <w:t>与解读文献</w:t>
      </w:r>
      <w:r>
        <w:rPr>
          <w:rFonts w:ascii="Times New Roman" w:hAnsi="Times New Roman" w:eastAsia="宋体"/>
          <w:b w:val="0"/>
          <w:i w:val="0"/>
          <w:color w:val="1A1A1A"/>
          <w:sz w:val="21"/>
          <w:vertAlign w:val="superscript"/>
        </w:rPr>
        <w:t>[9,11-12]</w:t>
      </w:r>
      <w:r>
        <w:rPr>
          <w:rFonts w:ascii="Times New Roman" w:hAnsi="Times New Roman" w:eastAsia="宋体"/>
          <w:b w:val="0"/>
          <w:i w:val="0"/>
          <w:color w:val="1A1A1A"/>
          <w:sz w:val="21"/>
        </w:rPr>
        <w:t>核读并与发表摘要交叉核对，仍存在转述差异的风险。第二，合并估计的异质性：Meta分析的合并敏感度100%与阴性预测值100%系不同研究定义下的合并，PPV合并异质性达I²=98.5%</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，本文因此避免以合并值代表任一具体设备的性能。第三，人群外推性：苹果心脏研究以平均41岁、68%为白人的人群为主</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对中国老年人群的适用性有限；本文对低危年轻人群的推算属外推而非实测，其区间对特异度高度敏感。第四，检索覆盖的语言与数据库限制：本研究未检索中国知网、万方等中文全文数据库，无法排除未被索引的灰色文献中存在低质量个案或小样本报告；所纳入的中成药Meta分析本身检索了中文数据库（截至2016年6月），其纳入人群仍全部为冠心病</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，这降低但未消除该局限的影响。第五，来源层级的不均衡：2025年《中国心房颤动管理指南》、NICE指南NG196与USPSTF推荐声明的原文均未纳入核验，本文对其内容的使用严格限于可追溯的转述</w:t>
      </w:r>
      <w:r>
        <w:rPr>
          <w:rFonts w:ascii="Times New Roman" w:hAnsi="Times New Roman" w:eastAsia="宋体"/>
          <w:b w:val="0"/>
          <w:i w:val="0"/>
          <w:color w:val="1A1A1A"/>
          <w:sz w:val="21"/>
          <w:vertAlign w:val="superscript"/>
        </w:rPr>
        <w:t>[18-20]</w:t>
      </w:r>
      <w:r>
        <w:rPr>
          <w:rFonts w:ascii="Times New Roman" w:hAnsi="Times New Roman" w:eastAsia="宋体"/>
          <w:b w:val="0"/>
          <w:i w:val="0"/>
          <w:color w:val="1A1A1A"/>
          <w:sz w:val="21"/>
        </w:rPr>
        <w:t>。第六，体裁限制：本研究未实施双人独立筛选与资料提取，未作前瞻性注册，亦未进行定量合并，选择性偏倚与提取误差无法通过流程排除。第七，时效性：检索截至2026年8月4日，此后发布的新证据可能改变部分推荐。</w:t>
      </w:r>
    </w:p>
    <w:p>
      <w:pPr>
        <w:spacing w:after="120" w:line="312" w:lineRule="auto" w:before="240"/>
      </w:pPr>
      <w:r>
        <w:rPr>
          <w:rFonts w:ascii="Times New Roman" w:hAnsi="Times New Roman" w:eastAsia="黑体"/>
          <w:b/>
          <w:i w:val="0"/>
          <w:color w:val="1A1A1A"/>
          <w:sz w:val="26"/>
        </w:rPr>
        <w:t>5 结论</w:t>
      </w:r>
    </w:p>
    <w:p>
      <w:pPr>
        <w:spacing w:after="120" w:line="360" w:lineRule="auto"/>
        <w:ind w:firstLine="420"/>
      </w:pPr>
      <w:r>
        <w:rPr>
          <w:rFonts w:ascii="Times New Roman" w:hAnsi="Times New Roman" w:eastAsia="宋体"/>
          <w:b w:val="0"/>
          <w:i w:val="0"/>
          <w:color w:val="1A1A1A"/>
          <w:sz w:val="21"/>
        </w:rPr>
        <w:t>消费级可穿戴设备检出的"疑似房颤"是筛查信号而非诊断。准确性研究报告的合并敏感度与特异度虽高，但研究间异质性极大，同一设备的性能随判读规则移动，PPV随人群房颤患病率下降而下降；在以年轻低危人群为主体的用户群中，假阳性是提示的主要后果，其量级按实测PPV（上端取各类心律失常检出的合并值85%，下端取自动判读研究的54.8%）换算为每100次提示15~45次，按厂家自报性能与低患病率推算可达67~91次。三项大规模研究报告的PPV因分母定义不同不可比较，其共同信息是收到提示者中最终确认房颤的比例远低于全部提示。</w:t>
      </w:r>
    </w:p>
    <w:p>
      <w:pPr>
        <w:spacing w:after="120" w:line="360" w:lineRule="auto"/>
        <w:ind w:firstLine="420"/>
      </w:pPr>
      <w:r>
        <w:rPr>
          <w:rFonts w:ascii="Times New Roman" w:hAnsi="Times New Roman" w:eastAsia="宋体"/>
          <w:b w:val="0"/>
          <w:i w:val="0"/>
          <w:color w:val="1A1A1A"/>
          <w:sz w:val="21"/>
        </w:rPr>
        <w:t>指南规定的处置路径明确且跨体系一致：提示后就医，以标准心电图或动态心电监测确认或排除房颤；随后以CHA₂DS₂-VA（2024年ESC）或CHA₂DS₂-VASc（2023年ACC/AHA与中国共识）评分结合出血风险评估决定抗凝，符合条件者优先选择直接口服抗凝药，并按需安排节律或心室率控制与危险因素管理。除符合指征的抗凝外，指南体系中不存在可替代其卒中预防作用的处置；针对设备检出亚临床房颤的抗凝证据来自植入式装置人群，不能直接等同于消费级设备的提示。</w:t>
      </w:r>
    </w:p>
    <w:p>
      <w:pPr>
        <w:spacing w:after="120" w:line="360" w:lineRule="auto"/>
        <w:ind w:firstLine="420"/>
      </w:pPr>
      <w:r>
        <w:rPr>
          <w:rFonts w:ascii="Times New Roman" w:hAnsi="Times New Roman" w:eastAsia="宋体"/>
          <w:b w:val="0"/>
          <w:i w:val="0"/>
          <w:color w:val="1A1A1A"/>
          <w:sz w:val="21"/>
        </w:rPr>
        <w:t>速效救心丸在房颤场景中无适应症、无支持性临床证据、无指南推荐，不能用于房颤的任一治疗环节；设备提示后不应以该药或其他任何药物替代标准评估与抗凝决策。上述结论中，中国指南中成药条目因全文未能核验而保留为证据缺口，其余各环均可追溯至可核验的原文。</w:t>
      </w:r>
    </w:p>
    <w:p>
      <w:pPr>
        <w:spacing w:after="120" w:line="312" w:lineRule="auto" w:before="240"/>
      </w:pPr>
      <w:r>
        <w:rPr>
          <w:rFonts w:ascii="Times New Roman" w:hAnsi="Times New Roman" w:eastAsia="黑体"/>
          <w:b/>
          <w:i w:val="0"/>
          <w:color w:val="1A1A1A"/>
          <w:sz w:val="24"/>
        </w:rPr>
        <w:t>参考文献</w:t>
      </w:r>
    </w:p>
    <w:p>
      <w:pPr>
        <w:spacing w:after="60" w:line="312" w:lineRule="auto"/>
        <w:ind w:left="510" w:hanging="510"/>
      </w:pPr>
      <w:r>
        <w:rPr>
          <w:rFonts w:ascii="Times New Roman" w:hAnsi="Times New Roman" w:eastAsia="宋体"/>
          <w:b w:val="0"/>
          <w:i w:val="0"/>
          <w:color w:val="1A1A1A"/>
          <w:sz w:val="18"/>
        </w:rPr>
        <w:t>[1]</w:t>
      </w:r>
      <w:r>
        <w:rPr>
          <w:rFonts w:ascii="Times New Roman" w:hAnsi="Times New Roman" w:eastAsia="宋体"/>
          <w:b w:val="0"/>
          <w:i w:val="0"/>
          <w:color w:val="1A1A1A"/>
          <w:sz w:val="18"/>
        </w:rPr>
        <w:t xml:space="preserve"> PEREZ M V, MAHAFFEY K W, HEDLIN H, et al. Large-scale assessment of a smartwatch to identify atrial fibrillation[J]. New England Journal of Medicine, 2019, 381(20): 1909-1917. DOI: 10.1056/NEJMoa1901183.</w:t>
      </w:r>
    </w:p>
    <w:p>
      <w:pPr>
        <w:spacing w:after="60" w:line="312" w:lineRule="auto"/>
        <w:ind w:left="510" w:hanging="510"/>
      </w:pPr>
      <w:r>
        <w:rPr>
          <w:rFonts w:ascii="Times New Roman" w:hAnsi="Times New Roman" w:eastAsia="宋体"/>
          <w:b w:val="0"/>
          <w:i w:val="0"/>
          <w:color w:val="1A1A1A"/>
          <w:sz w:val="18"/>
        </w:rPr>
        <w:t>[2]</w:t>
      </w:r>
      <w:r>
        <w:rPr>
          <w:rFonts w:ascii="Times New Roman" w:hAnsi="Times New Roman" w:eastAsia="宋体"/>
          <w:b w:val="0"/>
          <w:i w:val="0"/>
          <w:color w:val="1A1A1A"/>
          <w:sz w:val="18"/>
        </w:rPr>
        <w:t xml:space="preserve"> LUBITZ S A, FARANESH A Z, SELVAGGI C, et al. Detection of atrial fibrillation in a large population using wearable devices: the Fitbit Heart Study[J]. Circulation, 2022, 146(19): 1415-1424. DOI: 10.1161/CIRCULATIONAHA.122.060291.</w:t>
      </w:r>
    </w:p>
    <w:p>
      <w:pPr>
        <w:spacing w:after="60" w:line="312" w:lineRule="auto"/>
        <w:ind w:left="510" w:hanging="510"/>
      </w:pPr>
      <w:r>
        <w:rPr>
          <w:rFonts w:ascii="Times New Roman" w:hAnsi="Times New Roman" w:eastAsia="宋体"/>
          <w:b w:val="0"/>
          <w:i w:val="0"/>
          <w:color w:val="1A1A1A"/>
          <w:sz w:val="18"/>
        </w:rPr>
        <w:t>[3]</w:t>
      </w:r>
      <w:r>
        <w:rPr>
          <w:rFonts w:ascii="Times New Roman" w:hAnsi="Times New Roman" w:eastAsia="宋体"/>
          <w:b w:val="0"/>
          <w:i w:val="0"/>
          <w:color w:val="1A1A1A"/>
          <w:sz w:val="18"/>
        </w:rPr>
        <w:t xml:space="preserve"> GUO Y, WANG H, ZHANG H, et al. Mobile photoplethysmographic technology to detect atrial fibrillation[J]. Journal of the American College of Cardiology, 2019, 74(19): 2365-2375. DOI: 10.1016/j.jacc.2019.08.019.</w:t>
      </w:r>
    </w:p>
    <w:p>
      <w:pPr>
        <w:spacing w:after="60" w:line="312" w:lineRule="auto"/>
        <w:ind w:left="510" w:hanging="510"/>
      </w:pPr>
      <w:r>
        <w:rPr>
          <w:rFonts w:ascii="Times New Roman" w:hAnsi="Times New Roman" w:eastAsia="宋体"/>
          <w:b w:val="0"/>
          <w:i w:val="0"/>
          <w:color w:val="1A1A1A"/>
          <w:sz w:val="18"/>
        </w:rPr>
        <w:t>[4]</w:t>
      </w:r>
      <w:r>
        <w:rPr>
          <w:rFonts w:ascii="Times New Roman" w:hAnsi="Times New Roman" w:eastAsia="宋体"/>
          <w:b w:val="0"/>
          <w:i w:val="0"/>
          <w:color w:val="1A1A1A"/>
          <w:sz w:val="18"/>
        </w:rPr>
        <w:t xml:space="preserve"> MANNHART D, LISCHER M, KNECHT S, et al. Clinical validation of 5 direct-to-consumer wearable smart devices to detect atrial fibrillation: BASEL Wearable Study[J]. JACC: Clinical Electrophysiology, 2023, 9(2): 232-242. DOI: 10.1016/j.jacep.2022.09.013.</w:t>
      </w:r>
    </w:p>
    <w:p>
      <w:pPr>
        <w:spacing w:after="60" w:line="312" w:lineRule="auto"/>
        <w:ind w:left="510" w:hanging="510"/>
      </w:pPr>
      <w:r>
        <w:rPr>
          <w:rFonts w:ascii="Times New Roman" w:hAnsi="Times New Roman" w:eastAsia="宋体"/>
          <w:b w:val="0"/>
          <w:i w:val="0"/>
          <w:color w:val="1A1A1A"/>
          <w:sz w:val="18"/>
        </w:rPr>
        <w:t>[5]</w:t>
      </w:r>
      <w:r>
        <w:rPr>
          <w:rFonts w:ascii="Times New Roman" w:hAnsi="Times New Roman" w:eastAsia="宋体"/>
          <w:b w:val="0"/>
          <w:i w:val="0"/>
          <w:color w:val="1A1A1A"/>
          <w:sz w:val="18"/>
        </w:rPr>
        <w:t xml:space="preserve"> BOGÁR O, PETŐ D, SIPOS D, et al. Detection of arrhythmias using smartwatches: a systematic literature review[J]. Healthcare, 2024, 12(9): 892. DOI: 10.3390/healthcare12090892.</w:t>
      </w:r>
    </w:p>
    <w:p>
      <w:pPr>
        <w:spacing w:after="60" w:line="312" w:lineRule="auto"/>
        <w:ind w:left="510" w:hanging="510"/>
      </w:pPr>
      <w:r>
        <w:rPr>
          <w:rFonts w:ascii="Times New Roman" w:hAnsi="Times New Roman" w:eastAsia="宋体"/>
          <w:b w:val="0"/>
          <w:i w:val="0"/>
          <w:color w:val="1A1A1A"/>
          <w:sz w:val="18"/>
        </w:rPr>
        <w:t>[6]</w:t>
      </w:r>
      <w:r>
        <w:rPr>
          <w:rFonts w:ascii="Times New Roman" w:hAnsi="Times New Roman" w:eastAsia="宋体"/>
          <w:b w:val="0"/>
          <w:i w:val="0"/>
          <w:color w:val="1A1A1A"/>
          <w:sz w:val="18"/>
        </w:rPr>
        <w:t xml:space="preserve"> NAZARIAN S, LAM K, DARZI A, et al. Diagnostic accuracy of smartwatches for the detection of cardiac arrhythmia: systematic review and meta-analysis[J]. Journal of Medical Internet Research, 2021, 23(8): e28974. DOI: 10.2196/28974.</w:t>
      </w:r>
    </w:p>
    <w:p>
      <w:pPr>
        <w:spacing w:after="60" w:line="312" w:lineRule="auto"/>
        <w:ind w:left="510" w:hanging="510"/>
      </w:pPr>
      <w:r>
        <w:rPr>
          <w:rFonts w:ascii="Times New Roman" w:hAnsi="Times New Roman" w:eastAsia="宋体"/>
          <w:b w:val="0"/>
          <w:i w:val="0"/>
          <w:color w:val="1A1A1A"/>
          <w:sz w:val="18"/>
        </w:rPr>
        <w:t>[7]</w:t>
      </w:r>
      <w:r>
        <w:rPr>
          <w:rFonts w:ascii="Times New Roman" w:hAnsi="Times New Roman" w:eastAsia="宋体"/>
          <w:b w:val="0"/>
          <w:i w:val="0"/>
          <w:color w:val="1A1A1A"/>
          <w:sz w:val="18"/>
        </w:rPr>
        <w:t xml:space="preserve"> PREDEL C, STEGER F. Ethical challenges with smartwatch-based screening for atrial fibrillation: putting users at risk for marketing purposes?[J]. Frontiers in Cardiovascular Medicine, 2021, 7: 615927. DOI: 10.3389/fcvm.2020.615927.</w:t>
      </w:r>
    </w:p>
    <w:p>
      <w:pPr>
        <w:spacing w:after="60" w:line="312" w:lineRule="auto"/>
        <w:ind w:left="510" w:hanging="510"/>
      </w:pPr>
      <w:r>
        <w:rPr>
          <w:rFonts w:ascii="Times New Roman" w:hAnsi="Times New Roman" w:eastAsia="宋体"/>
          <w:b w:val="0"/>
          <w:i w:val="0"/>
          <w:color w:val="1A1A1A"/>
          <w:sz w:val="18"/>
        </w:rPr>
        <w:t>[8]</w:t>
      </w:r>
      <w:r>
        <w:rPr>
          <w:rFonts w:ascii="Times New Roman" w:hAnsi="Times New Roman" w:eastAsia="宋体"/>
          <w:b w:val="0"/>
          <w:i w:val="0"/>
          <w:color w:val="1A1A1A"/>
          <w:sz w:val="18"/>
        </w:rPr>
        <w:t xml:space="preserve"> VAN GELDER I C, RIENSTRA M, BUNTING K V, et al. 2024 ESC guidelines for the management of atrial fibrillation developed in collaboration with the European Association for Cardio-Thoracic Surgery (EACTS)[J]. European Heart Journal, 2024, 45(36): 3314-3414. DOI: 10.1093/eurheartj/ehae176.</w:t>
      </w:r>
    </w:p>
    <w:p>
      <w:pPr>
        <w:spacing w:after="60" w:line="312" w:lineRule="auto"/>
        <w:ind w:left="510" w:hanging="510"/>
      </w:pPr>
      <w:r>
        <w:rPr>
          <w:rFonts w:ascii="Times New Roman" w:hAnsi="Times New Roman" w:eastAsia="宋体"/>
          <w:b w:val="0"/>
          <w:i w:val="0"/>
          <w:color w:val="1A1A1A"/>
          <w:sz w:val="18"/>
        </w:rPr>
        <w:t>[9]</w:t>
      </w:r>
      <w:r>
        <w:rPr>
          <w:rFonts w:ascii="Times New Roman" w:hAnsi="Times New Roman" w:eastAsia="宋体"/>
          <w:b w:val="0"/>
          <w:i w:val="0"/>
          <w:color w:val="1A1A1A"/>
          <w:sz w:val="18"/>
        </w:rPr>
        <w:t xml:space="preserve"> RIENSTRA M, TZEIS S, BUNTING K V, et al. Spotlight on the 2024 ESC/EACTS management of atrial fibrillation guidelines: 10 novel key aspects[J]. Europace, 2024, 26(12): euae298. DOI: 10.1093/europace/euae298.</w:t>
      </w:r>
    </w:p>
    <w:p>
      <w:pPr>
        <w:spacing w:after="60" w:line="312" w:lineRule="auto"/>
        <w:ind w:left="510" w:hanging="510"/>
      </w:pPr>
      <w:r>
        <w:rPr>
          <w:rFonts w:ascii="Times New Roman" w:hAnsi="Times New Roman" w:eastAsia="宋体"/>
          <w:b w:val="0"/>
          <w:i w:val="0"/>
          <w:color w:val="1A1A1A"/>
          <w:sz w:val="18"/>
        </w:rPr>
        <w:t>[10]</w:t>
      </w:r>
      <w:r>
        <w:rPr>
          <w:rFonts w:ascii="Times New Roman" w:hAnsi="Times New Roman" w:eastAsia="宋体"/>
          <w:b w:val="0"/>
          <w:i w:val="0"/>
          <w:color w:val="1A1A1A"/>
          <w:sz w:val="18"/>
        </w:rPr>
        <w:t xml:space="preserve"> JOGLAR J A, CHUNG M K, ARMBRUSTER A L, et al. 2023 ACC/AHA/ACCP/HRS guideline for the diagnosis and management of atrial fibrillation: a report of the American College of Cardiology/American Heart Association Joint Committee on Clinical Practice Guidelines[J]. Circulation, 2024, 149(1): e1-e156. DOI: 10.1161/CIR.0000000000001193.</w:t>
      </w:r>
    </w:p>
    <w:p>
      <w:pPr>
        <w:spacing w:after="60" w:line="312" w:lineRule="auto"/>
        <w:ind w:left="510" w:hanging="510"/>
      </w:pPr>
      <w:r>
        <w:rPr>
          <w:rFonts w:ascii="Times New Roman" w:hAnsi="Times New Roman" w:eastAsia="宋体"/>
          <w:b w:val="0"/>
          <w:i w:val="0"/>
          <w:color w:val="1A1A1A"/>
          <w:sz w:val="18"/>
        </w:rPr>
        <w:t>[11]</w:t>
      </w:r>
      <w:r>
        <w:rPr>
          <w:rFonts w:ascii="Times New Roman" w:hAnsi="Times New Roman" w:eastAsia="宋体"/>
          <w:b w:val="0"/>
          <w:i w:val="0"/>
          <w:color w:val="1A1A1A"/>
          <w:sz w:val="18"/>
        </w:rPr>
        <w:t xml:space="preserve"> NACCARELLI G V, RACKLEY M, BORIANI G. New recommendations for rhythm control: what has changed in the 2023 ACC/AHA/ACCP/HRS and 2024 ESC guidelines for atrial fibrillation, and where does dronedarone fit in?[J]. American Heart Journal Plus, 2025, 60: 100645. DOI: 10.1016/j.ahjo.2025.100645.</w:t>
      </w:r>
    </w:p>
    <w:p>
      <w:pPr>
        <w:spacing w:after="60" w:line="312" w:lineRule="auto"/>
        <w:ind w:left="510" w:hanging="510"/>
      </w:pPr>
      <w:r>
        <w:rPr>
          <w:rFonts w:ascii="Times New Roman" w:hAnsi="Times New Roman" w:eastAsia="宋体"/>
          <w:b w:val="0"/>
          <w:i w:val="0"/>
          <w:color w:val="1A1A1A"/>
          <w:sz w:val="18"/>
        </w:rPr>
        <w:t>[12]</w:t>
      </w:r>
      <w:r>
        <w:rPr>
          <w:rFonts w:ascii="Times New Roman" w:hAnsi="Times New Roman" w:eastAsia="宋体"/>
          <w:b w:val="0"/>
          <w:i w:val="0"/>
          <w:color w:val="1A1A1A"/>
          <w:sz w:val="18"/>
        </w:rPr>
        <w:t xml:space="preserve"> PHAM T, IBRAHIM K, TRUONG H T, et al. Advances in atrial fibrillation management: a guide for general internists[J]. Journal of Clinical Medicine, 2024, 13(24): 7846. DOI: 10.3390/jcm13247846.</w:t>
      </w:r>
    </w:p>
    <w:p>
      <w:pPr>
        <w:spacing w:after="60" w:line="312" w:lineRule="auto"/>
        <w:ind w:left="510" w:hanging="510"/>
      </w:pPr>
      <w:r>
        <w:rPr>
          <w:rFonts w:ascii="Times New Roman" w:hAnsi="Times New Roman" w:eastAsia="宋体"/>
          <w:b w:val="0"/>
          <w:i w:val="0"/>
          <w:color w:val="1A1A1A"/>
          <w:sz w:val="18"/>
        </w:rPr>
        <w:t>[13]</w:t>
      </w:r>
      <w:r>
        <w:rPr>
          <w:rFonts w:ascii="Times New Roman" w:hAnsi="Times New Roman" w:eastAsia="宋体"/>
          <w:b w:val="0"/>
          <w:i w:val="0"/>
          <w:color w:val="1A1A1A"/>
          <w:sz w:val="18"/>
        </w:rPr>
        <w:t xml:space="preserve"> WANG Y, GUO Y, QIN M, et al. 2024 Chinese expert consensus guidelines on the diagnosis and treatment of atrial fibrillation in the elderly: executive summary[J]. Thrombosis and Haemostasis, 2024, 124(10): 897-909. DOI: 10.1055/a-2325-5923.</w:t>
      </w:r>
    </w:p>
    <w:p>
      <w:pPr>
        <w:spacing w:after="60" w:line="312" w:lineRule="auto"/>
        <w:ind w:left="510" w:hanging="510"/>
      </w:pPr>
      <w:r>
        <w:rPr>
          <w:rFonts w:ascii="Times New Roman" w:hAnsi="Times New Roman" w:eastAsia="宋体"/>
          <w:b w:val="0"/>
          <w:i w:val="0"/>
          <w:color w:val="1A1A1A"/>
          <w:sz w:val="18"/>
        </w:rPr>
        <w:t>[14]</w:t>
      </w:r>
      <w:r>
        <w:rPr>
          <w:rFonts w:ascii="Times New Roman" w:hAnsi="Times New Roman" w:eastAsia="宋体"/>
          <w:b w:val="0"/>
          <w:i w:val="0"/>
          <w:color w:val="1A1A1A"/>
          <w:sz w:val="18"/>
        </w:rPr>
        <w:t xml:space="preserve"> JENSEN M T, TRESKES R W, CAIANI E G, et al. ESC working group on e-cardiology position paper: use of commercially available wearable technology for heart rate and activity tracking in primary and secondary cardiovascular prevention[J]. European Heart Journal - Digital Health, 2021, 2(1): 49-59. DOI: 10.1093/ehjdh/ztab011.</w:t>
      </w:r>
    </w:p>
    <w:p>
      <w:pPr>
        <w:spacing w:after="60" w:line="312" w:lineRule="auto"/>
        <w:ind w:left="510" w:hanging="510"/>
      </w:pPr>
      <w:r>
        <w:rPr>
          <w:rFonts w:ascii="Times New Roman" w:hAnsi="Times New Roman" w:eastAsia="宋体"/>
          <w:b w:val="0"/>
          <w:i w:val="0"/>
          <w:color w:val="1A1A1A"/>
          <w:sz w:val="18"/>
        </w:rPr>
        <w:t>[15]</w:t>
      </w:r>
      <w:r>
        <w:rPr>
          <w:rFonts w:ascii="Times New Roman" w:hAnsi="Times New Roman" w:eastAsia="宋体"/>
          <w:b w:val="0"/>
          <w:i w:val="0"/>
          <w:color w:val="1A1A1A"/>
          <w:sz w:val="18"/>
        </w:rPr>
        <w:t xml:space="preserve"> REN L, WANG J, FENG L, et al. Efficacy of suxiao jiuxin pill on coronary heart disease: a meta-analysis of randomized controlled trials[J]. Evidence-Based Complementary and Alternative Medicine, 2018, 2018: 9745804. DOI: 10.1155/2018/9745804.</w:t>
      </w:r>
    </w:p>
    <w:p>
      <w:pPr>
        <w:spacing w:after="60" w:line="312" w:lineRule="auto"/>
        <w:ind w:left="510" w:hanging="510"/>
      </w:pPr>
      <w:r>
        <w:rPr>
          <w:rFonts w:ascii="Times New Roman" w:hAnsi="Times New Roman" w:eastAsia="宋体"/>
          <w:b w:val="0"/>
          <w:i w:val="0"/>
          <w:color w:val="1A1A1A"/>
          <w:sz w:val="18"/>
        </w:rPr>
        <w:t>[16]</w:t>
      </w:r>
      <w:r>
        <w:rPr>
          <w:rFonts w:ascii="Times New Roman" w:hAnsi="Times New Roman" w:eastAsia="宋体"/>
          <w:b w:val="0"/>
          <w:i w:val="0"/>
          <w:color w:val="1A1A1A"/>
          <w:sz w:val="18"/>
        </w:rPr>
        <w:t xml:space="preserve"> DUAN X, ZHOU L, WU T, et al. Chinese herbal medicine suxiao jiuxin wan for angina pectoris[J]. Cochrane Database of Systematic Reviews, 2008(1): CD005117. DOI: 10.1002/14651858.CD005117.pub2.</w:t>
      </w:r>
    </w:p>
    <w:p>
      <w:pPr>
        <w:spacing w:after="60" w:line="312" w:lineRule="auto"/>
        <w:ind w:left="510" w:hanging="510"/>
      </w:pPr>
      <w:r>
        <w:rPr>
          <w:rFonts w:ascii="Times New Roman" w:hAnsi="Times New Roman" w:eastAsia="宋体"/>
          <w:b w:val="0"/>
          <w:i w:val="0"/>
          <w:color w:val="1A1A1A"/>
          <w:sz w:val="18"/>
        </w:rPr>
        <w:t>[17]</w:t>
      </w:r>
      <w:r>
        <w:rPr>
          <w:rFonts w:ascii="Times New Roman" w:hAnsi="Times New Roman" w:eastAsia="宋体"/>
          <w:b w:val="0"/>
          <w:i w:val="0"/>
          <w:color w:val="1A1A1A"/>
          <w:sz w:val="18"/>
        </w:rPr>
        <w:t xml:space="preserve"> 津药达仁堂集团股份有限公司第六中药厂. 速效救心丸药品说明书[DB/OL]. 国家药品监督管理局药品说明书数据记录</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w:t>
      </w:r>
    </w:p>
    <w:p>
      <w:pPr>
        <w:spacing w:after="60" w:line="312" w:lineRule="auto"/>
        <w:ind w:left="510" w:hanging="510"/>
      </w:pPr>
      <w:r>
        <w:rPr>
          <w:rFonts w:ascii="Times New Roman" w:hAnsi="Times New Roman" w:eastAsia="宋体"/>
          <w:b w:val="0"/>
          <w:i w:val="0"/>
          <w:color w:val="1A1A1A"/>
          <w:sz w:val="18"/>
        </w:rPr>
        <w:t>[18]</w:t>
      </w:r>
      <w:r>
        <w:rPr>
          <w:rFonts w:ascii="Times New Roman" w:hAnsi="Times New Roman" w:eastAsia="宋体"/>
          <w:b w:val="0"/>
          <w:i w:val="0"/>
          <w:color w:val="1A1A1A"/>
          <w:sz w:val="18"/>
        </w:rPr>
        <w:t xml:space="preserve"> 中华医学会心电生理和起搏分会, 中国医师协会心律学专业委员会. 中国心房颤动管理指南[J]. 中华心律失常学杂志, 2025.</w:t>
      </w:r>
    </w:p>
    <w:p>
      <w:pPr>
        <w:spacing w:after="60" w:line="312" w:lineRule="auto"/>
        <w:ind w:left="510" w:hanging="510"/>
      </w:pPr>
      <w:r>
        <w:rPr>
          <w:rFonts w:ascii="Times New Roman" w:hAnsi="Times New Roman" w:eastAsia="宋体"/>
          <w:b w:val="0"/>
          <w:i w:val="0"/>
          <w:color w:val="1A1A1A"/>
          <w:sz w:val="18"/>
        </w:rPr>
        <w:t>[19]</w:t>
      </w:r>
      <w:r>
        <w:rPr>
          <w:rFonts w:ascii="Times New Roman" w:hAnsi="Times New Roman" w:eastAsia="宋体"/>
          <w:b w:val="0"/>
          <w:i w:val="0"/>
          <w:color w:val="1A1A1A"/>
          <w:sz w:val="18"/>
        </w:rPr>
        <w:t xml:space="preserve"> National Institute for Health and Care Excellence. Atrial fibrillation: diagnosis and management: NICE guideline NG196[EB/OL]. (2021)</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https://www.nice.org.uk/guidance/ng196.</w:t>
      </w:r>
    </w:p>
    <w:p>
      <w:pPr>
        <w:spacing w:after="60" w:line="312" w:lineRule="auto"/>
        <w:ind w:left="510" w:hanging="510"/>
      </w:pPr>
      <w:r>
        <w:rPr>
          <w:rFonts w:ascii="Times New Roman" w:hAnsi="Times New Roman" w:eastAsia="宋体"/>
          <w:b w:val="0"/>
          <w:i w:val="0"/>
          <w:color w:val="1A1A1A"/>
          <w:sz w:val="18"/>
        </w:rPr>
        <w:t>[20]</w:t>
      </w:r>
      <w:r>
        <w:rPr>
          <w:rFonts w:ascii="Times New Roman" w:hAnsi="Times New Roman" w:eastAsia="宋体"/>
          <w:b w:val="0"/>
          <w:i w:val="0"/>
          <w:color w:val="1A1A1A"/>
          <w:sz w:val="18"/>
        </w:rPr>
        <w:t xml:space="preserve"> US Preventive Services Task Force. Screening for atrial fibrillation: US Preventive Services Task Force recommendation statement[J]. JAMA, 2022, 327(4): 360-368. DOI: 10.1001/jama.2021.23732.</w:t>
      </w:r>
    </w:p>
    <w:p>
      <w:pPr>
        <w:spacing w:after="60" w:line="312" w:lineRule="auto"/>
        <w:ind w:left="510" w:hanging="510"/>
      </w:pPr>
      <w:r>
        <w:rPr>
          <w:rFonts w:ascii="Times New Roman" w:hAnsi="Times New Roman" w:eastAsia="宋体"/>
          <w:b w:val="0"/>
          <w:i w:val="0"/>
          <w:color w:val="1A1A1A"/>
          <w:sz w:val="18"/>
        </w:rPr>
        <w:t>[21]</w:t>
      </w:r>
      <w:r>
        <w:rPr>
          <w:rFonts w:ascii="Times New Roman" w:hAnsi="Times New Roman" w:eastAsia="宋体"/>
          <w:b w:val="0"/>
          <w:i w:val="0"/>
          <w:color w:val="1A1A1A"/>
          <w:sz w:val="18"/>
        </w:rPr>
        <w:t xml:space="preserve"> National Health Service. Chest pain[EB/OL]. (2023-08-08)</w:t>
      </w:r>
      <w:r>
        <w:rPr>
          <w:rFonts w:ascii="Times New Roman" w:hAnsi="Times New Roman" w:eastAsia="宋体"/>
          <w:b w:val="0"/>
          <w:i w:val="0"/>
          <w:color w:val="1A1A1A"/>
          <w:sz w:val="18"/>
        </w:rPr>
        <w:t>[2026-08-04]</w:t>
      </w:r>
      <w:r>
        <w:rPr>
          <w:rFonts w:ascii="Times New Roman" w:hAnsi="Times New Roman" w:eastAsia="宋体"/>
          <w:b w:val="0"/>
          <w:i w:val="0"/>
          <w:color w:val="1A1A1A"/>
          <w:sz w:val="18"/>
        </w:rPr>
        <w:t>. https://www.nhs.uk/symptoms/chest-pain/.</w:t>
      </w:r>
    </w:p>
    <w:p>
      <w:pPr>
        <w:spacing w:after="60" w:line="312" w:lineRule="auto"/>
        <w:ind w:left="510" w:hanging="510"/>
      </w:pPr>
      <w:r>
        <w:rPr>
          <w:rFonts w:ascii="Times New Roman" w:hAnsi="Times New Roman" w:eastAsia="宋体"/>
          <w:b w:val="0"/>
          <w:i w:val="0"/>
          <w:color w:val="1A1A1A"/>
          <w:sz w:val="18"/>
        </w:rPr>
        <w:t>[22]</w:t>
      </w:r>
      <w:r>
        <w:rPr>
          <w:rFonts w:ascii="Times New Roman" w:hAnsi="Times New Roman" w:eastAsia="宋体"/>
          <w:b w:val="0"/>
          <w:i w:val="0"/>
          <w:color w:val="1A1A1A"/>
          <w:sz w:val="18"/>
        </w:rPr>
        <w:t xml:space="preserve"> LUBITZ S A, FARANESH A Z, ATLAS S J, et al. Wearable irregular heart rhythm detection recurrences and electrocardiographic atrial fibrillation confirmation: the Fitbit Heart Study[J]. Circulation: Arrhythmia and Electrophysiology, 2025. PMID: 40557492.</w:t>
      </w:r>
    </w:p>
    <w:p>
      <w:pPr>
        <w:spacing w:after="60" w:line="312" w:lineRule="auto"/>
        <w:ind w:left="510" w:hanging="510"/>
      </w:pPr>
      <w:r>
        <w:rPr>
          <w:rFonts w:ascii="Times New Roman" w:hAnsi="Times New Roman" w:eastAsia="宋体"/>
          <w:b w:val="0"/>
          <w:i w:val="0"/>
          <w:color w:val="1A1A1A"/>
          <w:sz w:val="18"/>
        </w:rPr>
        <w:t>[23]</w:t>
      </w:r>
      <w:r>
        <w:rPr>
          <w:rFonts w:ascii="Times New Roman" w:hAnsi="Times New Roman" w:eastAsia="宋体"/>
          <w:b w:val="0"/>
          <w:i w:val="0"/>
          <w:color w:val="1A1A1A"/>
          <w:sz w:val="18"/>
        </w:rPr>
        <w:t xml:space="preserve"> ABDELRAZIK M, ELDESOUKY N, ANTOUN I, et al. Wearable devices for arrhythmia detection: advancements and clinical implications[J]. Sensors, 2025, 25(9): 2848. DOI: 10.3390/s25092848.</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