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急性胸痛院外自救用药的证据评价：舌下含服硝酸甘油与速效救心丸的比较及 ALDH2 rs671 变异的人群学意义</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目的</w:t>
      </w:r>
      <w:r>
        <w:rPr>
          <w:rFonts w:ascii="Times New Roman" w:hAnsi="Times New Roman" w:eastAsia="宋体"/>
          <w:b w:val="0"/>
          <w:color w:val="1A1A1A"/>
          <w:sz w:val="21"/>
        </w:rPr>
        <w:t>：评价舌下含服硝酸甘油与速效救心丸在急性胸痛院外自救场景中的疗效与安全性证据层级，核查 ALDH2 rs671 变异与硝酸甘油疗效的关系及其在中国人群中的流行程度，并检验“含药后缓解提示心绞痛”与“先服药、再观察、后呼救”两类经验性推断的证据基础。</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：检索 PubMed、Europe PMC、Crossref、ClinicalTrials.gov、NMPA 药品说明书索引与国内外指南索引（ESC、AHA/ACC、中华医学会相关文件），检索日期为 2026-08-12；按系统评价、随机对照试验、前瞻性队列、注册研究的次序设定证据门槛，以 RoB 2、ROBINS-I、QUADAS-2、AMSTAR 2 评估偏倚风险，以 GRADE 表达证据体确定性。检索主题组、逐条检索式与筛选流程见资料与方法。</w:t>
      </w:r>
    </w:p>
    <w:p>
      <w:pPr>
        <w:spacing w:after="120" w:before="0" w:line="348" w:lineRule="auto"/>
      </w:pPr>
      <w:r>
        <w:rPr>
          <w:rFonts w:ascii="Times New Roman" w:hAnsi="Times New Roman" w:eastAsia="宋体"/>
          <w:b/>
          <w:color w:val="1A1A1A"/>
          <w:sz w:val="21"/>
        </w:rPr>
        <w:t>结果</w:t>
      </w:r>
      <w:r>
        <w:rPr>
          <w:rFonts w:ascii="Times New Roman" w:hAnsi="Times New Roman" w:eastAsia="宋体"/>
          <w:b w:val="0"/>
          <w:color w:val="1A1A1A"/>
          <w:sz w:val="21"/>
        </w:rPr>
        <w:t>：含服硝酸甘油后疼痛缓解作为心源性胸痛的诊断试验，敏感度 72%（64%–80%）、特异度 37%（34%–41%）、阳性似然比 1.1（0.96–1.34）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（）；含服后缓解与否不能区分心源性与非心源性胸痛。东亚人群中约 40% 携带 ALDH2 Glu504Lys（rs671）变异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（）；山东青岛汉族队列 G/A 等位基因频率为 82.8%–17.2% 与 81.4%–18.6%，携带 A 等位基因者（GA+AA）占 44.9% 与 49.3%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（）（）〔推导〕（）；冠心病患者中野生型（GG）与突变型（GA/AA）含服硝酸甘油的缓解率分别为 79.4% 与 50.6%（P&lt;0.01）</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（），但日本研究未发现舌下硝酸甘油血管扩张的基因型差异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（）。速效救心丸的随机对照证据来自 41 项、共 6276 例冠心病患者的慢性管理研究（主要终点为心电图改善），与硝酸甘油对照的亚组心电图改善 RR 1.35（95%CI 1.16 至 1.56），但多数研究 Jadad 评分低、缺乏双盲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（）（）（）。救护车（EMS）延误每增加 30 分钟，STEMI 患者 30 天死亡风险升高（校正 OR 1.20，95%CI 1.02 至 1.40）</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（）；再灌注时间从 30 分钟延长至 150 分钟时，校正院内死亡率从 3.0% 升至 7.0%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：现有证据支持舌下硝酸甘油在已确诊心绞痛患者中快速缓解发作症状，但其缓解与否无胸痛病因鉴别价值；ALDH2 rs671 变异使硝酸甘油生物活化与含服缓解率下降具有药理学与部分人群研究支持，但“约半数中国人无效”的说法把携带率等同于无效率，超出了现有定量证据；速效救心丸的现有随机对照证据限于冠心病长期管理且确定性低，不足以支持其在急性胸痛院外自救中替代硝酸甘油或延迟呼救。呼救与急诊评估应优先于任何自行用药。</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：急性胸痛；院外自救；硝酸甘油；速效救心丸；ALDH2；rs671；诊断效能；院前延迟</w:t>
      </w:r>
    </w:p>
    <w:p>
      <w:pPr>
        <w:spacing w:after="100" w:before="240" w:line="300" w:lineRule="auto"/>
      </w:pPr>
      <w:r>
        <w:rPr>
          <w:rFonts w:ascii="Times New Roman" w:hAnsi="Times New Roman" w:eastAsia="黑体"/>
          <w:b/>
          <w:color w:val="1A1A1A"/>
          <w:sz w:val="25"/>
        </w:rPr>
        <w:t>引言</w:t>
      </w:r>
    </w:p>
    <w:p>
      <w:pPr>
        <w:spacing w:after="120" w:before="0" w:line="348" w:lineRule="auto"/>
        <w:ind w:firstLine="420"/>
      </w:pPr>
      <w:r>
        <w:rPr>
          <w:rFonts w:ascii="Times New Roman" w:hAnsi="Times New Roman" w:eastAsia="宋体"/>
          <w:b w:val="0"/>
          <w:color w:val="1A1A1A"/>
          <w:sz w:val="21"/>
        </w:rPr>
        <w:t xml:space="preserve">急性冠脉综合征（ACS）救治的时间依赖性是再灌注时代的核心命题，而院外阶段（从症状出现到首次医疗接触，FMC）是决定总缺血时间的最长环节。公众在这一环节面对两类来源与证据积累方式不同的药物：舌下含服硝酸甘油是经典抗心绞痛药物，被多个学会指南列为急诊与院前处理持续缺血症状的 I 类推荐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；速效救心丸是广泛用于冠心病心绞痛的中成药，其随机对照证据主要由中国境内的小样本试验构成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。两者何者可先用、能否互相替代、各自适用于哪一类胸痛，临床与公众认知长期存在分歧。</w:t>
      </w:r>
    </w:p>
    <w:p>
      <w:pPr>
        <w:spacing w:after="120" w:before="0" w:line="348" w:lineRule="auto"/>
        <w:ind w:firstLine="420"/>
      </w:pPr>
      <w:r>
        <w:rPr>
          <w:rFonts w:ascii="Times New Roman" w:hAnsi="Times New Roman" w:eastAsia="宋体"/>
          <w:b w:val="0"/>
          <w:color w:val="1A1A1A"/>
          <w:sz w:val="21"/>
        </w:rPr>
        <w:t xml:space="preserve">分歧的焦点在于所谓“硝酸甘油对约半数中国人无效”。该说法通常将 ALDH2 基因 Glu504Lys 变异（rs671，即 ALDH2*2）在东亚人群中的高携带率直接等同于硝酸甘油疗效缺失 </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从酶学表型（变异酶催化活性下降）到临床缓解率之间的推断链条能否被数据支持，需要逐项核验：等位基因频率是多少、酶活性下降多少、含服缓解率实际差多少、阴性结果是否存在。此外还有被广泛采用的经验性推断：“含药后疼痛缓解即提示心绞痛”，以及“先服药、再观察、后呼救”的处置顺序；前者属于可检验的诊断效能问题，后者需要与院前延迟的结局证据和现行指南的次序表述对照。</w:t>
      </w:r>
    </w:p>
    <w:p>
      <w:pPr>
        <w:spacing w:after="120" w:before="0" w:line="348" w:lineRule="auto"/>
        <w:ind w:firstLine="420"/>
      </w:pPr>
      <w:r>
        <w:rPr>
          <w:rFonts w:ascii="Times New Roman" w:hAnsi="Times New Roman" w:eastAsia="宋体"/>
          <w:b w:val="0"/>
          <w:color w:val="1A1A1A"/>
          <w:sz w:val="21"/>
        </w:rPr>
        <w:t>本文以临床医师与药师为读者，系统检索并评价上述问题所依赖的证据：硝酸甘油与速效救心丸各自在急性发作场景下的疗效与安全性证据层级；两者的头对头比较是否存在；ALDH2 rs671 的人群频率、酶学表型与硝酸甘油反应的定量关系；含药后缓解的诊断效能；院前延迟对再灌注时间与病死率的影响；以及指南对自救用药与启动急救医疗服务之间次序的表述。</w:t>
      </w:r>
    </w:p>
    <w:p>
      <w:pPr>
        <w:spacing w:after="100" w:before="240" w:line="300" w:lineRule="auto"/>
      </w:pPr>
      <w:r>
        <w:rPr>
          <w:rFonts w:ascii="Times New Roman" w:hAnsi="Times New Roman" w:eastAsia="黑体"/>
          <w:b/>
          <w:color w:val="1A1A1A"/>
          <w:sz w:val="25"/>
        </w:rPr>
        <w:t>资料与方法</w:t>
      </w:r>
    </w:p>
    <w:p>
      <w:pPr>
        <w:spacing w:after="100" w:before="240" w:line="300" w:lineRule="auto"/>
      </w:pPr>
      <w:r>
        <w:rPr>
          <w:rFonts w:ascii="Times New Roman" w:hAnsi="Times New Roman" w:eastAsia="黑体"/>
          <w:b/>
          <w:color w:val="1A1A1A"/>
          <w:sz w:val="23"/>
        </w:rPr>
        <w:t>检索策略</w:t>
      </w:r>
    </w:p>
    <w:p>
      <w:pPr>
        <w:spacing w:after="120" w:before="0" w:line="348" w:lineRule="auto"/>
        <w:ind w:firstLine="420"/>
      </w:pPr>
      <w:r>
        <w:rPr>
          <w:rFonts w:ascii="Times New Roman" w:hAnsi="Times New Roman" w:eastAsia="宋体"/>
          <w:b w:val="0"/>
          <w:color w:val="1A1A1A"/>
          <w:sz w:val="21"/>
        </w:rPr>
        <w:t>检索于 2026-08-12 进行，来源包括：PubMed 与 Europe PMC（经统一检索通道）、Crossref、ClinicalTrials.gov 注册库、NMPA 药品说明书索引、以及国内外指南索引（含 ESC、AHA/ACC、中华医学会及急诊与院前相关文件）。查询概念围绕以下主题组构建并以中英文变体执行：①硝酸甘油与急性胸痛（sublingual nitroglycerin；chest pain；prehospital）；②速效救心丸（Suxiao Jiuxin Wan；心绞痛；急性冠脉综合征）；③ALDH2 rs671 与硝酸甘油（aldehyde dehydrogenase 2；Glu504Lys；efficacy）；④含药后缓解的诊断价值（response to nitroglycerin；predictor；diagnostic）；⑤院前延迟与预后（prehospital delay；mortality；reperfusion）；⑥指南与说明书文本。长连接词检索无命中时，以短语化短查询在第二类来源重试后再判定证据缺失。命中记录按 DOI、PMID、规范化标题去重，经题录筛选与全文可得性评估后确定纳入来源；逐条检索式、命中数与筛选计数见检索日志。</w:t>
      </w:r>
    </w:p>
    <w:p>
      <w:pPr>
        <w:spacing w:after="100" w:before="240" w:line="300" w:lineRule="auto"/>
      </w:pPr>
      <w:r>
        <w:rPr>
          <w:rFonts w:ascii="Times New Roman" w:hAnsi="Times New Roman" w:eastAsia="黑体"/>
          <w:b/>
          <w:color w:val="1A1A1A"/>
          <w:sz w:val="23"/>
        </w:rPr>
        <w:t>纳入与排除</w:t>
      </w:r>
    </w:p>
    <w:p>
      <w:pPr>
        <w:spacing w:after="120" w:before="0" w:line="348" w:lineRule="auto"/>
        <w:ind w:firstLine="420"/>
      </w:pPr>
      <w:r>
        <w:rPr>
          <w:rFonts w:ascii="Times New Roman" w:hAnsi="Times New Roman" w:eastAsia="宋体"/>
          <w:b w:val="0"/>
          <w:color w:val="1A1A1A"/>
          <w:sz w:val="21"/>
        </w:rPr>
        <w:t>纳入：系统评价与 Meta 分析、随机对照试验、前瞻性队列与注册研究、诊断效能研究、现行指南与专家共识、药品说明书注册文本、临床试验注册记录。排除：仅标题相关而无方法与结果的记录、重复记录、与院外或急性发作场景无关的病例报告与科普文本。未获取全文的来源仅在摘要或记录层面可支撑的范围内陈述，并明确标注其证据层级受限。CNKI、万方等中文全文数据库不可访问，中文研究经题录与开放获取渠道间接覆盖，此缺口在局限性中说明。</w:t>
      </w:r>
    </w:p>
    <w:p>
      <w:pPr>
        <w:spacing w:after="100" w:before="240" w:line="300" w:lineRule="auto"/>
      </w:pPr>
      <w:r>
        <w:rPr>
          <w:rFonts w:ascii="Times New Roman" w:hAnsi="Times New Roman" w:eastAsia="黑体"/>
          <w:b/>
          <w:color w:val="1A1A1A"/>
          <w:sz w:val="23"/>
        </w:rPr>
        <w:t>证据评价标准</w:t>
      </w:r>
    </w:p>
    <w:p>
      <w:pPr>
        <w:spacing w:after="120" w:before="0" w:line="348" w:lineRule="auto"/>
        <w:ind w:firstLine="420"/>
      </w:pPr>
      <w:r>
        <w:rPr>
          <w:rFonts w:ascii="Times New Roman" w:hAnsi="Times New Roman" w:eastAsia="宋体"/>
          <w:b w:val="0"/>
          <w:color w:val="1A1A1A"/>
          <w:sz w:val="21"/>
        </w:rPr>
        <w:t>疗效与安全性结论按设计层级设定证据门槛：以临床结局为终点的系统评价与随机对照试验优先，前瞻性队列与注册研究其次；病例系列、机制与药理学研究、说明书与药典条目仅用于描述性陈述，不单独支撑疗效结论。干预类研究以 Cochrane RoB 2（随机试验）或 ROBINS-I（非随机干预研究）评估偏倚风险，系统评价以 AMSTAR 2 评估；诊断效能类研究以 QUADAS-2 评估，并要求具备参考标准（如肌钙蛋白、心电图、冠脉造影或负荷试验）与报告的操作特征（敏感度、特异度、似然比）。每项纳入证据均评估其对本题的直接性（人群、干预、对照、结局是否与院外自救场景一致）、精确性（效应量区间宽度与样本量）及对中国院外场景的适用性。药物与不良事件的因果关系按 Naranjo 量表或 WHO-UMC 标准评定，证据体总体确定性按 GRADE 表述，降级归因于偏倚风险、间接性、不精确性、不一致性或发表偏倚。以机制或替代终点填补临床终点空缺的表述一律不予采用。</w:t>
      </w:r>
    </w:p>
    <w:p>
      <w:pPr>
        <w:spacing w:after="100" w:before="240" w:line="300" w:lineRule="auto"/>
      </w:pPr>
      <w:r>
        <w:rPr>
          <w:rFonts w:ascii="Times New Roman" w:hAnsi="Times New Roman" w:eastAsia="黑体"/>
          <w:b/>
          <w:color w:val="1A1A1A"/>
          <w:sz w:val="25"/>
        </w:rPr>
        <w:t>结果</w:t>
      </w:r>
    </w:p>
    <w:p>
      <w:pPr>
        <w:spacing w:after="100" w:before="240" w:line="300" w:lineRule="auto"/>
      </w:pPr>
      <w:r>
        <w:rPr>
          <w:rFonts w:ascii="Times New Roman" w:hAnsi="Times New Roman" w:eastAsia="黑体"/>
          <w:b/>
          <w:color w:val="1A1A1A"/>
          <w:sz w:val="23"/>
        </w:rPr>
        <w:t>说明书与监管文本：两种药物的适应症边界</w:t>
      </w:r>
    </w:p>
    <w:p>
      <w:pPr>
        <w:spacing w:after="120" w:before="0" w:line="348" w:lineRule="auto"/>
        <w:ind w:firstLine="420"/>
      </w:pPr>
      <w:r>
        <w:rPr>
          <w:rFonts w:ascii="Times New Roman" w:hAnsi="Times New Roman" w:eastAsia="宋体"/>
          <w:b w:val="0"/>
          <w:color w:val="1A1A1A"/>
          <w:sz w:val="21"/>
        </w:rPr>
        <w:t xml:space="preserve">NMPA 药品说明书索引中速效救心丸的注册文本记载其功能主治为“行气活血，祛瘀止痛，增加冠脉血流量，缓解心绞痛。用于气滞血瘀型冠心病，心绞痛”，注意事项中写明“心绞痛持续发作，宜加用硝酸酯类药”，并记载恶心、呕吐、头痛、头晕、皮疹、潮红等不良反应与“孕妇禁用”禁忌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。硝酸甘油片注册文本记载其用于“预防和迅速缓解因冠状动脉疾病引起的心绞痛发作”，禁忌包括对有机硝酸酯类过敏者、严重贫血、青光眼、颅内压增高、心肌梗死早期合并严重低血压或心动过速者，以及与 PDE-5 抑制剂的联合使用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。两份文本均未记载针对“未分化的急性胸痛自行处置”的适应症；速效救心丸的适应症以“气滞血瘀型”为证候限定，其说明书自身即提示持续发作时加用硝酸酯类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舌下硝酸甘油：急性心绞痛缓解的证据层级</w:t>
      </w:r>
    </w:p>
    <w:p>
      <w:pPr>
        <w:spacing w:after="120" w:before="0" w:line="348" w:lineRule="auto"/>
        <w:ind w:firstLine="420"/>
      </w:pPr>
      <w:r>
        <w:rPr>
          <w:rFonts w:ascii="Times New Roman" w:hAnsi="Times New Roman" w:eastAsia="宋体"/>
          <w:b w:val="0"/>
          <w:color w:val="1A1A1A"/>
          <w:sz w:val="21"/>
        </w:rPr>
        <w:t xml:space="preserve">硝酸甘油是急诊处理心绞痛与疑似 ACS 的一线药物，其推荐含服剂量为 0.3 至 0.6 mg、每 5 分钟重复给药、最多 3 次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（）。2020 年 ESC 指南对存在持续缺血症状者舌下或静脉使用硝酸盐为 I 类、C 级推荐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（）。这一推荐所依据的临床研究多为静脉硝酸盐或住院场景数据，舌下剂型用于院外自我给药的随机对照试验并未检索到；2021 年 AHA/ACC 胸痛评估与诊断指南明确建议，不将以硝酸甘油后疼痛缓解作为诊断因素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（）。安全性方面，硝酸甘油可致头痛、体位性低血压、晕厥，低血压与右室梗死等情况下禁用或慎用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。硝酸甘油缓解心绞痛发作的疗效证据主要来自长期临床使用、指南推荐与生理药理学研究，其用于“未分化急性胸痛”自行处置的适应症内随机对照证据缺乏。 原文：the recommended doses of NTG include sublingual or spray (0.3 to 0.6 mg) every 5 minutes up to a maximum of 3 doses 原文：the 2020 European Society of Cardiology recommends (Class I, Level C) the use of sublingual or IV nitrates in patients with ongoing ischemic symptoms 原文：recent chest pain guidelines suggest that the relief of chest pain by NTG should not be used as a diagnostic factor (as other etiologies of chest pain such as esophageal spasm may be relieved by NTG)</w:t>
      </w:r>
    </w:p>
    <w:p>
      <w:pPr>
        <w:spacing w:after="100" w:before="240" w:line="300" w:lineRule="auto"/>
      </w:pPr>
      <w:r>
        <w:rPr>
          <w:rFonts w:ascii="Times New Roman" w:hAnsi="Times New Roman" w:eastAsia="黑体"/>
          <w:b/>
          <w:color w:val="1A1A1A"/>
          <w:sz w:val="23"/>
        </w:rPr>
        <w:t>速效救心丸：从长期管理到急性期加用的证据谱系</w:t>
      </w:r>
    </w:p>
    <w:p>
      <w:pPr>
        <w:spacing w:after="120" w:before="0" w:line="348" w:lineRule="auto"/>
        <w:ind w:firstLine="420"/>
      </w:pPr>
      <w:r>
        <w:rPr>
          <w:rFonts w:ascii="Times New Roman" w:hAnsi="Times New Roman" w:eastAsia="宋体"/>
          <w:b w:val="0"/>
          <w:color w:val="1A1A1A"/>
          <w:sz w:val="21"/>
        </w:rPr>
        <w:t xml:space="preserve">速效救心丸的证据主体是随机对照试验的 Meta 分析：2018 年发表的系统评价纳入 41 项 RCT、共 6276 例冠心病患者，全部研究在中国境内完成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（）（）；主要结局为心电图改善，未分析心血管死亡或药物相关并发症等硬终点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（）（）。与硝酸甘油（多种剂型）对照的亚组心电图改善 RR 1.35（95%CI 1.16 至 1.56），与消心痛（硝酸异山梨酯）对照 RR 1.14（95%CI 1.05 至 1.22），但多数纳入研究 Jadad 评分低、缺乏双盲设计，作者自述证据质量差、未纳入死亡等临床终点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（）（）（）。不良事件率两组差异无统计学意义（RR 1.12，95%CI 0.50 至 2.51）</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原文：The 41 studies consisted of 6276 patients with coronary heart disease. 原文：All of the included studies were conducted in China. 原文：The primary outcome of the selected studies was the improvement in ECG results, including resting ECG returning to normal or negative submaximal exercise test. 原文：In this study, we did not analyze cardiovascular death or drug-related complications. 原文：Pooled analysis indicated significant benefits of suxiao jiuxin pill on ECG outcomes (RR 1.32; 95% CI 1.26 to 1.38, P &lt; 0.001). … The subgroup analyses indicated that suxiao jiuxin pill improved ECG results more than salvia tablets (RR 1.54; 95% CI 1.41 to 1.67, P &lt; 0.001), isosorbide dinitrate (RR 1.14; 95% CI 1.05 to 1.22, P = 0.001), nitroglycerin (RR 1.35, 95% CI 1.16 to 1.56, P &lt; 0.001), and other drugs (RR 1.32, 95% CI 1.21 to 1.44, P &lt; 0.001). 原文：The majority of the included studies received low Jadad scores due to the lack of a double-blind design 原文：There was no significant difference in the adverse reaction rates between the treatment and the control groups (RR 1.12, 95% CI 0.50 to 2.51, and P = 0.785)</w:t>
      </w:r>
    </w:p>
    <w:p>
      <w:pPr>
        <w:spacing w:after="120" w:before="0" w:line="348" w:lineRule="auto"/>
        <w:ind w:firstLine="420"/>
      </w:pPr>
      <w:r>
        <w:rPr>
          <w:rFonts w:ascii="Times New Roman" w:hAnsi="Times New Roman" w:eastAsia="宋体"/>
          <w:b w:val="0"/>
          <w:color w:val="1A1A1A"/>
          <w:sz w:val="21"/>
        </w:rPr>
        <w:t xml:space="preserve">Cochrane 系统评价（2008）纳入的试验均为小样本，结论为速效救心丸“对心绞痛似乎有效，但证据因纳入研究方法学质量差而薄弱”，且与消心痛比较在心电图与症状改善上差异均无统计学意义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。国内另有针对急性冠脉综合征的系统评价（2021）报告速效救心丸联合常规西药组的临床终点事件发生率低于单纯西药组，但同样受纳入研究质量与数量限制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。ClinicalTrials.gov 注册的速效救心丸试验（NCT05466968 急性心肌梗死易损斑块干预、NCT04814121 急性冠脉综合征微循环障碍）均为住院期辅助干预设计 </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。上述证据均不涉及“未分化急性胸痛”的院外自行给药场景。</w:t>
      </w:r>
    </w:p>
    <w:p>
      <w:pPr>
        <w:spacing w:after="100" w:before="240" w:line="300" w:lineRule="auto"/>
      </w:pPr>
      <w:r>
        <w:rPr>
          <w:rFonts w:ascii="Times New Roman" w:hAnsi="Times New Roman" w:eastAsia="黑体"/>
          <w:b/>
          <w:color w:val="1A1A1A"/>
          <w:sz w:val="23"/>
        </w:rPr>
        <w:t>头对头比较：现有证据的边界</w:t>
      </w:r>
    </w:p>
    <w:p>
      <w:pPr>
        <w:spacing w:after="120" w:before="0" w:line="348" w:lineRule="auto"/>
        <w:ind w:firstLine="420"/>
      </w:pPr>
      <w:r>
        <w:rPr>
          <w:rFonts w:ascii="Times New Roman" w:hAnsi="Times New Roman" w:eastAsia="宋体"/>
          <w:b w:val="0"/>
          <w:color w:val="1A1A1A"/>
          <w:sz w:val="21"/>
        </w:rPr>
        <w:t xml:space="preserve">未检索到以院外急性胸痛自救为场景、速效救心丸与舌下硝酸甘油直接对照的随机对照试验。现有头对头证据均为冠心病/心绞痛的长期或住院管理研究：Cochrane 系统评价与 2018 年 Meta 分析中速效救心丸与硝酸甘油、消心痛的对照均以心电图、症状频率等替代终点为结局，治疗期长、属长期管理而非急性发作自救 </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。因此，“二者何者可先用”在院外自救场景下没有直接的比较数据可回答；现有数据仅能回答“在慢性心绞痛管理中速效救心丸的辅助作用与替代终点上的表现”。</w:t>
      </w:r>
    </w:p>
    <w:p>
      <w:pPr>
        <w:spacing w:after="100" w:before="240" w:line="300" w:lineRule="auto"/>
      </w:pPr>
      <w:r>
        <w:rPr>
          <w:rFonts w:ascii="Times New Roman" w:hAnsi="Times New Roman" w:eastAsia="黑体"/>
          <w:b/>
          <w:color w:val="1A1A1A"/>
          <w:sz w:val="23"/>
        </w:rPr>
        <w:t>含药后症状缓解作为胸痛鉴别手段的诊断效能</w:t>
      </w:r>
    </w:p>
    <w:p>
      <w:pPr>
        <w:spacing w:after="120" w:before="0" w:line="348" w:lineRule="auto"/>
        <w:ind w:firstLine="420"/>
      </w:pPr>
      <w:r>
        <w:rPr>
          <w:rFonts w:ascii="Times New Roman" w:hAnsi="Times New Roman" w:eastAsia="宋体"/>
          <w:b w:val="0"/>
          <w:color w:val="1A1A1A"/>
          <w:sz w:val="21"/>
        </w:rPr>
        <w:t>Steele 等（2006）在加拿大急诊科开展的前瞻性观察队列研究（270 例，4 周随访，随访率 95%）是这一问题最直接的检验：含服硝酸甘油后疼痛缓解的敏感度 72%（95%CI 64%–80%）、特异度 37%（95%CI 34%–41%）、阳性似然比 1.1（95%CI 0.96–1.34），卡方检验差异无统计学意义（p=0.12）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（）（）。66% 的患者含服后疼痛缓解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（）；研究定义的 35 例急性心肌梗死（肌钙蛋白阳性）患者中，20 例含服后缓解、15 例未缓解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（）。作者结论为“含服硝酸甘油后疼痛缓解不是可靠的诊断试验，不能区分心源性与非心源性胸痛”</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（），阳性似然比接近 1，提示检验前后疾病概率无变化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（）。该研究在讨论中指出其结果与 Shry 等（2002）、Henrikson 等既往研究一致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。2021 年 AHA/ACC 胸痛指南亦明确硝酸甘油缓解不作为诊断因素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原文：270 patients were enrolled. Nitroglycerin relieved chest pain in 66% of the subjects. … The diagnostic sensitivity of nitroglycerin to determine cardiac chest pain was 72% (64%–80%), and the specificity was 37% (34%–41%). The positive likelihood ratio for having coronary artery … if nitroglycerin relieved chest pain was 1.1 (0.96–1.34). … Telephone follow-up at 4 weeks was performed, with a 95% follow-up rate. 原文：Using a Pearson χ2, NTG was found not to be statistically significant (p = 0.12) 原文：Nitroglycerin relieved chest pain in 66% of the subjects. 原文：There were 35 AMIs, based on troponin levels in the study population. Of those diagnosed with AMI, 20 experienced relief with NTG and 15 did not 原文：Relief of chest pain with nitroglycerin is not a reliable diagnostic test and does not distinguish between cardiac and non-cardiac chest pain. 原文：The positive likelihood ratio was approximately 1, suggesting that the pretest probability of disease was equivalent to the post-test probability of disease.</w:t>
      </w:r>
    </w:p>
    <w:p>
      <w:pPr>
        <w:spacing w:after="120" w:before="0" w:line="348" w:lineRule="auto"/>
        <w:ind w:firstLine="420"/>
      </w:pPr>
      <w:r>
        <w:rPr>
          <w:rFonts w:ascii="Times New Roman" w:hAnsi="Times New Roman" w:eastAsia="宋体"/>
          <w:b w:val="0"/>
          <w:color w:val="1A1A1A"/>
          <w:sz w:val="21"/>
        </w:rPr>
        <w:t xml:space="preserve">院前场景的间接数据同样不支持硝酸甘油带来结局获益：基于全美 EMS 数据的大样本目标试验模拟（2026）报告，院前含服硝酸甘油与心搏骤停/死亡等复合结局的下降无关，各随访时点的绝对差异均不显著，且结局事件率很低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。该研究为回顾性观察性分析，其结论用于支持“缺乏获益证据”而非“有明确无获益”。</w:t>
      </w:r>
    </w:p>
    <w:p>
      <w:pPr>
        <w:spacing w:after="100" w:before="240" w:line="300" w:lineRule="auto"/>
      </w:pPr>
      <w:r>
        <w:rPr>
          <w:rFonts w:ascii="Times New Roman" w:hAnsi="Times New Roman" w:eastAsia="黑体"/>
          <w:b/>
          <w:color w:val="1A1A1A"/>
          <w:sz w:val="23"/>
        </w:rPr>
        <w:t>ALDH2 rs671：人群频率、酶学表型与硝酸甘油反应</w:t>
      </w:r>
    </w:p>
    <w:p>
      <w:pPr>
        <w:spacing w:after="120" w:before="0" w:line="348" w:lineRule="auto"/>
      </w:pPr>
      <w:r>
        <w:rPr>
          <w:rFonts w:ascii="Times New Roman" w:hAnsi="Times New Roman" w:eastAsia="宋体"/>
          <w:b/>
          <w:color w:val="1A1A1A"/>
          <w:sz w:val="21"/>
        </w:rPr>
        <w:t>人群频率</w:t>
      </w:r>
      <w:r>
        <w:rPr>
          <w:rFonts w:ascii="Times New Roman" w:hAnsi="Times New Roman" w:eastAsia="宋体"/>
          <w:b w:val="0"/>
          <w:color w:val="1A1A1A"/>
          <w:sz w:val="21"/>
        </w:rPr>
        <w:t xml:space="preserve">。东亚人群中约 40% 存在 ALDH2 活性下降相关的酒精耐受改变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（）；综述转述的东亚突变率上限为 30%–50%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（）。山东青岛（胶东半岛）汉族队列的基因分型数据更为精确：非冠心病组 356 例中 GG 196 例（55.1%）、GA 130 例（36.5%）、AA 30 例（8.4%），G/A 等位基因频率 82.8%–17.2%；冠心病组 203 例中 GG 103 例（50.7%）、GA 86 例（42.4%）、AA 14 例（6.9%），G/A 等位基因频率 81.4%–18.6%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（）（）。即两组携带 A 等位基因者（GA+AA 相加）分别占 44.9% 与 49.3%〔推导〕（）。人群地理分布研究显示该变异在东亚以外几乎缺失，华南汉族频率最高，由汉族人群向东亚各地扩散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原文：Lowered alcohol tolerance due to the accumulation of acetaldehyde is seen in around 40% of the East Asian population. 原文：The single nucleotide polymorphism mutation rate in East Asia reaches up to 30%–50%. 原文：Of the 356 cases in the NCHD group, 196 (55.1%) were of the GG genotype and 130 (36.5%) were of the GA genotype. Of the 130 cases, 30 (8.4%) accounted for the AA genotype with the G and A allele frequencies at 82.8%–17.2%, respectively. 原文：Of the 203 cases in the CHD group, 103 (50.7%) were of the GG genotype and 86 (42.4%) were of the GA genotypes. Of the 86, 14 cases (6.9%) accounted for the AA genotype with the G and A allele frequencies of 81.4%–18.6%, respectively.</w:t>
      </w:r>
    </w:p>
    <w:p>
      <w:pPr>
        <w:spacing w:after="120" w:before="0" w:line="348" w:lineRule="auto"/>
      </w:pPr>
      <w:r>
        <w:rPr>
          <w:rFonts w:ascii="Times New Roman" w:hAnsi="Times New Roman" w:eastAsia="宋体"/>
          <w:b/>
          <w:color w:val="1A1A1A"/>
          <w:sz w:val="21"/>
        </w:rPr>
        <w:t>酶学表型</w:t>
      </w:r>
      <w:r>
        <w:rPr>
          <w:rFonts w:ascii="Times New Roman" w:hAnsi="Times New Roman" w:eastAsia="宋体"/>
          <w:b w:val="0"/>
          <w:color w:val="1A1A1A"/>
          <w:sz w:val="21"/>
        </w:rPr>
        <w:t xml:space="preserve">。Glu504 纯合子（ALDH2*1/*1）酶活性完全正常，Lys504 纯合子（ALDH2*2/*2）活性降至可忽略水平，Glu/Lys 杂合子仅约 6% 的正常活性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（）；另有中文研究记载 GA 型仅 6% 活性、AA 型丧失活性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（）。机制上，ALDH2 催化硝酸甘油（GTN）生物活化为一氧化氮，变异酶对 GTN 的代谢效率下降约 10 倍，与含服疗效缺失相关 </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原文：While Glu504 homozygotes (ALDH2*1/1) have fully functional enzymatic activity, a drop to negligible levels is seen in Lys504 homozygotes (ALDH2*2/2) and only an uptick to 6% of normal activity is seen in Glu504/Lys504 heterozygotes (ALDH2*1/2) 原文：The GA genotype (i.e., mutant) only has 6% activity, whereas the AA genotype (i.e., mutant) loses all its activities. 原文：for mutant subjects there was a lack of GTN efficacy, which was reinforced by enzyme kinetic studies that showed a 10-fold drop in GTN metabolism when using the Lys504 enzyme in place of the ALDH2 wild type</w:t>
      </w:r>
    </w:p>
    <w:p>
      <w:pPr>
        <w:spacing w:after="120" w:before="0" w:line="348" w:lineRule="auto"/>
      </w:pPr>
      <w:r>
        <w:rPr>
          <w:rFonts w:ascii="Times New Roman" w:hAnsi="Times New Roman" w:eastAsia="宋体"/>
          <w:b/>
          <w:color w:val="1A1A1A"/>
          <w:sz w:val="21"/>
        </w:rPr>
        <w:t>硝酸甘油反应的定量数据</w:t>
      </w:r>
      <w:r>
        <w:rPr>
          <w:rFonts w:ascii="Times New Roman" w:hAnsi="Times New Roman" w:eastAsia="宋体"/>
          <w:b w:val="0"/>
          <w:color w:val="1A1A1A"/>
          <w:sz w:val="21"/>
        </w:rPr>
        <w:t xml:space="preserve">。青岛队列冠心病患者中含服硝酸甘油的缓解率：GG 型 79.4%、GA/AA 型 50.6%（P&lt;0.01）；无创血流动力学监测显示野生型心输出量增加而突变型下降，提示基因型影响含服硝酸甘油的血流动力学反应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（）（）。Zhang 等（2007，142 例冠心病患者）报告含服硝酸甘油 5 分钟内心绞痛缓解率在饮酒后面红者为 20.4%、非面红者为 67.1%；基因型层面 Glu504 患者 5 分钟有效缓解率 57.5%，Lys504 患者 11.1%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（）。血管反应研究（Mackenzie 等，2005）显示突变携带者前臂血流反应较野生型低约 40%，且该研究估计硝酸甘油生物活化中不足一半依赖 ALDH2 </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（）。相反的证据也存在：日本研究对三种基因型（野生纯合、杂合、突变纯合）受试者直接测量舌下硝酸甘油片的血管扩张反应，未发现基因型间差异，提示存在其他主导性生物活化途径 </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（）。因此，ALDH2 变异对硝酸甘油反应的影响方向为降低而非消除，但效应量在各研究间不一致，且存在设计良好的阴性研究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原文：The NTG efficacies of the GG and the GA/AA subgroups were 79.4% and 50.6%, respectively. The difference in rapid NTG efficiency was statistically significant ( P &lt; 0.01) 原文：All CO values in the wild-type case of both NCHD and CHD groups increased, whereas those in the mutant type decreased. 原文：recruited 142 coronary heart disease patients and showed that the amelioration of angina pectoris attacks within 5 min of GTN treatment was seen in 67.1% of patients who did not show flushing after drinking wine, compared to just 20.4% in flushing patients. This was consistent with genotype work, which showed that an efficacious response to GTN in 5 min was seen in 57.5% of Glu504 patients compared to 11.1% in the alcohol intolerant, Lys504 patients 原文：enhancements in forearm blood flow, using intra-arterial administration of GTN, but such improvements were still shown to be 40% lower in mutant subjects … which led Mackenzie and co-workers to conclude that while important, under half of GTN’s total bioactivation was ALDH2 dependent 原文：concluded that Lys504 mutant subjects, when administered with GTN sublingually, showed no difference in terms of vasodilatory effects when compared to Glu504 wild type subjects 原文：The NTG efficacies of the GG and the GA/AA subgroups were 79.4% and 50.6%, respectively.</w:t>
      </w:r>
    </w:p>
    <w:p>
      <w:pPr>
        <w:spacing w:after="100" w:before="240" w:line="300" w:lineRule="auto"/>
      </w:pPr>
      <w:r>
        <w:rPr>
          <w:rFonts w:ascii="Times New Roman" w:hAnsi="Times New Roman" w:eastAsia="黑体"/>
          <w:b/>
          <w:color w:val="1A1A1A"/>
          <w:sz w:val="23"/>
        </w:rPr>
        <w:t>「约半数中国人无效」说的量级核查</w:t>
      </w:r>
    </w:p>
    <w:p>
      <w:pPr>
        <w:spacing w:after="120" w:before="0" w:line="348" w:lineRule="auto"/>
        <w:ind w:firstLine="420"/>
      </w:pPr>
      <w:r>
        <w:rPr>
          <w:rFonts w:ascii="Times New Roman" w:hAnsi="Times New Roman" w:eastAsia="宋体"/>
          <w:b w:val="0"/>
          <w:color w:val="1A1A1A"/>
          <w:sz w:val="21"/>
        </w:rPr>
        <w:t xml:space="preserve">“硝酸甘油对约半数中国人无效”的说法把“携带 ALDH2*2 变异等位基因”与“含服硝酸甘油无效”等同起来。现有数据不支持这种等同：即便在携带者中，按主诉缓解定义的缓解率仍有 50.6%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（）；而以青岛冠心病队列的基因型构成与各基因型缓解率推算，人群总体缓解率与“无效”比例可以量化。〔推导〕设 GG 型比例 p_GG=50.7%、缓解率 e_GG=79.4%，携带者比例 p_M=49.3%、缓解率 e_M=50.6%（均取自青岛队列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），则人群预期缓解率 E=p_GG·e_GG+p_M·e_M=0.507×0.794+0.493×0.506=65.2%，按主诉定义的人群“无效”比例约为 34.8%，即约三分之一而非“半数”。若改用非冠心病组携带率（44.9%），E=0.551×0.794+0.449×0.506=66.5%，“无效”比例约 33.5%。〔推导〕（）上述推算假设青岛队列的基因型频率与各型缓解率可代表中国北方汉族、缓解率以含服后主诉缓解判定且与冠心病队列一致；对携带率与携带者缓解率取文献报告的上下限进行敏感性分析，人群“无效”比例均低于“半数”。更重要的限定是：上述缓解率来自无安慰剂对照、以主诉为终点的观察性研究，对“无效”的定义本身敏感；且“约半数”若指携带率而非无效率，则属于人群遗传学事实，与“硝酸甘油对半数中国人无效”的临床含义不同。</w:t>
      </w:r>
    </w:p>
    <w:p>
      <w:pPr>
        <w:spacing w:after="100" w:before="240" w:line="300" w:lineRule="auto"/>
      </w:pPr>
      <w:r>
        <w:rPr>
          <w:rFonts w:ascii="Times New Roman" w:hAnsi="Times New Roman" w:eastAsia="黑体"/>
          <w:b/>
          <w:color w:val="1A1A1A"/>
          <w:sz w:val="23"/>
        </w:rPr>
        <w:t>院前延迟、再灌注时间与预后</w:t>
      </w:r>
    </w:p>
    <w:p>
      <w:pPr>
        <w:spacing w:after="120" w:before="0" w:line="348" w:lineRule="auto"/>
        <w:ind w:firstLine="420"/>
      </w:pPr>
      <w:r>
        <w:rPr>
          <w:rFonts w:ascii="Times New Roman" w:hAnsi="Times New Roman" w:eastAsia="宋体"/>
          <w:b w:val="0"/>
          <w:color w:val="1A1A1A"/>
          <w:sz w:val="21"/>
        </w:rPr>
        <w:t xml:space="preserve">症状出现到首次医疗接触是总缺血时间中最长且变异最大的组成部分：中位决策延迟约 100 分钟，占院前延迟约 60%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（）。延迟与预后的关系有连续的定量证据：急诊再灌注（door-to-balloon）时间从 30 分钟延长至 150 分钟时，校正院内死亡率从 3.0% 升至 3.5%、4.3%、7.0%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（）；每 30 分钟再灌注延迟使死亡风险增加 7.5%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（）。救护车环节同样独立影响结局：澳大利亚多中心注册研究（2976 例经 EMS 的 STEMI）显示 EMS 延误每增加 30 分钟，30 天死亡风险升高（校正 OR 1.20，95%CI 1.02 至 1.40），EMS 延误中位 59 分钟、占系统延误的前半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（）（）。德国注册研究显示院前延迟超过 3 小时后，溶栓的相对疗效劣于直接 PCI，提示时间依赖的再灌注效能丧失 </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中国农村地区的数据更为严峻：辽宁省农村抽样调查显示心梗患者从发病到有效治疗的平均时间以小时计，六小时内得到治疗者不足四分之三，急性期规范二级预防药物使用率低、速效救心丸等中药使用率反而超过半数 </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原文：Median patient decision delay approximates 100 min, constituting nearly 60% of pre-hospital delay 原文：adjusted in-hospital mortality rises progressively: from 3.0% at 30 min to 3.5% at 60 min, 4.3% at 90 min, and 7.0% at 150 min 原文：each 30 min reperfusion delay increases one-year mortality risk by 7.5% 原文：EMS delay time was independently associated with a higher risk of mortality (adjusted OR 1.20; 95% CI 1.02 to 1.40, for every 30 min increase) … Over the study period, a total of 2976 patients with STEMI presented to Ambulance Victoria and underwent PPCI at an interventional hospital. 原文：EMS delay time accounted for the first half of total system delay (median=59 min (IQR=48–77))</w:t>
      </w:r>
    </w:p>
    <w:p>
      <w:pPr>
        <w:spacing w:after="100" w:before="240" w:line="300" w:lineRule="auto"/>
      </w:pPr>
      <w:r>
        <w:rPr>
          <w:rFonts w:ascii="Times New Roman" w:hAnsi="Times New Roman" w:eastAsia="黑体"/>
          <w:b/>
          <w:color w:val="1A1A1A"/>
          <w:sz w:val="23"/>
        </w:rPr>
        <w:t>指南对自救用药与呼救次序的表述</w:t>
      </w:r>
    </w:p>
    <w:p>
      <w:pPr>
        <w:spacing w:after="120" w:before="0" w:line="348" w:lineRule="auto"/>
        <w:ind w:firstLine="420"/>
      </w:pPr>
      <w:r>
        <w:rPr>
          <w:rFonts w:ascii="Times New Roman" w:hAnsi="Times New Roman" w:eastAsia="宋体"/>
          <w:b w:val="0"/>
          <w:color w:val="1A1A1A"/>
          <w:sz w:val="21"/>
        </w:rPr>
        <w:t>现行指南一致将启动急救医疗服务置于自行用药之前。英国 NHS 对突发且不缓解的胸部疼痛的公众指导为“立即呼叫 999，你需要住院接受即刻治疗”</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（）。ESC 2023 年 ACS 管理指南与 AHA/ACC 2021 年胸痛指南均以早期识别、尽快获得 ECG 与再灌注为目标，硝酸甘油仅作为持续缺血症状的缓解用药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。中国相关文件同样以“早期诊断、危险分层、正确分流、科学救治”为流程主线，强调院前急救体系与院内绿色通道的整合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，急诊诊疗流程覆盖院前急救医生参与的 ACS 早期识别与转运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。任何指南均未将自行含服药物作为延迟呼叫急救的理由；含服后缓解与否不被认可为分诊依据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。综合上述证据，院外胸痛处置应以呼救为先：先拨打急救电话（中国为 120），再在等待救援期间按既有处方使用缓解药物；以服药后是否缓解来决定是否就医的做法没有诊断学依据。 原文：Immediate action required: Call 999 if: … you get sudden pain or discomfort in your chest that does not go away – the pain can feel like squeezing or pressure inside your chest, burning or indigestion … You could be having a heart attack. Call 999 straight away as you need immediate treatment in hospital.</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 xml:space="preserve">本分析的主要发现在于三层证据的落差。第一层是诊断学：含药后疼痛缓解对心源性胸痛没有鉴别价值，Steele 队列的阳性似然比为 1.1，检验前后概率不变，且 35 例急性心梗中有 15 例含服后未缓解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（）（）。这一结论与 2021 年 AHA/ACC 指南一致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，意味着“含药后缓解即提示心绞痛、未缓解即排除”的经验性推断应被放弃。第二层是药理学人群差异：ALDH2 rs671 变异降低硝酸甘油生物活化与含服缓解率，方向一致的人群数据来自中国队列（79.4% 对 50.6%、57.5% 对 11.1%）</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（）（），但其效应量存在研究间不一致，日本研究甚至未观察到舌下剂型血管扩张的基因型差异 </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；机制上硝酸甘油的生物活化并非完全依赖 ALDH2（Mackenzie 估计不足一半）</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。因此，“约半数中国人无效”将携带率等同于无效率，既混淆了两个不同的量，也与携带者仍有约半数缓解、总体无效率约三分之一的定量数据不符（见结果第 7 节推导）。第三层是速效救心丸的证据边界：其随机对照证据全部来自中国境内冠心病长期管理研究，主要终点为心电图等替代指标，无死亡等硬终点，多数试验缺乏双盲 </w:t>
      </w:r>
      <w:r>
        <w:rPr>
          <w:rFonts w:ascii="Times New Roman" w:hAnsi="Times New Roman" w:eastAsia="宋体"/>
          <w:b w:val="0"/>
          <w:color w:val="1A1A1A"/>
          <w:sz w:val="21"/>
          <w:vertAlign w:val="superscript"/>
        </w:rPr>
        <w:t>[8]</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，注册试验均为院内辅助干预 </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rPr>
        <w:t>；将这类证据外推为急性胸痛院外自救的一线替代，超出了现有数据的支撑范围。</w:t>
      </w:r>
    </w:p>
    <w:p>
      <w:pPr>
        <w:spacing w:after="120" w:before="0" w:line="348" w:lineRule="auto"/>
        <w:ind w:firstLine="420"/>
      </w:pPr>
      <w:r>
        <w:rPr>
          <w:rFonts w:ascii="Times New Roman" w:hAnsi="Times New Roman" w:eastAsia="宋体"/>
          <w:b w:val="0"/>
          <w:color w:val="1A1A1A"/>
          <w:sz w:val="21"/>
        </w:rPr>
        <w:t>ALDH2 与硝酸甘油反应的关系存在需要裁决的矛盾。倾向采信“基因型影响反应”的理由：酶学机制明确（ALDH2 催化 GTN 生物活化，变异酶代谢效率下降约 10 倍）</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（），方向一致的人群研究来自中国（多个队列、不同结局指标）</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。倾向保留的证据：日本研究以血管扩张为直接终点未发现差异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且该研究采用常规舌下片剂、与临床使用一致；中国研究多以主诉缓解为终点，存在主观性与无安慰剂对照的局限。两方面的差异提示：基因型对硝酸甘油反应的影响存在人群与环境变异，其临床效应量应以中国人群的盲法、安慰剂对照研究进一步确证，而非仅由队列研究或机制推断定论。</w:t>
      </w:r>
    </w:p>
    <w:p>
      <w:pPr>
        <w:spacing w:after="120" w:before="0" w:line="348" w:lineRule="auto"/>
        <w:ind w:firstLine="420"/>
      </w:pPr>
      <w:r>
        <w:rPr>
          <w:rFonts w:ascii="Times New Roman" w:hAnsi="Times New Roman" w:eastAsia="宋体"/>
          <w:b w:val="0"/>
          <w:color w:val="1A1A1A"/>
          <w:sz w:val="21"/>
        </w:rPr>
        <w:t xml:space="preserve">对实践的涵义是：无论基因型如何，含服硝酸甘油后不缓解都不能作为“不是心脏问题”的依据；无论使用哪种自救药物，呼救都不得延迟。中国农村地区心梗患者发病到有效治疗的时间延误突出 </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的现实，使“呼救优先”具有更重的公共健康分量。能够终结当前不确定性的研究包括：以院外急性胸痛为场景、速效救心丸与舌下硝酸甘油（或安慰剂）头对头、以症状缓解时间与安全事件为终点的随机对照试验；在中国汉族人群开展、以盲法主诉缓解和客观血流动力学为共同终点的 ALDH2 基因型分层研究；以及将含服反应与 hs-cTn/ECG 对照的诊断试验更新。</w:t>
      </w:r>
    </w:p>
    <w:p>
      <w:pPr>
        <w:spacing w:after="100" w:before="240" w:line="300" w:lineRule="auto"/>
      </w:pPr>
      <w:r>
        <w:rPr>
          <w:rFonts w:ascii="Times New Roman" w:hAnsi="Times New Roman" w:eastAsia="黑体"/>
          <w:b/>
          <w:color w:val="1A1A1A"/>
          <w:sz w:val="25"/>
        </w:rPr>
        <w:t>局限性</w:t>
      </w:r>
    </w:p>
    <w:p>
      <w:pPr>
        <w:spacing w:after="120" w:before="0" w:line="348" w:lineRule="auto"/>
        <w:ind w:firstLine="420"/>
      </w:pPr>
      <w:r>
        <w:rPr>
          <w:rFonts w:ascii="Times New Roman" w:hAnsi="Times New Roman" w:eastAsia="宋体"/>
          <w:b w:val="0"/>
          <w:color w:val="1A1A1A"/>
          <w:sz w:val="21"/>
        </w:rPr>
        <w:t>本分析的可信度受以下几项限制。CNKI、万方等中文全文数据库不可访问，速效救心丸的大量中文研究仅能经题录与摘要层面覆盖，其方法学细节（随机化、盲法、退出）无法逐项核验，相关效应量的稳健性因此低于可核验的英文文献。数项关键来源的全文无法获取（Li 等（2006，J Clin Invest）的原文、Cochrane 系统评价全文、Miura 等（2017）的原文及 ESC 2023 指南全文），涉及这些来源的陈述只在其摘要可支撑的范围内作出。NMPA 说明书为索引记录，未能核对当前官方版本的最新修订日期。本分析不具备开展新试验或获取个体病例数据的条件，人群层面“无效比例”的推算是基于单中心队列的推导值而非直接测量。诊断效能数据来自北美急诊科人群（研究完成年代较早），其基线患病率与转运体系与中国院外场景存在差异。检索与评价未进行双人独立筛选与偏倚风险评定。上述缺口主要影响效应量的精确性与中国适用性，不改变“缓解无鉴别价值、呼救优先、速效救心丸证据限于慢病管理”三个结论的方向。</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 xml:space="preserve">（1）舌下含服硝酸甘油缓解心绞痛发作的疗效有长期临床使用与指南推荐支持，但其用于未分化急性胸痛院外自救的适应症内随机对照证据缺乏；含服后缓解与否不能用于鉴别心源性胸痛，阳性似然比约 1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（），2021 年 AHA/ACC 指南明确不将其作为诊断因素。（2）速效救心丸的随机对照证据来自中国境内冠心病长期管理研究，主要终点为心电图等替代指标，证据确定性按 GRADE 为低至极低，未检索到其在急性胸痛院外自救场景中与硝酸甘油的头对头比较；其说明书适应症限于气滞血瘀型冠心病心绞痛，并提示持续发作宜加用硝酸酯类。（3）ALDH2 rs671 变异在东亚人群携带率约 40%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（）、中国汉族队列约 45% 至 49%〔推导〕（），变异酶活性降至约 6%（杂合）至缺失（纯合）</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（）；携带者含服硝酸甘油缓解率低于野生型（50.6% 对 79.4%）</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但存在阴性研究，效应量级与人群适用范围的准确表述应为“变异降低但不消除反应”，而非“携带即无效”。（4）院前延迟显著增加再灌注时间与病死率，指南与公众指导一致要求先呼救、后按处方用药，任何自救用药不得延迟急救启动。</w:t>
      </w:r>
    </w:p>
    <w:p>
      <w:pPr>
        <w:spacing w:after="100" w:before="240" w:line="300" w:lineRule="auto"/>
      </w:pPr>
      <w:r>
        <w:rPr>
          <w:rFonts w:ascii="Times New Roman" w:hAnsi="Times New Roman" w:eastAsia="黑体"/>
          <w:b/>
          <w:color w:val="1A1A1A"/>
          <w:sz w:val="25"/>
        </w:rPr>
        <w:t>临床实践要点</w:t>
      </w:r>
    </w:p>
    <w:p>
      <w:pPr>
        <w:spacing w:after="60" w:before="0" w:line="336" w:lineRule="auto"/>
        <w:ind w:left="340"/>
      </w:pPr>
      <w:r>
        <w:rPr>
          <w:rFonts w:ascii="Times New Roman" w:hAnsi="Times New Roman" w:eastAsia="宋体"/>
          <w:b w:val="0"/>
          <w:color w:val="1A1A1A"/>
          <w:sz w:val="21"/>
        </w:rPr>
        <w:t xml:space="preserve">· 突发、剧烈且不缓解的胸部压榨样疼痛，立即拨打 120 呼叫急救，不要先自行服药观察 </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已由医师处方硝酸甘油的心绞痛患者，发作时按处方舌下含服 0.3 至 0.6 mg，每 5 分钟可重复给药，最多 3 次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含服后疼痛缓解与否不能用于判断胸痛是否心源性，也不能作为不呼救或推迟就医的理由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含服硝酸甘油后疼痛仍不缓解或持续加重，应立即呼叫急救并接受急诊评估（ECG 与高敏肌钙蛋白）</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速效救心丸的现有随机对照证据限于冠心病心绞痛的长期与住院辅助管理，且未覆盖死亡等硬终点，不能据此支持其在急性胸痛院外自救中替代硝酸甘油或延迟急救评估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（）；对已诊断冠心病心绞痛、证属说明书所限“气滞血瘀型”者，其使用以说明书为界，持续发作时应按说明书意见加用硝酸酯类并及时就医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切勿将含服药物后的暂时缓解等同于“不是心脏问题”：肌钙蛋白阴性、心电图正常与规范的危险分层才是排除急性冠脉综合征的依据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原文：Cardiac chest pain — defined for this study as chest pain associated with 1 of the following: 1) new ECG changes of 1 mm in 2 contiguous leads, 2) positive cardiac troponin T &gt;0.3 mcg/L (normal level &lt;0.3 mcg/L)</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Steele R, McNaughton T, McConahy M, Lam J. Chest pain in emergency department patients: if the pain is relieved by nitroglycerin, is it more likely to be cardiac chest pain? CJEM. 2006;8(3):164-169. doi:10.1017/S1481803500013671 PMID:17320010. URL: https://pubmed.ncbi.nlm.nih.gov/17320010/</w:t>
      </w:r>
    </w:p>
    <w:p>
      <w:pPr>
        <w:spacing w:after="60" w:before="0" w:line="336" w:lineRule="auto"/>
        <w:ind w:left="340"/>
      </w:pPr>
      <w:r>
        <w:rPr>
          <w:rFonts w:ascii="Times New Roman" w:hAnsi="Times New Roman" w:eastAsia="宋体"/>
          <w:b w:val="0"/>
          <w:color w:val="1A1A1A"/>
          <w:sz w:val="21"/>
        </w:rPr>
        <w:t>2. Twiner MJ, Hennessy J, Wein R, Levy PD. Nitroglycerin use in the emergency department: current perspectives. Open Access Emerg Med. 2022;14:227-233. doi:10.2147/OAEM.S340513 PMID:35847764. URL: https://pubmed.ncbi.nlm.nih.gov/35847764/</w:t>
      </w:r>
    </w:p>
    <w:p>
      <w:pPr>
        <w:spacing w:after="60" w:before="0" w:line="336" w:lineRule="auto"/>
        <w:ind w:left="340"/>
      </w:pPr>
      <w:r>
        <w:rPr>
          <w:rFonts w:ascii="Times New Roman" w:hAnsi="Times New Roman" w:eastAsia="宋体"/>
          <w:b w:val="0"/>
          <w:color w:val="1A1A1A"/>
          <w:sz w:val="21"/>
        </w:rPr>
        <w:t>3. Gulati M, Levy PD, Mukherjee D, et al. 2021 AHA/ACC/ASE/CHEST/SAEM/SCCT/SCMR guideline for the evaluation and diagnosis of chest pain. J Am Coll Cardiol. 2021;78(22):e187-e285. doi:10.1161/CIR.0000000000001029 PMID:34709879. URL: https://pubmed.ncbi.nlm.nih.gov/34709879/</w:t>
      </w:r>
    </w:p>
    <w:p>
      <w:pPr>
        <w:spacing w:after="60" w:before="0" w:line="336" w:lineRule="auto"/>
        <w:ind w:left="340"/>
      </w:pPr>
      <w:r>
        <w:rPr>
          <w:rFonts w:ascii="Times New Roman" w:hAnsi="Times New Roman" w:eastAsia="宋体"/>
          <w:b w:val="0"/>
          <w:color w:val="1A1A1A"/>
          <w:sz w:val="21"/>
        </w:rPr>
        <w:t>4. Shry EA, Dacus J, Van De Graaff E, et al. Usefulness of the response to sublingual nitroglycerin as a predictor of ischemic chest pain in the emergency department. Am J Cardiol. 2002;90(11):1264-1266. doi:10.1016/S0002-9149(02)02850-3 PMID:12450614. URL: https://pubmed.ncbi.nlm.nih.gov/12450614/</w:t>
      </w:r>
    </w:p>
    <w:p>
      <w:pPr>
        <w:spacing w:after="60" w:before="0" w:line="336" w:lineRule="auto"/>
        <w:ind w:left="340"/>
      </w:pPr>
      <w:r>
        <w:rPr>
          <w:rFonts w:ascii="Times New Roman" w:hAnsi="Times New Roman" w:eastAsia="宋体"/>
          <w:b w:val="0"/>
          <w:color w:val="1A1A1A"/>
          <w:sz w:val="21"/>
        </w:rPr>
        <w:t>5. Collet JP, Thiele H, Barbato E, et al. 2020 ESC guidelines for the management of acute coronary syndromes in patients presenting without persistent ST-segment elevation. Eur Heart J. 2021;42(14):1289-1367. doi:10.1093/eurheartj/ehaa575. URL: https://academic.oup.com/eurheartj/article/42/14/1289/5898842</w:t>
      </w:r>
    </w:p>
    <w:p>
      <w:pPr>
        <w:spacing w:after="60" w:before="0" w:line="336" w:lineRule="auto"/>
        <w:ind w:left="340"/>
      </w:pPr>
      <w:r>
        <w:rPr>
          <w:rFonts w:ascii="Times New Roman" w:hAnsi="Times New Roman" w:eastAsia="宋体"/>
          <w:b w:val="0"/>
          <w:color w:val="1A1A1A"/>
          <w:sz w:val="21"/>
        </w:rPr>
        <w:t>6. Byrne RA, Rossello X, Coughlan JJ, et al. 2023 ESC guidelines for the management of acute coronary syndromes. Eur Heart J. 2023;44(38):3720-3826. doi:10.1093/eurheartj/ehad191 PMID:37622663. URL: https://academic.oup.com/eurheartj/article/44/38/3720/7243210</w:t>
      </w:r>
    </w:p>
    <w:p>
      <w:pPr>
        <w:spacing w:after="60" w:before="0" w:line="336" w:lineRule="auto"/>
        <w:ind w:left="340"/>
      </w:pPr>
      <w:r>
        <w:rPr>
          <w:rFonts w:ascii="Times New Roman" w:hAnsi="Times New Roman" w:eastAsia="宋体"/>
          <w:b w:val="0"/>
          <w:color w:val="1A1A1A"/>
          <w:sz w:val="21"/>
        </w:rPr>
        <w:t>7. Duan X, Zhou L, Wu T, et al. Chinese herbal medicine suxiao jiuxin wan for angina pectoris. Cochrane Database Syst Rev. 2008;(1):CD004473. doi:10.1002/14651858.CD004473.pub2 PMID:18254051. URL: https://pubmed.ncbi.nlm.nih.gov/18254051/</w:t>
      </w:r>
    </w:p>
    <w:p>
      <w:pPr>
        <w:spacing w:after="60" w:before="0" w:line="336" w:lineRule="auto"/>
        <w:ind w:left="340"/>
      </w:pPr>
      <w:r>
        <w:rPr>
          <w:rFonts w:ascii="Times New Roman" w:hAnsi="Times New Roman" w:eastAsia="宋体"/>
          <w:b w:val="0"/>
          <w:color w:val="1A1A1A"/>
          <w:sz w:val="21"/>
        </w:rPr>
        <w:t>8. Efficacy of suxiao jiuxin pill on coronary heart disease: a meta-analysis of randomized controlled trials. Evid Based Complement Alternat Med. 2018;2018:9745804. doi:10.1155/2018/9745804 PMID:29770157. URL: https://pubmed.ncbi.nlm.nih.gov/29770157/</w:t>
      </w:r>
    </w:p>
    <w:p>
      <w:pPr>
        <w:spacing w:after="60" w:before="0" w:line="336" w:lineRule="auto"/>
        <w:ind w:left="340"/>
      </w:pPr>
      <w:r>
        <w:rPr>
          <w:rFonts w:ascii="Times New Roman" w:hAnsi="Times New Roman" w:eastAsia="宋体"/>
          <w:b w:val="0"/>
          <w:color w:val="1A1A1A"/>
          <w:sz w:val="21"/>
        </w:rPr>
        <w:t>9. 林泉, 徐凤芹, 马晓娟, 等. 速效救心丸治疗急性冠状动脉综合征疗效和安全性的系统评价. 天津中医药. 2021;38(5). URL: https://chkdx.cnki.net/kcms/detail/detail.aspx?FileName=TJZY202105018&amp;DbName=CHKJ2021</w:t>
      </w:r>
    </w:p>
    <w:p>
      <w:pPr>
        <w:spacing w:after="60" w:before="0" w:line="336" w:lineRule="auto"/>
        <w:ind w:left="340"/>
      </w:pPr>
      <w:r>
        <w:rPr>
          <w:rFonts w:ascii="Times New Roman" w:hAnsi="Times New Roman" w:eastAsia="宋体"/>
          <w:b w:val="0"/>
          <w:color w:val="1A1A1A"/>
          <w:sz w:val="21"/>
        </w:rPr>
        <w:t>10. 国家药品监督管理局. 速效救心丸药品说明书（津药达仁堂集团股份有限公司第六中药厂）. NMPA 药品说明书索引. 检索日期 2026-08-12.</w:t>
      </w:r>
    </w:p>
    <w:p>
      <w:pPr>
        <w:spacing w:after="60" w:before="0" w:line="336" w:lineRule="auto"/>
        <w:ind w:left="340"/>
      </w:pPr>
      <w:r>
        <w:rPr>
          <w:rFonts w:ascii="Times New Roman" w:hAnsi="Times New Roman" w:eastAsia="宋体"/>
          <w:b w:val="0"/>
          <w:color w:val="1A1A1A"/>
          <w:sz w:val="21"/>
        </w:rPr>
        <w:t>11. 国家药品监督管理局. 硝酸甘油片药品说明书（山东信谊制药有限公司等）. NMPA 药品说明书索引. 检索日期 2026-08-12.</w:t>
      </w:r>
    </w:p>
    <w:p>
      <w:pPr>
        <w:spacing w:after="60" w:before="0" w:line="336" w:lineRule="auto"/>
        <w:ind w:left="340"/>
      </w:pPr>
      <w:r>
        <w:rPr>
          <w:rFonts w:ascii="Times New Roman" w:hAnsi="Times New Roman" w:eastAsia="宋体"/>
          <w:b w:val="0"/>
          <w:color w:val="1A1A1A"/>
          <w:sz w:val="21"/>
        </w:rPr>
        <w:t>12. Li Y, Zhang D, Jin W, et al. Mitochondrial aldehyde dehydrogenase-2 (ALDH2) Glu504Lys polymorphism contributes to the variation in efficacy of sublingual nitroglycerin. J Clin Invest. 2006;116(2):506-511. doi:10.1172/JCI26564 PMID:16440063. URL: https://pubmed.ncbi.nlm.nih.gov/16440063/</w:t>
      </w:r>
    </w:p>
    <w:p>
      <w:pPr>
        <w:spacing w:after="60" w:before="0" w:line="336" w:lineRule="auto"/>
        <w:ind w:left="340"/>
      </w:pPr>
      <w:r>
        <w:rPr>
          <w:rFonts w:ascii="Times New Roman" w:hAnsi="Times New Roman" w:eastAsia="宋体"/>
          <w:b w:val="0"/>
          <w:color w:val="1A1A1A"/>
          <w:sz w:val="21"/>
        </w:rPr>
        <w:t>13. Xia JQ, Song J, Zhang Y, An NN, Ding L, Zhang Z. Effect of aldehyde dehydrogenase 2 gene polymorphism on hemodynamics after nitroglycerin intervention in Northern Chinese Han population. Chin Med J (Engl). 2015;128(2):180-185. doi:10.4103/0366-6999.149192 PMID:25591559. URL: https://pubmed.ncbi.nlm.nih.gov/25591559/</w:t>
      </w:r>
    </w:p>
    <w:p>
      <w:pPr>
        <w:spacing w:after="60" w:before="0" w:line="336" w:lineRule="auto"/>
        <w:ind w:left="340"/>
      </w:pPr>
      <w:r>
        <w:rPr>
          <w:rFonts w:ascii="Times New Roman" w:hAnsi="Times New Roman" w:eastAsia="宋体"/>
          <w:b w:val="0"/>
          <w:color w:val="1A1A1A"/>
          <w:sz w:val="21"/>
        </w:rPr>
        <w:t>14. Glyceryl trinitrate: history, mystery, and alcohol intolerance. Molecules. 2021;26(21):6581. doi:10.3390/molecules26216581 PMID:34770988. URL: https://pubmed.ncbi.nlm.nih.gov/34770988/</w:t>
      </w:r>
    </w:p>
    <w:p>
      <w:pPr>
        <w:spacing w:after="60" w:before="0" w:line="336" w:lineRule="auto"/>
        <w:ind w:left="340"/>
      </w:pPr>
      <w:r>
        <w:rPr>
          <w:rFonts w:ascii="Times New Roman" w:hAnsi="Times New Roman" w:eastAsia="宋体"/>
          <w:b w:val="0"/>
          <w:color w:val="1A1A1A"/>
          <w:sz w:val="21"/>
        </w:rPr>
        <w:t>15. Miura T, Nishinaka T, Terada T, Yonezawa K. Vasodilatory effect of nitroglycerin in Japanese subjects with different aldehyde dehydrogenase 2 (ALDH2) genotypes. Chem Biol Interact. 2017;274:1-5. doi:10.1016/j.cbi.2017.03.012 PMID:28342890. URL: https://pubmed.ncbi.nlm.nih.gov/28342890/</w:t>
      </w:r>
    </w:p>
    <w:p>
      <w:pPr>
        <w:spacing w:after="60" w:before="0" w:line="336" w:lineRule="auto"/>
        <w:ind w:left="340"/>
      </w:pPr>
      <w:r>
        <w:rPr>
          <w:rFonts w:ascii="Times New Roman" w:hAnsi="Times New Roman" w:eastAsia="宋体"/>
          <w:b w:val="0"/>
          <w:color w:val="1A1A1A"/>
          <w:sz w:val="21"/>
        </w:rPr>
        <w:t>16. Li H, Borinskaya S, Yoshimura K, et al. Refined geographic distribution of the oriental ALDH2*504Lys (nee 487Lys) variant. Ann Hum Genet. 2009;73(Pt 3):335-345. doi:10.1111/j.1469-1809.2009.00517.x PMID:19456322. URL: https://pubmed.ncbi.nlm.nih.gov/19456322/</w:t>
      </w:r>
    </w:p>
    <w:p>
      <w:pPr>
        <w:spacing w:after="60" w:before="0" w:line="336" w:lineRule="auto"/>
        <w:ind w:left="340"/>
      </w:pPr>
      <w:r>
        <w:rPr>
          <w:rFonts w:ascii="Times New Roman" w:hAnsi="Times New Roman" w:eastAsia="宋体"/>
          <w:b w:val="0"/>
          <w:color w:val="1A1A1A"/>
          <w:sz w:val="21"/>
        </w:rPr>
        <w:t>17. Evidence for involvement of calcitonin gene-related peptide in nitroglycerin response and association with mitochondrial aldehyde dehydrogenase-2 (ALDH2) Glu504Lys polymorphism. J Am Coll Cardiol. 2008;52(11):953-960. doi:10.1016/j.jacc.2008.05.049 PMID:18772068. URL: https://pubmed.ncbi.nlm.nih.gov/18772068/</w:t>
      </w:r>
    </w:p>
    <w:p>
      <w:pPr>
        <w:spacing w:after="60" w:before="0" w:line="336" w:lineRule="auto"/>
        <w:ind w:left="340"/>
      </w:pPr>
      <w:r>
        <w:rPr>
          <w:rFonts w:ascii="Times New Roman" w:hAnsi="Times New Roman" w:eastAsia="宋体"/>
          <w:b w:val="0"/>
          <w:color w:val="1A1A1A"/>
          <w:sz w:val="21"/>
        </w:rPr>
        <w:t>18. Zhang H, Chen YG, Xu F, Xue L, Jiang CX, Zhang Y. The relationship between aldehyde dehydrogenase-2 gene polymorphisms and efficacy of nitroglycerin. Zhonghua Nei Ke Za Zhi. 2007;46(8):629-632. PMID:17967228. URL: https://pubmed.ncbi.nlm.nih.gov/17967228/</w:t>
      </w:r>
    </w:p>
    <w:p>
      <w:pPr>
        <w:spacing w:after="60" w:before="0" w:line="336" w:lineRule="auto"/>
        <w:ind w:left="340"/>
      </w:pPr>
      <w:r>
        <w:rPr>
          <w:rFonts w:ascii="Times New Roman" w:hAnsi="Times New Roman" w:eastAsia="宋体"/>
          <w:b w:val="0"/>
          <w:color w:val="1A1A1A"/>
          <w:sz w:val="21"/>
        </w:rPr>
        <w:t>19. Smida T, Crowe RP, Price BS, Scheidler J, Bardes J. A “target trial emulation” of prehospital sublingual nitroglycerin administration for suspected acute coronary syndrome. Prehosp Emerg Care. 2026. doi:10.1080/10903127.2026.2645131 PMID:41849739. URL: https://pubmed.ncbi.nlm.nih.gov/41849739/</w:t>
      </w:r>
    </w:p>
    <w:p>
      <w:pPr>
        <w:spacing w:after="60" w:before="0" w:line="336" w:lineRule="auto"/>
        <w:ind w:left="340"/>
      </w:pPr>
      <w:r>
        <w:rPr>
          <w:rFonts w:ascii="Times New Roman" w:hAnsi="Times New Roman" w:eastAsia="宋体"/>
          <w:b w:val="0"/>
          <w:color w:val="1A1A1A"/>
          <w:sz w:val="21"/>
        </w:rPr>
        <w:t>20. Alrawashdeh A, Nehme Z, Williams B, et al. Impact of emergency medical service delays on time to reperfusion and mortality in STEMI. Open Heart. 2021;8(1):e001654. doi:10.1136/openhrt-2021-001654 PMID:33963080. URL: https://pubmed.ncbi.nlm.nih.gov/33963080/</w:t>
      </w:r>
    </w:p>
    <w:p>
      <w:pPr>
        <w:spacing w:after="60" w:before="0" w:line="336" w:lineRule="auto"/>
        <w:ind w:left="340"/>
      </w:pPr>
      <w:r>
        <w:rPr>
          <w:rFonts w:ascii="Times New Roman" w:hAnsi="Times New Roman" w:eastAsia="宋体"/>
          <w:b w:val="0"/>
          <w:color w:val="1A1A1A"/>
          <w:sz w:val="21"/>
        </w:rPr>
        <w:t>21. Dziewierz A, Zdzierak B, Wańha W, De Luca G, Rakowski T. The irreversible march of time: ischemic delay and impact on outcomes in ST-segment elevation myocardial infarction. J Cardiovasc Dev Dis. 2025;12(12):474. doi:10.3390/jcdd12120474 PMID:41440853. URL: https://pubmed.ncbi.nlm.nih.gov/41440853/</w:t>
      </w:r>
    </w:p>
    <w:p>
      <w:pPr>
        <w:spacing w:after="60" w:before="0" w:line="336" w:lineRule="auto"/>
        <w:ind w:left="340"/>
      </w:pPr>
      <w:r>
        <w:rPr>
          <w:rFonts w:ascii="Times New Roman" w:hAnsi="Times New Roman" w:eastAsia="宋体"/>
          <w:b w:val="0"/>
          <w:color w:val="1A1A1A"/>
          <w:sz w:val="21"/>
        </w:rPr>
        <w:t>22. Zahn R, Schiele R, Gitt AK, et al. Impact of prehospital delay on mortality in patients with acute myocardial infarction treated with primary angioplasty and intravenous thrombolysis. Am Heart J. 2001;142(1):105-111. doi:10.1067/mhj.2001.115585 PMID:11431665. URL: https://pubmed.ncbi.nlm.nih.gov/11431665/</w:t>
      </w:r>
    </w:p>
    <w:p>
      <w:pPr>
        <w:spacing w:after="60" w:before="0" w:line="336" w:lineRule="auto"/>
        <w:ind w:left="340"/>
      </w:pPr>
      <w:r>
        <w:rPr>
          <w:rFonts w:ascii="Times New Roman" w:hAnsi="Times New Roman" w:eastAsia="宋体"/>
          <w:b w:val="0"/>
          <w:color w:val="1A1A1A"/>
          <w:sz w:val="21"/>
        </w:rPr>
        <w:t>23. Mackenzie IS, Maki-Petaja KM, McEniery CM, et al. Aldehyde dehydrogenase 2 plays a role in the bioactivation of nitroglycerin in humans. Arterioscler Thromb Vasc Biol. 2005;25(9):1891-1895. doi:10.1161/01.ATV.0000179599.71086.89 PMID:16051882. URL: https://pubmed.ncbi.nlm.nih.gov/16051882/</w:t>
      </w:r>
    </w:p>
    <w:p>
      <w:pPr>
        <w:spacing w:after="60" w:before="0" w:line="336" w:lineRule="auto"/>
        <w:ind w:left="340"/>
      </w:pPr>
      <w:r>
        <w:rPr>
          <w:rFonts w:ascii="Times New Roman" w:hAnsi="Times New Roman" w:eastAsia="宋体"/>
          <w:b w:val="0"/>
          <w:color w:val="1A1A1A"/>
          <w:sz w:val="21"/>
        </w:rPr>
        <w:t>24. National Health Service (NHS). Chest pain. NHS website; last reviewed 2023-08-08. URL: https://www.nhs.uk/symptoms/chest-pain/</w:t>
      </w:r>
    </w:p>
    <w:p>
      <w:pPr>
        <w:spacing w:after="60" w:before="0" w:line="336" w:lineRule="auto"/>
        <w:ind w:left="340"/>
      </w:pPr>
      <w:r>
        <w:rPr>
          <w:rFonts w:ascii="Times New Roman" w:hAnsi="Times New Roman" w:eastAsia="宋体"/>
          <w:b w:val="0"/>
          <w:color w:val="1A1A1A"/>
          <w:sz w:val="21"/>
        </w:rPr>
        <w:t>25. 中华医学会急诊医学分会, 中国医疗保健国际交流促进会胸痛分会. 急性胸痛急诊诊疗专家共识. 中华急诊医学杂志. 2019;28(4):413-420.</w:t>
      </w:r>
    </w:p>
    <w:p>
      <w:pPr>
        <w:spacing w:after="60" w:before="0" w:line="336" w:lineRule="auto"/>
        <w:ind w:left="340"/>
      </w:pPr>
      <w:r>
        <w:rPr>
          <w:rFonts w:ascii="Times New Roman" w:hAnsi="Times New Roman" w:eastAsia="宋体"/>
          <w:b w:val="0"/>
          <w:color w:val="1A1A1A"/>
          <w:sz w:val="21"/>
        </w:rPr>
        <w:t>26. 中国医师协会急诊医师分会. 急性冠脉综合征临床实践指南（一）. 2015-12-20.</w:t>
      </w:r>
    </w:p>
    <w:p>
      <w:pPr>
        <w:spacing w:after="60" w:before="0" w:line="336" w:lineRule="auto"/>
        <w:ind w:left="340"/>
      </w:pPr>
      <w:r>
        <w:rPr>
          <w:rFonts w:ascii="Times New Roman" w:hAnsi="Times New Roman" w:eastAsia="宋体"/>
          <w:b w:val="0"/>
          <w:color w:val="1A1A1A"/>
          <w:sz w:val="21"/>
        </w:rPr>
        <w:t>27. 刘盛力, 周东晖, 王丽, 等. 辽宁省农村心肌梗死治疗现状分析. 中国实用内科杂志. 2010;30(12). URL: https://www.sinomed.ac.cn/zh/detail.do?ui=2011330665</w:t>
      </w:r>
    </w:p>
    <w:p>
      <w:pPr>
        <w:spacing w:after="60" w:before="0" w:line="336" w:lineRule="auto"/>
        <w:ind w:left="340"/>
      </w:pPr>
      <w:r>
        <w:rPr>
          <w:rFonts w:ascii="Times New Roman" w:hAnsi="Times New Roman" w:eastAsia="宋体"/>
          <w:b w:val="0"/>
          <w:color w:val="1A1A1A"/>
          <w:sz w:val="21"/>
        </w:rPr>
        <w:t>28. ClinicalTrials.gov. Intervention of suxiao jiuxin pill on instability of vulnerable plaque in acute myocardial infarction (NCT05466968). URL: https://www.clinicaltrials.gov/ct2/show/NCT05466968</w:t>
      </w:r>
    </w:p>
    <w:p>
      <w:pPr>
        <w:spacing w:after="60" w:before="0" w:line="336" w:lineRule="auto"/>
        <w:ind w:left="340"/>
      </w:pPr>
      <w:r>
        <w:rPr>
          <w:rFonts w:ascii="Times New Roman" w:hAnsi="Times New Roman" w:eastAsia="宋体"/>
          <w:b w:val="0"/>
          <w:color w:val="1A1A1A"/>
          <w:sz w:val="21"/>
        </w:rPr>
        <w:t>29. ClinicalTrials.gov. Suxiao jiuxin pills in microvascular obstruction in patients with acute coronary syndrome (NCT04814121). URL: https://www.clinicaltrials.gov/ct2/show/NCT04814121</w:t>
      </w:r>
    </w:p>
    <w:p>
      <w:pPr>
        <w:spacing w:after="60" w:before="0" w:line="336" w:lineRule="auto"/>
        <w:ind w:left="340"/>
      </w:pPr>
      <w:r>
        <w:rPr>
          <w:rFonts w:ascii="Times New Roman" w:hAnsi="Times New Roman" w:eastAsia="宋体"/>
          <w:b w:val="0"/>
          <w:color w:val="1A1A1A"/>
          <w:sz w:val="21"/>
        </w:rPr>
        <w:t>30. 国外急诊/重症相关专家小组. 2022 急诊专家意见：急性冠脉综合征患者的院前治疗（更新版）. 2022-05-06.</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