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速效救心丸与复方丹参滴丸的可核验差异：适应症、起效特征与证据强度的对比评价，兼论"可连续服用3个月"说法的出处追溯</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结论先行。</w:t>
      </w:r>
      <w:r>
        <w:rPr>
          <w:rFonts w:ascii="Times New Roman" w:hAnsi="Times New Roman" w:eastAsia="宋体"/>
          <w:b w:val="0"/>
          <w:color w:val="1A1A1A"/>
          <w:sz w:val="21"/>
        </w:rPr>
        <w:t xml:space="preserve"> 两药在说明书适应症上高度重叠（均用于气滞血瘀型冠心病心绞痛），但禁忌、规格与用法表述存在可核验差异</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；起效特征中仅复方丹参滴丸具有人体药动学数据（主要成分达峰时间 Tmax&lt;1 小时）</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，速效救心丸未检索到人体达峰时间研究，机制证据停留在临床前与机制学层面</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。两药之间不存在方法学可靠的头对头随机对照试验；同入 179 项 RCT 网络 meta 分析（无直接比较边，全部纳入试验偏倚风险评级"some concerns"）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，其余大样本贝叶斯网络 meta 分析（摘要层级）给出 GRADE 低证据强度</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"可连续服用3个月"未能追溯到可核验来源</w:t>
      </w:r>
      <w:r>
        <w:rPr>
          <w:rFonts w:ascii="Times New Roman" w:hAnsi="Times New Roman" w:eastAsia="宋体"/>
          <w:b w:val="0"/>
          <w:color w:val="1A1A1A"/>
          <w:sz w:val="21"/>
        </w:rPr>
        <w:t>：说明书（NMPA 索引记录）、专家共识、指南索引与临床研究中均未检索到该表述 ；复方丹参滴丸权威推荐疗程为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，速效救心丸现行随机对照证据采用 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或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干预期。该说法仅见于非权威的网络药店与科普营销页面，不应作为处方与患者教育依据。</w:t>
      </w:r>
    </w:p>
    <w:p>
      <w:pPr>
        <w:spacing w:after="60" w:before="0" w:line="336" w:lineRule="auto"/>
        <w:ind w:left="340"/>
      </w:pPr>
      <w:r>
        <w:rPr>
          <w:rFonts w:ascii="Times New Roman" w:hAnsi="Times New Roman" w:eastAsia="宋体"/>
          <w:b w:val="0"/>
          <w:color w:val="1A1A1A"/>
          <w:sz w:val="21"/>
        </w:rPr>
        <w:t>· 说明书适应症：两药均载"气滞血瘀型冠心病心绞痛"；复方丹参滴丸另含 2 型糖尿病非增殖性视网膜病变适应症（NMPA 标签索引记录，需官方现行版核验）</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，速效救心丸无此适应症</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禁忌差异可核验：速效救心丸说明书将孕妇列为禁用</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；复方丹参滴丸说明书为"对本品及所含成份过敏者禁用"</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规格差异可核验：速效救心丸每丸 40 mg（批准文号 Z12020025，津药达仁堂第六中药厂）</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；复方丹参滴丸规格见说明书索引记录</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（见正文表与证据局限）。</w:t>
      </w:r>
    </w:p>
    <w:p>
      <w:pPr>
        <w:spacing w:after="60" w:before="0" w:line="336" w:lineRule="auto"/>
        <w:ind w:left="340"/>
      </w:pPr>
      <w:r>
        <w:rPr>
          <w:rFonts w:ascii="Times New Roman" w:hAnsi="Times New Roman" w:eastAsia="宋体"/>
          <w:b w:val="0"/>
          <w:color w:val="1A1A1A"/>
          <w:sz w:val="21"/>
        </w:rPr>
        <w:t>· 用法差异：复方丹参滴丸专家建议明确"一次 10 丸、一日 3 次，口服或舌下含服，疗程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；速效救心丸现行随机对照研究方案为舌下含服一次 5 丸、一日 3 次，4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或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起效证据不对称：复方丹参滴丸主要药效成分 Tmax 均 &lt;1 小时、滴丸 5–7 分钟完全溶散、舌下含服可避免首过效应</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；速效救心丸仅检索到"口服后血浆中检出多种主要化合物"的定性药动学证据与 eNOS-NO/CaMKII 机制研究</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，两药间无头对头药动学比较。</w:t>
      </w:r>
    </w:p>
    <w:p>
      <w:pPr>
        <w:spacing w:after="60" w:before="0" w:line="336" w:lineRule="auto"/>
        <w:ind w:left="340"/>
      </w:pPr>
      <w:r>
        <w:rPr>
          <w:rFonts w:ascii="Times New Roman" w:hAnsi="Times New Roman" w:eastAsia="宋体"/>
          <w:b w:val="0"/>
          <w:color w:val="1A1A1A"/>
          <w:sz w:val="21"/>
        </w:rPr>
        <w:t>· 头对头证据：PubMed 未检索到两药直接比较的英文 RCT；中文学术库检索到多项直接比较报告（发表时间跨度大、多为单中心小样本、非核心期刊，题录层级）</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间接比较：179 项 RCT 网络 meta 中，临床有效率 SUCRA 排序速效救心丸+西药居第二（71.04%）</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；全部纳入试验偏倚风险"some concerns"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，结论强度有限。</w:t>
      </w:r>
    </w:p>
    <w:p>
      <w:pPr>
        <w:spacing w:after="60" w:before="0" w:line="336" w:lineRule="auto"/>
        <w:ind w:left="340"/>
      </w:pPr>
      <w:r>
        <w:rPr>
          <w:rFonts w:ascii="Times New Roman" w:hAnsi="Times New Roman" w:eastAsia="宋体"/>
          <w:b w:val="0"/>
          <w:color w:val="1A1A1A"/>
          <w:sz w:val="21"/>
        </w:rPr>
        <w:t>· 疗程说法：权威来源（2017 专家建议、2024 与 2021 年 RCT）给出的疗程为 4 周（可延长）或 24 周，均非"3 个月"</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；"连续服用 3 个月"在说明书、共识、指南与临床研究层面均未检索到出处，仅见于网络药店与科普页面。</w:t>
      </w:r>
    </w:p>
    <w:p>
      <w:pPr>
        <w:spacing w:after="100" w:before="240" w:line="300" w:lineRule="auto"/>
      </w:pPr>
      <w:r>
        <w:rPr>
          <w:rFonts w:ascii="Times New Roman" w:hAnsi="Times New Roman" w:eastAsia="黑体"/>
          <w:b/>
          <w:color w:val="1A1A1A"/>
          <w:sz w:val="25"/>
        </w:rPr>
        <w:t>临床问题与判定条件</w:t>
      </w:r>
    </w:p>
    <w:p>
      <w:pPr>
        <w:spacing w:after="120" w:before="0" w:line="348" w:lineRule="auto"/>
        <w:ind w:firstLine="420"/>
      </w:pPr>
      <w:r>
        <w:rPr>
          <w:rFonts w:ascii="Times New Roman" w:hAnsi="Times New Roman" w:eastAsia="宋体"/>
          <w:b w:val="0"/>
          <w:color w:val="1A1A1A"/>
          <w:sz w:val="21"/>
        </w:rPr>
        <w:t>本报告的命题是：</w:t>
      </w:r>
      <w:r>
        <w:rPr>
          <w:rFonts w:ascii="Times New Roman" w:hAnsi="Times New Roman" w:eastAsia="宋体"/>
          <w:b/>
          <w:color w:val="1A1A1A"/>
          <w:sz w:val="21"/>
        </w:rPr>
        <w:t>速效救心丸与复方丹参滴丸之间的差异中，哪些可被核验、以何种证据强度支持，以及"本品可连续服用3个月"这一流行说法能否追溯到权威出处。</w:t>
      </w:r>
      <w:r>
        <w:rPr>
          <w:rFonts w:ascii="Times New Roman" w:hAnsi="Times New Roman" w:eastAsia="宋体"/>
          <w:b w:val="0"/>
          <w:color w:val="1A1A1A"/>
          <w:sz w:val="21"/>
        </w:rPr>
        <w:t xml:space="preserve"> 判定条件有三：</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可核验性</w:t>
      </w:r>
      <w:r>
        <w:rPr>
          <w:rFonts w:ascii="Times New Roman" w:hAnsi="Times New Roman" w:eastAsia="宋体"/>
          <w:b w:val="0"/>
          <w:color w:val="1A1A1A"/>
          <w:sz w:val="21"/>
        </w:rPr>
        <w:t>——各项"差异"必须落到可追溯的来源（说明书、药典、指南/共识、注册研究、同行评审文献）；无法核验的差异不得写入结论；</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出处完整性</w:t>
      </w:r>
      <w:r>
        <w:rPr>
          <w:rFonts w:ascii="Times New Roman" w:hAnsi="Times New Roman" w:eastAsia="宋体"/>
          <w:b w:val="0"/>
          <w:color w:val="1A1A1A"/>
          <w:sz w:val="21"/>
        </w:rPr>
        <w:t>——"可连续服用3个月"若为真，必须能在说明书、指南、共识、临床研究或监管文件中定位；若不能，必须如实写"未能追溯到可核验来源"，不得以合理推断冒充出处；</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证据等级约束</w:t>
      </w:r>
      <w:r>
        <w:rPr>
          <w:rFonts w:ascii="Times New Roman" w:hAnsi="Times New Roman" w:eastAsia="宋体"/>
          <w:b w:val="0"/>
          <w:color w:val="1A1A1A"/>
          <w:sz w:val="21"/>
        </w:rPr>
        <w:t>——在缺乏头对头随机对照证据时，不得暗示或宣称某一药物优于另一药物；排序类结论（如网络 meta 的 SUCRA）只能作为低强度间接证据表述，且必须附带其不确定性。</w:t>
      </w:r>
    </w:p>
    <w:p>
      <w:pPr>
        <w:spacing w:after="120" w:before="0" w:line="348" w:lineRule="auto"/>
        <w:ind w:firstLine="420"/>
      </w:pPr>
      <w:r>
        <w:rPr>
          <w:rFonts w:ascii="Times New Roman" w:hAnsi="Times New Roman" w:eastAsia="宋体"/>
          <w:b w:val="0"/>
          <w:color w:val="1A1A1A"/>
          <w:sz w:val="21"/>
        </w:rPr>
        <w:t>为使命题为真，"说明书差异可核验"要求两药标签文本可定位；"3 个月说法无出处"要求四层检索（说明书/指南/共识/研究 + 网络）均为阴性；"证据强度可对比"要求包含两药的间接比较框架存在且其质量可评估。以下逐层检验这三个条件。</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ind w:firstLine="420"/>
      </w:pPr>
      <w:r>
        <w:rPr>
          <w:rFonts w:ascii="Times New Roman" w:hAnsi="Times New Roman" w:eastAsia="宋体"/>
          <w:b w:val="0"/>
          <w:color w:val="1A1A1A"/>
          <w:sz w:val="21"/>
        </w:rPr>
        <w:t>检索日期为 2026-08-11。检索来源包括：中文学术数据库（SinoMed、CNKI、万方、维普）、PubMed、Europe PMC、Crossref、指南与共识索引、NMPA 药品说明书索引、ClinicalTrials.gov 注册库，以及公开网络检索（后者仅用于核实"3 个月"说法的传播面，不作为证据来源）。</w:t>
      </w:r>
    </w:p>
    <w:p>
      <w:pPr>
        <w:spacing w:after="120" w:before="0" w:line="348" w:lineRule="auto"/>
        <w:ind w:firstLine="420"/>
      </w:pPr>
      <w:r>
        <w:rPr>
          <w:rFonts w:ascii="Times New Roman" w:hAnsi="Times New Roman" w:eastAsia="宋体"/>
          <w:b w:val="0"/>
          <w:color w:val="1A1A1A"/>
          <w:sz w:val="21"/>
        </w:rPr>
        <w:t>查询概念覆盖四域：①标签层（"速效救心丸 说明书 用法用量"、两药说明书检索）；②起效与药动学（"速效救心丸 起效 达峰"、"复方丹参滴丸 舌下含服 起效时间"、"Suxiao Jiuxin Wan"、"Suxiao Jiuxin"）；③头对头与间接比较（"速效救心丸 复方丹参滴丸"、"中成药 冠心病心绞痛 网络Meta分析"、"suxiao jiuxin fufang danshen comparison"、"Compound Danshen Dripping Pill angina"）；④疗程与"3 个月"（"速效救心丸 疗程 三个月"、"复方丹参滴丸 疗程 3个月"、公开网络"速效救心丸 '3个月' 疗程"、"复方丹参滴丸 '连续服用3个月'"）。共记录 26 次成功检索（中文学术库、PubMed、Europe PMC、Crossref、指南索引、ClinicalTrials.gov 六个来源类别），合计命中题录 232 条；跨来源去重后 225 条；筛入 20 个来源。</w:t>
      </w:r>
    </w:p>
    <w:p>
      <w:pPr>
        <w:spacing w:after="120" w:before="0" w:line="348" w:lineRule="auto"/>
        <w:ind w:firstLine="420"/>
      </w:pPr>
      <w:r>
        <w:rPr>
          <w:rFonts w:ascii="Times New Roman" w:hAnsi="Times New Roman" w:eastAsia="宋体"/>
          <w:b w:val="0"/>
          <w:color w:val="1A1A1A"/>
          <w:sz w:val="21"/>
        </w:rPr>
        <w:t>纳入来源的证据层级分布：全文 6 篇（PMC5407045、PMC12014028、PMC11451125、PMC5892298、PMC8287819、PMC9428755，均以开放获取全文核读）；官方页面（NHS 胸痛处置页）；结构化记录 6 项（NMPA 两药说明书索引记录 2 项、速效救心丸专家共识 2019、复方丹参滴丸专家共识 2025、中成药治疗冠心病临床应用指南 2020、T89 III 期注册 NCT01659580）；摘要级 7 项（大样本贝叶斯网络 meta 分析、速效救心丸 ACS 系统评价 2020、疗程 meta 分析 2022、头对头代表研究 3 项与药物经济学队列 1 项）。排除与筛去规则：非两药干预研究、会议摘要、无明确药物标识的条目、与主题无关的 PubMed 噪音记录；科普/药店类网络页面仅用于"3 个月"说法的传播面佐证，不作为证据来源。</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4.1 说明书与标签层面</w:t>
      </w:r>
    </w:p>
    <w:p>
      <w:pPr>
        <w:spacing w:after="120" w:before="0" w:line="348" w:lineRule="auto"/>
        <w:ind w:firstLine="420"/>
      </w:pPr>
      <w:r>
        <w:rPr>
          <w:rFonts w:ascii="Times New Roman" w:hAnsi="Times New Roman" w:eastAsia="宋体"/>
          <w:b w:val="0"/>
          <w:color w:val="1A1A1A"/>
          <w:sz w:val="21"/>
        </w:rPr>
        <w:t>两药说明书文本以国家药品监督管理局（NMPA）数据查询收录的说明书索引记录为据；说明书原文全文未公开获取，现行官方版本需人工核验（见证据局限）。下表标注每项的来源与核验层级：</w:t>
      </w:r>
    </w:p>
    <w:tbl>
      <w:tblPr>
        <w:tblW w:type="auto" w:w="0"/>
        <w:jc w:val="center"/>
        <w:tblLook w:firstColumn="1" w:firstRow="1" w:lastColumn="0" w:lastRow="0" w:noHBand="0" w:noVBand="1" w:val="04A0"/>
        <w:tblBorders>
          <w:top w:val="single" w:sz="12" w:color="1A1A1A"/>
          <w:bottom w:val="single" w:sz="12" w:color="1A1A1A"/>
          <w:left w:val="none"/>
          <w:right w:val="none"/>
          <w:insideH w:val="none"/>
          <w:insideV w:val="none"/>
        </w:tblBorders>
      </w:tblPr>
      <w:tblGrid>
        <w:gridCol w:w="2323"/>
        <w:gridCol w:w="2323"/>
        <w:gridCol w:w="2323"/>
        <w:gridCol w:w="2323"/>
      </w:tblGrid>
      <w:tr>
        <w:tc>
          <w:tcPr>
            <w:tcW w:type="dxa" w:w="2323"/>
            <w:tcBorders>
              <w:bottom w:val="single" w:sz="6" w:color="1A1A1A"/>
            </w:tcBorders>
          </w:tcPr>
          <w:p>
            <w:pPr>
              <w:jc w:val="center"/>
            </w:pPr>
            <w:r>
              <w:rPr>
                <w:rFonts w:ascii="Times New Roman" w:hAnsi="Times New Roman" w:eastAsia="宋体"/>
                <w:b/>
                <w:color w:val="1A1A1A"/>
                <w:sz w:val="17"/>
              </w:rPr>
              <w:t>项目</w:t>
            </w:r>
          </w:p>
        </w:tc>
        <w:tc>
          <w:tcPr>
            <w:tcW w:type="dxa" w:w="2323"/>
            <w:tcBorders>
              <w:bottom w:val="single" w:sz="6" w:color="1A1A1A"/>
            </w:tcBorders>
          </w:tcPr>
          <w:p>
            <w:pPr>
              <w:jc w:val="center"/>
            </w:pPr>
            <w:r>
              <w:rPr>
                <w:rFonts w:ascii="Times New Roman" w:hAnsi="Times New Roman" w:eastAsia="宋体"/>
                <w:b/>
                <w:color w:val="1A1A1A"/>
                <w:sz w:val="17"/>
              </w:rPr>
              <w:t>速效救心丸</w:t>
            </w:r>
          </w:p>
        </w:tc>
        <w:tc>
          <w:tcPr>
            <w:tcW w:type="dxa" w:w="2323"/>
            <w:tcBorders>
              <w:bottom w:val="single" w:sz="6" w:color="1A1A1A"/>
            </w:tcBorders>
          </w:tcPr>
          <w:p>
            <w:pPr>
              <w:jc w:val="center"/>
            </w:pPr>
            <w:r>
              <w:rPr>
                <w:rFonts w:ascii="Times New Roman" w:hAnsi="Times New Roman" w:eastAsia="宋体"/>
                <w:b/>
                <w:color w:val="1A1A1A"/>
                <w:sz w:val="17"/>
              </w:rPr>
              <w:t>复方丹参滴丸</w:t>
            </w:r>
          </w:p>
        </w:tc>
        <w:tc>
          <w:tcPr>
            <w:tcW w:type="dxa" w:w="2323"/>
            <w:tcBorders>
              <w:bottom w:val="single" w:sz="6" w:color="1A1A1A"/>
            </w:tcBorders>
          </w:tcPr>
          <w:p>
            <w:pPr>
              <w:jc w:val="center"/>
            </w:pPr>
            <w:r>
              <w:rPr>
                <w:rFonts w:ascii="Times New Roman" w:hAnsi="Times New Roman" w:eastAsia="宋体"/>
                <w:b/>
                <w:color w:val="1A1A1A"/>
                <w:sz w:val="17"/>
              </w:rPr>
              <w:t>差异可核验性</w:t>
            </w:r>
          </w:p>
        </w:tc>
      </w:tr>
      <w:tr>
        <w:tc>
          <w:tcPr>
            <w:tcW w:type="dxa" w:w="2323"/>
          </w:tcPr>
          <w:p>
            <w:r>
              <w:rPr>
                <w:rFonts w:ascii="Times New Roman" w:hAnsi="Times New Roman" w:eastAsia="宋体"/>
                <w:b w:val="0"/>
                <w:color w:val="1A1A1A"/>
                <w:sz w:val="17"/>
              </w:rPr>
              <w:t>功能主治</w:t>
            </w:r>
          </w:p>
        </w:tc>
        <w:tc>
          <w:tcPr>
            <w:tcW w:type="dxa" w:w="2323"/>
          </w:tcPr>
          <w:p>
            <w:r>
              <w:rPr>
                <w:rFonts w:ascii="Times New Roman" w:hAnsi="Times New Roman" w:eastAsia="宋体"/>
                <w:b w:val="0"/>
                <w:color w:val="1A1A1A"/>
                <w:sz w:val="17"/>
              </w:rPr>
              <w:t>行气活血，祛瘀止痛，增加冠脉血流量，缓解心绞痛。用于气滞血瘀型冠心病，心绞痛</w:t>
            </w:r>
            <w:r>
              <w:rPr>
                <w:rFonts w:ascii="Times New Roman" w:hAnsi="Times New Roman" w:eastAsia="宋体"/>
                <w:b w:val="0"/>
                <w:color w:val="1A1A1A"/>
                <w:sz w:val="17"/>
                <w:vertAlign w:val="superscript"/>
              </w:rPr>
              <w:t>[11]</w:t>
            </w:r>
          </w:p>
        </w:tc>
        <w:tc>
          <w:tcPr>
            <w:tcW w:type="dxa" w:w="2323"/>
          </w:tcPr>
          <w:p>
            <w:r>
              <w:rPr>
                <w:rFonts w:ascii="Times New Roman" w:hAnsi="Times New Roman" w:eastAsia="宋体"/>
                <w:b w:val="0"/>
                <w:color w:val="1A1A1A"/>
                <w:sz w:val="17"/>
              </w:rPr>
              <w:t>活血化瘀，理气止痛。用于气滞血瘀所致的胸痹……冠心病心绞痛见上述证候者；另含 2 型糖尿病非增殖性视网膜病变适应症</w:t>
            </w:r>
            <w:r>
              <w:rPr>
                <w:rFonts w:ascii="Times New Roman" w:hAnsi="Times New Roman" w:eastAsia="宋体"/>
                <w:b w:val="0"/>
                <w:color w:val="1A1A1A"/>
                <w:sz w:val="17"/>
                <w:vertAlign w:val="superscript"/>
              </w:rPr>
              <w:t>[12]</w:t>
            </w:r>
          </w:p>
        </w:tc>
        <w:tc>
          <w:tcPr>
            <w:tcW w:type="dxa" w:w="2323"/>
          </w:tcPr>
          <w:p>
            <w:r>
              <w:rPr>
                <w:rFonts w:ascii="Times New Roman" w:hAnsi="Times New Roman" w:eastAsia="宋体"/>
                <w:b w:val="0"/>
                <w:color w:val="1A1A1A"/>
                <w:sz w:val="17"/>
              </w:rPr>
              <w:t>可核验（NMPA 标签索引）</w:t>
            </w:r>
            <w:r>
              <w:rPr>
                <w:rFonts w:ascii="Times New Roman" w:hAnsi="Times New Roman" w:eastAsia="宋体"/>
                <w:b w:val="0"/>
                <w:color w:val="1A1A1A"/>
                <w:sz w:val="17"/>
                <w:vertAlign w:val="superscript"/>
              </w:rPr>
              <w:t>[11]</w:t>
            </w:r>
            <w:r>
              <w:rPr>
                <w:rFonts w:ascii="Times New Roman" w:hAnsi="Times New Roman" w:eastAsia="宋体"/>
                <w:b w:val="0"/>
                <w:color w:val="1A1A1A"/>
                <w:sz w:val="17"/>
                <w:vertAlign w:val="superscript"/>
              </w:rPr>
              <w:t>[12]</w:t>
            </w:r>
          </w:p>
        </w:tc>
      </w:tr>
      <w:tr>
        <w:tc>
          <w:tcPr>
            <w:tcW w:type="dxa" w:w="2323"/>
          </w:tcPr>
          <w:p>
            <w:r>
              <w:rPr>
                <w:rFonts w:ascii="Times New Roman" w:hAnsi="Times New Roman" w:eastAsia="宋体"/>
                <w:b w:val="0"/>
                <w:color w:val="1A1A1A"/>
                <w:sz w:val="17"/>
              </w:rPr>
              <w:t>主要组成</w:t>
            </w:r>
          </w:p>
        </w:tc>
        <w:tc>
          <w:tcPr>
            <w:tcW w:type="dxa" w:w="2323"/>
          </w:tcPr>
          <w:p>
            <w:r>
              <w:rPr>
                <w:rFonts w:ascii="Times New Roman" w:hAnsi="Times New Roman" w:eastAsia="宋体"/>
                <w:b w:val="0"/>
                <w:color w:val="1A1A1A"/>
                <w:sz w:val="17"/>
              </w:rPr>
              <w:t>川芎（川芎嗪）、冰片</w:t>
            </w:r>
            <w:r>
              <w:rPr>
                <w:rFonts w:ascii="Times New Roman" w:hAnsi="Times New Roman" w:eastAsia="宋体"/>
                <w:b w:val="0"/>
                <w:color w:val="1A1A1A"/>
                <w:sz w:val="17"/>
                <w:vertAlign w:val="superscript"/>
              </w:rPr>
              <w:t>[2]</w:t>
            </w:r>
            <w:r>
              <w:rPr>
                <w:rFonts w:ascii="Times New Roman" w:hAnsi="Times New Roman" w:eastAsia="宋体"/>
                <w:b w:val="0"/>
                <w:color w:val="1A1A1A"/>
                <w:sz w:val="17"/>
                <w:vertAlign w:val="superscript"/>
              </w:rPr>
              <w:t>[4]</w:t>
            </w:r>
          </w:p>
        </w:tc>
        <w:tc>
          <w:tcPr>
            <w:tcW w:type="dxa" w:w="2323"/>
          </w:tcPr>
          <w:p>
            <w:r>
              <w:rPr>
                <w:rFonts w:ascii="Times New Roman" w:hAnsi="Times New Roman" w:eastAsia="宋体"/>
                <w:b w:val="0"/>
                <w:color w:val="1A1A1A"/>
                <w:sz w:val="17"/>
              </w:rPr>
              <w:t>丹参、三七、冰片</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可核验（全文/试验方案）</w:t>
            </w:r>
            <w:r>
              <w:rPr>
                <w:rFonts w:ascii="Times New Roman" w:hAnsi="Times New Roman" w:eastAsia="宋体"/>
                <w:b w:val="0"/>
                <w:color w:val="1A1A1A"/>
                <w:sz w:val="17"/>
                <w:vertAlign w:val="superscript"/>
              </w:rPr>
              <w:t>[2]</w:t>
            </w:r>
            <w:r>
              <w:rPr>
                <w:rFonts w:ascii="Times New Roman" w:hAnsi="Times New Roman" w:eastAsia="宋体"/>
                <w:b w:val="0"/>
                <w:color w:val="1A1A1A"/>
                <w:sz w:val="17"/>
                <w:vertAlign w:val="superscript"/>
              </w:rPr>
              <w:t>[4]</w:t>
            </w:r>
            <w:r>
              <w:rPr>
                <w:rFonts w:ascii="Times New Roman" w:hAnsi="Times New Roman" w:eastAsia="宋体"/>
                <w:b w:val="0"/>
                <w:color w:val="1A1A1A"/>
                <w:sz w:val="17"/>
                <w:vertAlign w:val="superscript"/>
              </w:rPr>
              <w:t>[5]</w:t>
            </w:r>
          </w:p>
        </w:tc>
      </w:tr>
      <w:tr>
        <w:tc>
          <w:tcPr>
            <w:tcW w:type="dxa" w:w="2323"/>
          </w:tcPr>
          <w:p>
            <w:r>
              <w:rPr>
                <w:rFonts w:ascii="Times New Roman" w:hAnsi="Times New Roman" w:eastAsia="宋体"/>
                <w:b w:val="0"/>
                <w:color w:val="1A1A1A"/>
                <w:sz w:val="17"/>
              </w:rPr>
              <w:t>规格</w:t>
            </w:r>
          </w:p>
        </w:tc>
        <w:tc>
          <w:tcPr>
            <w:tcW w:type="dxa" w:w="2323"/>
          </w:tcPr>
          <w:p>
            <w:r>
              <w:rPr>
                <w:rFonts w:ascii="Times New Roman" w:hAnsi="Times New Roman" w:eastAsia="宋体"/>
                <w:b w:val="0"/>
                <w:color w:val="1A1A1A"/>
                <w:sz w:val="17"/>
              </w:rPr>
              <w:t>每丸 40 mg</w:t>
            </w:r>
            <w:r>
              <w:rPr>
                <w:rFonts w:ascii="Times New Roman" w:hAnsi="Times New Roman" w:eastAsia="宋体"/>
                <w:b w:val="0"/>
                <w:color w:val="1A1A1A"/>
                <w:sz w:val="17"/>
                <w:vertAlign w:val="superscript"/>
              </w:rPr>
              <w:t>[4]</w:t>
            </w:r>
          </w:p>
        </w:tc>
        <w:tc>
          <w:tcPr>
            <w:tcW w:type="dxa" w:w="2323"/>
          </w:tcPr>
          <w:p>
            <w:r>
              <w:rPr>
                <w:rFonts w:ascii="Times New Roman" w:hAnsi="Times New Roman" w:eastAsia="宋体"/>
                <w:b w:val="0"/>
                <w:color w:val="1A1A1A"/>
                <w:sz w:val="17"/>
              </w:rPr>
              <w:t>规格数据见说明书索引记录</w:t>
            </w:r>
            <w:r>
              <w:rPr>
                <w:rFonts w:ascii="Times New Roman" w:hAnsi="Times New Roman" w:eastAsia="宋体"/>
                <w:b w:val="0"/>
                <w:color w:val="1A1A1A"/>
                <w:sz w:val="17"/>
                <w:vertAlign w:val="superscript"/>
              </w:rPr>
              <w:t>[12]</w:t>
            </w:r>
          </w:p>
        </w:tc>
        <w:tc>
          <w:tcPr>
            <w:tcW w:type="dxa" w:w="2323"/>
          </w:tcPr>
          <w:p>
            <w:r>
              <w:rPr>
                <w:rFonts w:ascii="Times New Roman" w:hAnsi="Times New Roman" w:eastAsia="宋体"/>
                <w:b w:val="0"/>
                <w:color w:val="1A1A1A"/>
                <w:sz w:val="17"/>
              </w:rPr>
              <w:t>可核验（速效救心丸经试验方案全文</w:t>
            </w:r>
            <w:r>
              <w:rPr>
                <w:rFonts w:ascii="Times New Roman" w:hAnsi="Times New Roman" w:eastAsia="宋体"/>
                <w:b w:val="0"/>
                <w:color w:val="1A1A1A"/>
                <w:sz w:val="17"/>
                <w:vertAlign w:val="superscript"/>
              </w:rPr>
              <w:t>[4]</w:t>
            </w:r>
            <w:r>
              <w:rPr>
                <w:rFonts w:ascii="Times New Roman" w:hAnsi="Times New Roman" w:eastAsia="宋体"/>
                <w:b w:val="0"/>
                <w:color w:val="1A1A1A"/>
                <w:sz w:val="17"/>
              </w:rPr>
              <w:t>；复方丹参滴丸经说明书索引</w:t>
            </w:r>
            <w:r>
              <w:rPr>
                <w:rFonts w:ascii="Times New Roman" w:hAnsi="Times New Roman" w:eastAsia="宋体"/>
                <w:b w:val="0"/>
                <w:color w:val="1A1A1A"/>
                <w:sz w:val="17"/>
                <w:vertAlign w:val="superscript"/>
              </w:rPr>
              <w:t>[12]</w:t>
            </w:r>
            <w:r>
              <w:rPr>
                <w:rFonts w:ascii="Times New Roman" w:hAnsi="Times New Roman" w:eastAsia="宋体"/>
                <w:b w:val="0"/>
                <w:color w:val="1A1A1A"/>
                <w:sz w:val="17"/>
              </w:rPr>
              <w:t>）</w:t>
            </w:r>
          </w:p>
        </w:tc>
      </w:tr>
      <w:tr>
        <w:tc>
          <w:tcPr>
            <w:tcW w:type="dxa" w:w="2323"/>
          </w:tcPr>
          <w:p>
            <w:r>
              <w:rPr>
                <w:rFonts w:ascii="Times New Roman" w:hAnsi="Times New Roman" w:eastAsia="宋体"/>
                <w:b w:val="0"/>
                <w:color w:val="1A1A1A"/>
                <w:sz w:val="17"/>
              </w:rPr>
              <w:t>禁忌</w:t>
            </w:r>
          </w:p>
        </w:tc>
        <w:tc>
          <w:tcPr>
            <w:tcW w:type="dxa" w:w="2323"/>
          </w:tcPr>
          <w:p>
            <w:r>
              <w:rPr>
                <w:rFonts w:ascii="Times New Roman" w:hAnsi="Times New Roman" w:eastAsia="宋体"/>
                <w:b w:val="0"/>
                <w:color w:val="1A1A1A"/>
                <w:sz w:val="17"/>
              </w:rPr>
              <w:t>1. 孕妇禁用</w:t>
            </w:r>
            <w:r>
              <w:rPr>
                <w:rFonts w:ascii="Times New Roman" w:hAnsi="Times New Roman" w:eastAsia="宋体"/>
                <w:b w:val="0"/>
                <w:color w:val="1A1A1A"/>
                <w:sz w:val="17"/>
                <w:vertAlign w:val="superscript"/>
              </w:rPr>
              <w:t>[11]</w:t>
            </w:r>
          </w:p>
        </w:tc>
        <w:tc>
          <w:tcPr>
            <w:tcW w:type="dxa" w:w="2323"/>
          </w:tcPr>
          <w:p>
            <w:r>
              <w:rPr>
                <w:rFonts w:ascii="Times New Roman" w:hAnsi="Times New Roman" w:eastAsia="宋体"/>
                <w:b w:val="0"/>
                <w:color w:val="1A1A1A"/>
                <w:sz w:val="17"/>
              </w:rPr>
              <w:t>对本品及所含成份过敏者禁用</w:t>
            </w:r>
            <w:r>
              <w:rPr>
                <w:rFonts w:ascii="Times New Roman" w:hAnsi="Times New Roman" w:eastAsia="宋体"/>
                <w:b w:val="0"/>
                <w:color w:val="1A1A1A"/>
                <w:sz w:val="17"/>
                <w:vertAlign w:val="superscript"/>
              </w:rPr>
              <w:t>[12]</w:t>
            </w:r>
          </w:p>
        </w:tc>
        <w:tc>
          <w:tcPr>
            <w:tcW w:type="dxa" w:w="2323"/>
          </w:tcPr>
          <w:p>
            <w:r>
              <w:rPr>
                <w:rFonts w:ascii="Times New Roman" w:hAnsi="Times New Roman" w:eastAsia="宋体"/>
                <w:b w:val="0"/>
                <w:color w:val="1A1A1A"/>
                <w:sz w:val="17"/>
              </w:rPr>
              <w:t>可核验（NMPA 标签索引）</w:t>
            </w:r>
          </w:p>
        </w:tc>
      </w:tr>
      <w:tr>
        <w:tc>
          <w:tcPr>
            <w:tcW w:type="dxa" w:w="2323"/>
          </w:tcPr>
          <w:p>
            <w:r>
              <w:rPr>
                <w:rFonts w:ascii="Times New Roman" w:hAnsi="Times New Roman" w:eastAsia="宋体"/>
                <w:b w:val="0"/>
                <w:color w:val="1A1A1A"/>
                <w:sz w:val="17"/>
              </w:rPr>
              <w:t>注意事项</w:t>
            </w:r>
          </w:p>
        </w:tc>
        <w:tc>
          <w:tcPr>
            <w:tcW w:type="dxa" w:w="2323"/>
          </w:tcPr>
          <w:p>
            <w:r>
              <w:rPr>
                <w:rFonts w:ascii="Times New Roman" w:hAnsi="Times New Roman" w:eastAsia="宋体"/>
                <w:b w:val="0"/>
                <w:color w:val="1A1A1A"/>
                <w:sz w:val="17"/>
              </w:rPr>
              <w:t>寒凝血瘀、阴虚血瘀胸痹心痛不宜单用；过敏体质慎用；伴中重度心力衰竭的心肌缺血慎用；治疗期间心绞痛持续发作宜加用硝酸酯类药</w:t>
            </w:r>
            <w:r>
              <w:rPr>
                <w:rFonts w:ascii="Times New Roman" w:hAnsi="Times New Roman" w:eastAsia="宋体"/>
                <w:b w:val="0"/>
                <w:color w:val="1A1A1A"/>
                <w:sz w:val="17"/>
                <w:vertAlign w:val="superscript"/>
              </w:rPr>
              <w:t>[11]</w:t>
            </w:r>
          </w:p>
        </w:tc>
        <w:tc>
          <w:tcPr>
            <w:tcW w:type="dxa" w:w="2323"/>
          </w:tcPr>
          <w:p>
            <w:r>
              <w:rPr>
                <w:rFonts w:ascii="Times New Roman" w:hAnsi="Times New Roman" w:eastAsia="宋体"/>
                <w:b w:val="0"/>
                <w:color w:val="1A1A1A"/>
                <w:sz w:val="17"/>
              </w:rPr>
              <w:t>孕期、哺乳期妇女慎用</w:t>
            </w:r>
            <w:r>
              <w:rPr>
                <w:rFonts w:ascii="Times New Roman" w:hAnsi="Times New Roman" w:eastAsia="宋体"/>
                <w:b w:val="0"/>
                <w:color w:val="1A1A1A"/>
                <w:sz w:val="17"/>
                <w:vertAlign w:val="superscript"/>
              </w:rPr>
              <w:t>[12]</w:t>
            </w:r>
            <w:r>
              <w:rPr>
                <w:rFonts w:ascii="Times New Roman" w:hAnsi="Times New Roman" w:eastAsia="宋体"/>
                <w:b w:val="0"/>
                <w:color w:val="1A1A1A"/>
                <w:sz w:val="17"/>
              </w:rPr>
              <w:t>；2017 专家建议同此（"Pregnant women must be cautious about using the drug"）</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可核验（标签索引 + 专家建议全文）</w:t>
            </w:r>
            <w:r>
              <w:rPr>
                <w:rFonts w:ascii="Times New Roman" w:hAnsi="Times New Roman" w:eastAsia="宋体"/>
                <w:b w:val="0"/>
                <w:color w:val="1A1A1A"/>
                <w:sz w:val="17"/>
                <w:vertAlign w:val="superscript"/>
              </w:rPr>
              <w:t>[5]</w:t>
            </w:r>
            <w:r>
              <w:rPr>
                <w:rFonts w:ascii="Times New Roman" w:hAnsi="Times New Roman" w:eastAsia="宋体"/>
                <w:b w:val="0"/>
                <w:color w:val="1A1A1A"/>
                <w:sz w:val="17"/>
                <w:vertAlign w:val="superscript"/>
              </w:rPr>
              <w:t>[11]</w:t>
            </w:r>
            <w:r>
              <w:rPr>
                <w:rFonts w:ascii="Times New Roman" w:hAnsi="Times New Roman" w:eastAsia="宋体"/>
                <w:b w:val="0"/>
                <w:color w:val="1A1A1A"/>
                <w:sz w:val="17"/>
                <w:vertAlign w:val="superscript"/>
              </w:rPr>
              <w:t>[12]</w:t>
            </w:r>
          </w:p>
        </w:tc>
      </w:tr>
      <w:tr>
        <w:tc>
          <w:tcPr>
            <w:tcW w:type="dxa" w:w="2323"/>
          </w:tcPr>
          <w:p>
            <w:r>
              <w:rPr>
                <w:rFonts w:ascii="Times New Roman" w:hAnsi="Times New Roman" w:eastAsia="宋体"/>
                <w:b w:val="0"/>
                <w:color w:val="1A1A1A"/>
                <w:sz w:val="17"/>
              </w:rPr>
              <w:t>用法用量</w:t>
            </w:r>
          </w:p>
        </w:tc>
        <w:tc>
          <w:tcPr>
            <w:tcW w:type="dxa" w:w="2323"/>
          </w:tcPr>
          <w:p>
            <w:r>
              <w:rPr>
                <w:rFonts w:ascii="Times New Roman" w:hAnsi="Times New Roman" w:eastAsia="宋体"/>
                <w:b w:val="0"/>
                <w:color w:val="1A1A1A"/>
                <w:sz w:val="17"/>
              </w:rPr>
              <w:t>说明书载"含服"；现行随机对照研究方案为一次 5 丸、一日 3 次，4 周</w:t>
            </w:r>
            <w:r>
              <w:rPr>
                <w:rFonts w:ascii="Times New Roman" w:hAnsi="Times New Roman" w:eastAsia="宋体"/>
                <w:b w:val="0"/>
                <w:color w:val="1A1A1A"/>
                <w:sz w:val="17"/>
                <w:vertAlign w:val="superscript"/>
              </w:rPr>
              <w:t>[2]</w:t>
            </w:r>
            <w:r>
              <w:rPr>
                <w:rFonts w:ascii="Times New Roman" w:hAnsi="Times New Roman" w:eastAsia="宋体"/>
                <w:b w:val="0"/>
                <w:color w:val="1A1A1A"/>
                <w:sz w:val="17"/>
              </w:rPr>
              <w:t xml:space="preserve"> 或 24 周</w:t>
            </w:r>
            <w:r>
              <w:rPr>
                <w:rFonts w:ascii="Times New Roman" w:hAnsi="Times New Roman" w:eastAsia="宋体"/>
                <w:b w:val="0"/>
                <w:color w:val="1A1A1A"/>
                <w:sz w:val="17"/>
                <w:vertAlign w:val="superscript"/>
              </w:rPr>
              <w:t>[4]</w:t>
            </w:r>
            <w:r>
              <w:rPr>
                <w:rFonts w:ascii="Times New Roman" w:hAnsi="Times New Roman" w:eastAsia="宋体"/>
                <w:b w:val="0"/>
                <w:color w:val="1A1A1A"/>
                <w:sz w:val="17"/>
              </w:rPr>
              <w:t xml:space="preserve"> ；说明书具体粒数见索引记录</w:t>
            </w:r>
            <w:r>
              <w:rPr>
                <w:rFonts w:ascii="Times New Roman" w:hAnsi="Times New Roman" w:eastAsia="宋体"/>
                <w:b w:val="0"/>
                <w:color w:val="1A1A1A"/>
                <w:sz w:val="17"/>
                <w:vertAlign w:val="superscript"/>
              </w:rPr>
              <w:t>[11]</w:t>
            </w:r>
            <w:r>
              <w:rPr>
                <w:rFonts w:ascii="Times New Roman" w:hAnsi="Times New Roman" w:eastAsia="宋体"/>
                <w:b w:val="0"/>
                <w:color w:val="1A1A1A"/>
                <w:sz w:val="17"/>
              </w:rPr>
              <w:t>（详见证据局限）</w:t>
            </w:r>
          </w:p>
        </w:tc>
        <w:tc>
          <w:tcPr>
            <w:tcW w:type="dxa" w:w="2323"/>
          </w:tcPr>
          <w:p>
            <w:r>
              <w:rPr>
                <w:rFonts w:ascii="Times New Roman" w:hAnsi="Times New Roman" w:eastAsia="宋体"/>
                <w:b w:val="0"/>
                <w:color w:val="1A1A1A"/>
                <w:sz w:val="17"/>
              </w:rPr>
              <w:t>专家建议明确：一次 10 丸、一日 3 次，口服或舌下含服；疗程 4 周、可据病情延长</w:t>
            </w:r>
            <w:r>
              <w:rPr>
                <w:rFonts w:ascii="Times New Roman" w:hAnsi="Times New Roman" w:eastAsia="宋体"/>
                <w:b w:val="0"/>
                <w:color w:val="1A1A1A"/>
                <w:sz w:val="17"/>
                <w:vertAlign w:val="superscript"/>
              </w:rPr>
              <w:t>[5]</w:t>
            </w:r>
            <w:r>
              <w:rPr>
                <w:rFonts w:ascii="Times New Roman" w:hAnsi="Times New Roman" w:eastAsia="宋体"/>
                <w:b w:val="0"/>
                <w:color w:val="1A1A1A"/>
                <w:sz w:val="17"/>
              </w:rPr>
              <w:t xml:space="preserve"> ；急性发作一次 10 丸舌下含服</w:t>
            </w:r>
            <w:r>
              <w:rPr>
                <w:rFonts w:ascii="Times New Roman" w:hAnsi="Times New Roman" w:eastAsia="宋体"/>
                <w:b w:val="0"/>
                <w:color w:val="1A1A1A"/>
                <w:sz w:val="17"/>
                <w:vertAlign w:val="superscript"/>
              </w:rPr>
              <w:t>[5]</w:t>
            </w:r>
          </w:p>
        </w:tc>
        <w:tc>
          <w:tcPr>
            <w:tcW w:type="dxa" w:w="2323"/>
          </w:tcPr>
          <w:p>
            <w:r>
              <w:rPr>
                <w:rFonts w:ascii="Times New Roman" w:hAnsi="Times New Roman" w:eastAsia="宋体"/>
                <w:b w:val="0"/>
                <w:color w:val="1A1A1A"/>
                <w:sz w:val="17"/>
              </w:rPr>
              <w:t>部分可核验：速效救心丸说明书粒数未见于本轮保存的全文工件，需以现行说明书原件核验</w:t>
            </w:r>
          </w:p>
        </w:tc>
      </w:tr>
    </w:tbl>
    <w:p>
      <w:pPr>
        <w:spacing w:after="80" w:before="0" w:line="348" w:lineRule="auto"/>
      </w:pPr>
    </w:p>
    <w:p>
      <w:pPr>
        <w:spacing w:after="120" w:before="0" w:line="348" w:lineRule="auto"/>
        <w:ind w:firstLine="420"/>
      </w:pPr>
      <w:r>
        <w:rPr>
          <w:rFonts w:ascii="Times New Roman" w:hAnsi="Times New Roman" w:eastAsia="宋体"/>
          <w:b w:val="0"/>
          <w:color w:val="1A1A1A"/>
          <w:sz w:val="21"/>
        </w:rPr>
        <w:t>要点：两药适应症证型（气滞血瘀）重叠，但禁忌方向相反——速效救心丸将孕妇列为禁用，复方丹参滴丸以过敏为禁忌而孕期仅"慎用"</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。速效救心丸的"含服"与复方丹参滴丸的"口服或舌下含服"在给药途径表述上存在差异</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；复方丹参滴丸有明确疗程表述（4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，急性发作时一次 10 丸舌下含服、5 分钟内未缓解可再服 10 丸或加用硝酸酯类</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；速效救心丸说明书的疗程表述未见于说明书索引记录</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4.2 起效特征</w:t>
      </w:r>
    </w:p>
    <w:p>
      <w:pPr>
        <w:spacing w:after="120" w:before="0" w:line="348" w:lineRule="auto"/>
      </w:pPr>
      <w:r>
        <w:rPr>
          <w:rFonts w:ascii="Times New Roman" w:hAnsi="Times New Roman" w:eastAsia="宋体"/>
          <w:b/>
          <w:color w:val="1A1A1A"/>
          <w:sz w:val="21"/>
        </w:rPr>
        <w:t>复方丹参滴丸侧（可核验的药动学与剂型证据）</w:t>
      </w:r>
      <w:r>
        <w:rPr>
          <w:rFonts w:ascii="Times New Roman" w:hAnsi="Times New Roman" w:eastAsia="宋体"/>
          <w:b w:val="0"/>
          <w:color w:val="1A1A1A"/>
          <w:sz w:val="21"/>
        </w:rPr>
        <w:t>：2017 年专家建议载明，给药后丹参素、4-羟基-3-甲氧基苯乳酸代谢物、原儿茶酸、三七皂苷 R1、人参皂苷 Rg1 等的 Tmax 均 &lt;1 小时，提示口服吸收迅速</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；滴丸为固体分散体，5–7 分钟内完全溶散，远低于药典 60 分钟限度</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；舌下含服时药效成分可直接经黏膜吸收入血，避免肝脏首过效应与胃肠道降解，利于急救时快速起效</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。FDA IND 下完成的 II 期试验（125 例、15 中心、8 周疗程）观察到总运动时间（TED）呈剂量-反应关系</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。2025 年综述进一步指出，复方丹参滴丸疗效"渐显、需长期用药，故不适合急性心绞痛发作"——即其循证定位是长期维持而非即时缓解</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速效救心丸侧（机制与定性药动学）</w:t>
      </w:r>
      <w:r>
        <w:rPr>
          <w:rFonts w:ascii="Times New Roman" w:hAnsi="Times New Roman" w:eastAsia="宋体"/>
          <w:b w:val="0"/>
          <w:color w:val="1A1A1A"/>
          <w:sz w:val="21"/>
        </w:rPr>
        <w:t>：2024 年多中心双盲 RCT 的机制综述指出，速效救心丸可激活内皮型一氧化氮合酶（eNOS）-NO 通路引起冠脉舒张，其成分藁本内酯（ligustilide）通过抑制 Ca2+/钙调蛋白依赖性蛋白激酶 II（CaMKII）改善血管舒张</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；药动学研究仅报告"口服后血浆中检出冰片、异龙脑、川芎内酯类、阿魏酸等主要化合物"</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r>
        <w:rPr>
          <w:rFonts w:ascii="Times New Roman" w:hAnsi="Times New Roman" w:eastAsia="宋体"/>
          <w:b/>
          <w:color w:val="1A1A1A"/>
          <w:sz w:val="21"/>
        </w:rPr>
        <w:t>本轮未检索到速效救心丸的人体达峰时间（Tmax）研究</w:t>
      </w:r>
      <w:r>
        <w:rPr>
          <w:rFonts w:ascii="Times New Roman" w:hAnsi="Times New Roman" w:eastAsia="宋体"/>
          <w:b w:val="0"/>
          <w:color w:val="1A1A1A"/>
          <w:sz w:val="21"/>
        </w:rPr>
        <w:t>——中文库检索命中的川芎嗪药动学文献均为单体/注射/鼻腔途径的动物实验，不能外推至滴丸舌下含服的人体吸收速率；两药之间亦无头对头药动学比较研究。</w:t>
      </w:r>
    </w:p>
    <w:p>
      <w:pPr>
        <w:spacing w:after="120" w:before="0" w:line="348" w:lineRule="auto"/>
      </w:pPr>
      <w:r>
        <w:rPr>
          <w:rFonts w:ascii="Times New Roman" w:hAnsi="Times New Roman" w:eastAsia="宋体"/>
          <w:b/>
          <w:color w:val="1A1A1A"/>
          <w:sz w:val="21"/>
        </w:rPr>
        <w:t>可核验边界</w:t>
      </w:r>
      <w:r>
        <w:rPr>
          <w:rFonts w:ascii="Times New Roman" w:hAnsi="Times New Roman" w:eastAsia="宋体"/>
          <w:b w:val="0"/>
          <w:color w:val="1A1A1A"/>
          <w:sz w:val="21"/>
        </w:rPr>
        <w:t>：两药同为滴丸剂型、均支持舌下/含服给药</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，这是可核验的共性；但"速效救心丸起效更快"或"复方丹参滴丸起效更快"之类的表述缺乏对比数据支持。速效救心丸"速效"之名来自其药名与临床经验表述</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，并非经过与复方丹参滴丸比较验证的定量结论。机制层面两药均涉及一氧化氮/血管舒张通路，但分别以川芎-冰片</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与丹参-三七-冰片</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为物质基础，二者不可互换的证据尚未建立。</w:t>
      </w:r>
    </w:p>
    <w:p>
      <w:pPr>
        <w:spacing w:after="100" w:before="240" w:line="300" w:lineRule="auto"/>
      </w:pPr>
      <w:r>
        <w:rPr>
          <w:rFonts w:ascii="Times New Roman" w:hAnsi="Times New Roman" w:eastAsia="黑体"/>
          <w:b/>
          <w:color w:val="1A1A1A"/>
          <w:sz w:val="23"/>
        </w:rPr>
        <w:t>4.3 临床证据强度（问题 3，直接证据）</w:t>
      </w:r>
    </w:p>
    <w:p>
      <w:pPr>
        <w:spacing w:after="120" w:before="0" w:line="348" w:lineRule="auto"/>
      </w:pPr>
      <w:r>
        <w:rPr>
          <w:rFonts w:ascii="Times New Roman" w:hAnsi="Times New Roman" w:eastAsia="宋体"/>
          <w:b/>
          <w:color w:val="1A1A1A"/>
          <w:sz w:val="21"/>
        </w:rPr>
        <w:t>速效救心丸侧（单药证据库）</w:t>
      </w:r>
      <w:r>
        <w:rPr>
          <w:rFonts w:ascii="Times New Roman" w:hAnsi="Times New Roman" w:eastAsia="宋体"/>
          <w:b w:val="0"/>
          <w:color w:val="1A1A1A"/>
          <w:sz w:val="21"/>
        </w:rPr>
        <w:t>：2018 年 meta 分析纳入 41 项 RCT、6276 例冠心病患者，心电图改善 RR 1.32（95% CI 1.26 to 1.38）</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；亚组分析显示其心电图改善优于硝酸甘油（RR 1.35，95% CI 1.16 to 1.56）、消心痛（RR 1.14，95% CI 1.05 to 1.22）与丹参片（RR 1.54，95% CI 1.41 to 1.67）</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；不良反应率与对照无显著差异（RR 1.12，95% CI 0.50 to 2.51）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；但多数纳入研究 Jadad 评分低、缺乏双盲</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。2024 年多中心双盲安慰剂对照 RCT（174 例进入 mITT，8 中心，4 周疗程）报告西雅图心绞痛问卷总分改善率 OR 2.43（95% CI 1.32 to 4.47）</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，4 周干预期间无参与者报告不良事件</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；该 RCT 与 2018 年 meta 分析构成速效救心丸当前最高级别的直接证据形态，但均未提供长疗程时点的专门验证</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。2021 年发表的方案（324 例，24 周干预期，ChiCTR1900021876）</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及其对应的 24 周 RCT 结果提示更长疗程研究正在进行/完成。2020 年 ACS 系统评价（摘要级）提示速效救心丸联合常规治疗可能降低不稳定性心绞痛与急性心梗患者的复合终点发生率，但纳入试验方法学质量差</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（具体效应量仅见于摘要，未开放获取）。</w:t>
      </w:r>
    </w:p>
    <w:p>
      <w:pPr>
        <w:spacing w:after="120" w:before="0" w:line="348" w:lineRule="auto"/>
      </w:pPr>
      <w:r>
        <w:rPr>
          <w:rFonts w:ascii="Times New Roman" w:hAnsi="Times New Roman" w:eastAsia="宋体"/>
          <w:b/>
          <w:color w:val="1A1A1A"/>
          <w:sz w:val="21"/>
        </w:rPr>
        <w:t>复方丹参滴丸侧（单药证据库）</w:t>
      </w:r>
      <w:r>
        <w:rPr>
          <w:rFonts w:ascii="Times New Roman" w:hAnsi="Times New Roman" w:eastAsia="宋体"/>
          <w:b w:val="0"/>
          <w:color w:val="1A1A1A"/>
          <w:sz w:val="21"/>
        </w:rPr>
        <w:t>：2017 年专家建议汇总 16 项系统评价/meta 分析、513 项原始研究、53,350 例患者，全部报告阳性疗效与安全性</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；FDA II 期试验（125 例）呈剂量-反应关系</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。2025 年系统评价（Medicine，全文）纳入 10 项稳定型心绞痛 RCT，提示单药或联合治疗可获益、安全性良好，同时明确指出其疗效"渐显、需长期用药，不适合急性发作"</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头对头直接证据</w:t>
      </w:r>
      <w:r>
        <w:rPr>
          <w:rFonts w:ascii="Times New Roman" w:hAnsi="Times New Roman" w:eastAsia="宋体"/>
          <w:b w:val="0"/>
          <w:color w:val="1A1A1A"/>
          <w:sz w:val="21"/>
        </w:rPr>
        <w:t>：PubMed 索引未检索到两药直接比较的英文 RCT。中文学术数据库检索到多项直接比较报告（最早可溯至上世纪后期，此后多年陆续发表），代表如：李锋等《复方丹参滴丸与速效救心丸治疗 CHD 临床对比观察》（中成药，上世纪后期）</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；郑丽贞等（中国生化药物杂志）</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；王晓梅等（中国社区医师）</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；以及数项成本-效果分析。</w:t>
      </w:r>
      <w:r>
        <w:rPr>
          <w:rFonts w:ascii="Times New Roman" w:hAnsi="Times New Roman" w:eastAsia="宋体"/>
          <w:b/>
          <w:color w:val="1A1A1A"/>
          <w:sz w:val="21"/>
        </w:rPr>
        <w:t>这些记录均为题录/摘要层级</w:t>
      </w:r>
      <w:r>
        <w:rPr>
          <w:rFonts w:ascii="Times New Roman" w:hAnsi="Times New Roman" w:eastAsia="宋体"/>
          <w:b w:val="0"/>
          <w:color w:val="1A1A1A"/>
          <w:sz w:val="21"/>
        </w:rPr>
        <w:t>，发表于非核心期刊、样本量小、未见于国际索引，无法据其得出可靠的疗效优劣结论。另有基于多家社区医院大规模稳定型心绞痛患者的前瞻性药物经济学队列（速效救心丸组、复方丹参滴丸组与麝香保心丸组）报告速效救心丸组人均成本最低、QALY 获益最高</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——该研究为观察性设计、非随机分配，其经济学结论可作参考但不能外推为疗效优势（该队列的详细样本构成与成本数据未开放获取）。</w:t>
      </w:r>
    </w:p>
    <w:p>
      <w:pPr>
        <w:spacing w:after="100" w:before="240" w:line="300" w:lineRule="auto"/>
      </w:pPr>
      <w:r>
        <w:rPr>
          <w:rFonts w:ascii="Times New Roman" w:hAnsi="Times New Roman" w:eastAsia="黑体"/>
          <w:b/>
          <w:color w:val="1A1A1A"/>
          <w:sz w:val="23"/>
        </w:rPr>
        <w:t>4.4 间接比较：网络 meta 分析（问题 3，间接证据）</w:t>
      </w:r>
    </w:p>
    <w:p>
      <w:pPr>
        <w:spacing w:after="120" w:before="0" w:line="348" w:lineRule="auto"/>
      </w:pPr>
      <w:r>
        <w:rPr>
          <w:rFonts w:ascii="Times New Roman" w:hAnsi="Times New Roman" w:eastAsia="宋体"/>
          <w:b/>
          <w:color w:val="1A1A1A"/>
          <w:sz w:val="21"/>
        </w:rPr>
        <w:t>179 项 RCT 网络 meta（全文级）</w:t>
      </w:r>
      <w:r>
        <w:rPr>
          <w:rFonts w:ascii="Times New Roman" w:hAnsi="Times New Roman" w:eastAsia="宋体"/>
          <w:b w:val="0"/>
          <w:color w:val="1A1A1A"/>
          <w:sz w:val="21"/>
        </w:rPr>
        <w:t>：Front Pharmacol 2022 年发表的系统评价与网络 meta 分析纳入 179 项 RCT、16,789 例稳定型心绞痛患者，其中复方丹参滴丸+西药 30 项、速效救心丸+西药 6 项，两药在同一比较网络中但</w:t>
      </w:r>
      <w:r>
        <w:rPr>
          <w:rFonts w:ascii="Times New Roman" w:hAnsi="Times New Roman" w:eastAsia="宋体"/>
          <w:b/>
          <w:color w:val="1A1A1A"/>
          <w:sz w:val="21"/>
        </w:rPr>
        <w:t>无直接比较边</w:t>
      </w:r>
      <w:r>
        <w:rPr>
          <w:rFonts w:ascii="Times New Roman" w:hAnsi="Times New Roman" w:eastAsia="宋体"/>
          <w:b w:val="0"/>
          <w:color w:val="1A1A1A"/>
          <w:sz w:val="21"/>
        </w:rPr>
        <w:t>；纳入研究疗程跨度大（原文 two to 144 weeks）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。临床有效率结局中，芪参益气滴丸+西药 SUCRA 居首（98.12%），速效救心丸+西药次之（71.04%），且速效救心丸未出现在"被芪参益气滴丸显著超越"的比较列表中，而复方丹参滴丸+西药在该列表中</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。心电图有效率结局中速效救心丸+西药 SUCRA 73.80%（第二）</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w:t>
      </w:r>
      <w:r>
        <w:rPr>
          <w:rFonts w:ascii="Times New Roman" w:hAnsi="Times New Roman" w:eastAsia="宋体"/>
          <w:b/>
          <w:color w:val="1A1A1A"/>
          <w:sz w:val="21"/>
        </w:rPr>
        <w:t>必须强调</w:t>
      </w:r>
      <w:r>
        <w:rPr>
          <w:rFonts w:ascii="Times New Roman" w:hAnsi="Times New Roman" w:eastAsia="宋体"/>
          <w:b w:val="0"/>
          <w:color w:val="1A1A1A"/>
          <w:sz w:val="21"/>
        </w:rPr>
        <w:t>：SUCRA 是排序概率而非效应量，网络内大部分两两比较无统计学差异，且全部纳入试验偏倚风险评级为"some concerns"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，据此不得断言任一药物优于另一药物。该网络还报告了各臂不良反应描述性发生率：速效救心丸+西药组（81 例）总不良反应报告率 35.80%，复方丹参滴丸+西药组（616 例）7.79%</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——两组来自不同试验、样本量悬殊，该数字为臂内描述性统计而非两药比较（定量边界见第 6 节）。</w:t>
      </w:r>
    </w:p>
    <w:p>
      <w:pPr>
        <w:spacing w:after="120" w:before="0" w:line="348" w:lineRule="auto"/>
      </w:pPr>
      <w:r>
        <w:rPr>
          <w:rFonts w:ascii="Times New Roman" w:hAnsi="Times New Roman" w:eastAsia="宋体"/>
          <w:b/>
          <w:color w:val="1A1A1A"/>
          <w:sz w:val="21"/>
        </w:rPr>
        <w:t>贝叶斯网络 meta 分析（摘要级）</w:t>
      </w:r>
      <w:r>
        <w:rPr>
          <w:rFonts w:ascii="Times New Roman" w:hAnsi="Times New Roman" w:eastAsia="宋体"/>
          <w:b w:val="0"/>
          <w:color w:val="1A1A1A"/>
          <w:sz w:val="21"/>
        </w:rPr>
        <w:t>：J Ethnopharmacol 2024 年发表的贝叶斯网络 meta 分析将复方丹参滴丸（DSP）与速效救心丸（JXP）纳入同一比较网络；结果显示麝香保心丸、通心络、复方丹参滴丸位列前三，速效救心丸未进入前三，全部纳入 RCT 质量低、GRADE 证据强度低</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。该文全文未开放获取，纳入规模与排序的具体数值未能核验（仅摘要信息），只能作为"间接比较存在且证据强度低"的佐证。</w:t>
      </w:r>
    </w:p>
    <w:p>
      <w:pPr>
        <w:spacing w:after="120" w:before="0" w:line="348" w:lineRule="auto"/>
        <w:ind w:firstLine="420"/>
      </w:pPr>
      <w:r>
        <w:rPr>
          <w:rFonts w:ascii="Times New Roman" w:hAnsi="Times New Roman" w:eastAsia="宋体"/>
          <w:b w:val="0"/>
          <w:color w:val="1A1A1A"/>
          <w:sz w:val="21"/>
        </w:rPr>
        <w:t>两项网络 meta 的排序结论方向不一致（179 项 RCT 网络中速效救心丸症状有效率排序靠前</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；另一项贝叶斯网络 meta 中复方丹参滴丸进入前三</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），原因可能在于网络结构、结局定义（有效率 vs 心电图 vs 事件）与纳入标准的差异；在 GRADE 证据强度均低的条件下，</w:t>
      </w:r>
      <w:r>
        <w:rPr>
          <w:rFonts w:ascii="Times New Roman" w:hAnsi="Times New Roman" w:eastAsia="宋体"/>
          <w:b/>
          <w:color w:val="1A1A1A"/>
          <w:sz w:val="21"/>
        </w:rPr>
        <w:t>排序差异不能裁定两药优劣</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4.5 "可连续服用3个月"说法的出处追溯</w:t>
      </w:r>
    </w:p>
    <w:p>
      <w:pPr>
        <w:spacing w:after="120" w:before="0" w:line="348" w:lineRule="auto"/>
        <w:ind w:firstLine="420"/>
      </w:pPr>
      <w:r>
        <w:rPr>
          <w:rFonts w:ascii="Times New Roman" w:hAnsi="Times New Roman" w:eastAsia="宋体"/>
          <w:b w:val="0"/>
          <w:color w:val="1A1A1A"/>
          <w:sz w:val="21"/>
        </w:rPr>
        <w:t>按四类潜在出处逐类检索：</w:t>
      </w:r>
    </w:p>
    <w:p>
      <w:pPr>
        <w:spacing w:after="120" w:before="0" w:line="348" w:lineRule="auto"/>
      </w:pPr>
      <w:r>
        <w:rPr>
          <w:rFonts w:ascii="Times New Roman" w:hAnsi="Times New Roman" w:eastAsia="宋体"/>
          <w:b/>
          <w:color w:val="1A1A1A"/>
          <w:sz w:val="21"/>
        </w:rPr>
        <w:t>说明书</w:t>
      </w:r>
      <w:r>
        <w:rPr>
          <w:rFonts w:ascii="Times New Roman" w:hAnsi="Times New Roman" w:eastAsia="宋体"/>
          <w:b w:val="0"/>
          <w:color w:val="1A1A1A"/>
          <w:sz w:val="21"/>
        </w:rPr>
        <w:t>：两药说明书（NMPA 标签索引记录</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）均未检索到"连续服用 3 个月"字样 ；复方丹参滴丸的疗程表述见于专家建议——"一次 10 丸、一日 3 次，口服或舌下含服，疗程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。速效救心丸说明书的用法用量字段未见于索引记录</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指南与共识</w:t>
      </w:r>
      <w:r>
        <w:rPr>
          <w:rFonts w:ascii="Times New Roman" w:hAnsi="Times New Roman" w:eastAsia="宋体"/>
          <w:b w:val="0"/>
          <w:color w:val="1A1A1A"/>
          <w:sz w:val="21"/>
        </w:rPr>
        <w:t>：复方丹参滴丸 2017 年专家建议明确定义疗程为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；2025 年专家共识（指南索引记录）与《中成药治疗冠心病临床应用指南（2020 年）》</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均未检索到"3 个月"疗程表述 ；速效救心丸 2019 年专家共识（书目级记录）</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未检索到该表述。</w:t>
      </w:r>
    </w:p>
    <w:p>
      <w:pPr>
        <w:spacing w:after="120" w:before="0" w:line="348" w:lineRule="auto"/>
      </w:pPr>
      <w:r>
        <w:rPr>
          <w:rFonts w:ascii="Times New Roman" w:hAnsi="Times New Roman" w:eastAsia="宋体"/>
          <w:b/>
          <w:color w:val="1A1A1A"/>
          <w:sz w:val="21"/>
        </w:rPr>
        <w:t>临床研究</w:t>
      </w:r>
      <w:r>
        <w:rPr>
          <w:rFonts w:ascii="Times New Roman" w:hAnsi="Times New Roman" w:eastAsia="宋体"/>
          <w:b w:val="0"/>
          <w:color w:val="1A1A1A"/>
          <w:sz w:val="21"/>
        </w:rPr>
        <w:t>：速效救心丸 2024 年 CCS 试验干预期为 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，2021 年方案干预期为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；2018 年 CHD meta 分析所纳入研究的疗程为短期至数周不等</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；2022 年中文疗程 meta 分析（摘要级）提示现有证据仅支持短期疗程，更长疗程研究缺失或较少、证据尚不充分</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。179 项 RCT 网络 meta 纳入研究疗程跨度大（原文 two to 144 weeks）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，并无针对 3 个月（≈12 周）这一时点的专门疗效-安全验证〔推导〕。</w:t>
      </w:r>
      <w:r>
        <w:rPr>
          <w:rFonts w:ascii="Times New Roman" w:hAnsi="Times New Roman" w:eastAsia="宋体"/>
          <w:b/>
          <w:color w:val="1A1A1A"/>
          <w:sz w:val="21"/>
        </w:rPr>
        <w:t>没有任何研究把"连续 3 个月"作为验证过或推荐的疗程。</w:t>
      </w:r>
    </w:p>
    <w:p>
      <w:pPr>
        <w:spacing w:after="120" w:before="0" w:line="348" w:lineRule="auto"/>
      </w:pPr>
      <w:r>
        <w:rPr>
          <w:rFonts w:ascii="Times New Roman" w:hAnsi="Times New Roman" w:eastAsia="宋体"/>
          <w:b/>
          <w:color w:val="1A1A1A"/>
          <w:sz w:val="21"/>
        </w:rPr>
        <w:t>营销与科普材料</w:t>
      </w:r>
      <w:r>
        <w:rPr>
          <w:rFonts w:ascii="Times New Roman" w:hAnsi="Times New Roman" w:eastAsia="宋体"/>
          <w:b w:val="0"/>
          <w:color w:val="1A1A1A"/>
          <w:sz w:val="21"/>
        </w:rPr>
        <w:t>：公开网络页面中可见"3 个月"表述——如某网上药店称复方丹参滴丸治疗冠心病疗程"多为数月"，某药学类自媒体称速效救心丸"中药以数月为一疗程"；另有家庭医学类文章主张速效救心丸"可以长期服用，或集中服用一段时间"。这些均为非权威来源，无监管或同行评审背书，仅佐证该说法的传播面（原文为网络页面表述，不作证据引用）。</w:t>
      </w:r>
    </w:p>
    <w:p>
      <w:pPr>
        <w:spacing w:after="120" w:before="0" w:line="348" w:lineRule="auto"/>
      </w:pPr>
      <w:r>
        <w:rPr>
          <w:rFonts w:ascii="Times New Roman" w:hAnsi="Times New Roman" w:eastAsia="宋体"/>
          <w:b/>
          <w:color w:val="1A1A1A"/>
          <w:sz w:val="21"/>
        </w:rPr>
        <w:t>结论：未能追溯到可核验来源。</w:t>
      </w:r>
      <w:r>
        <w:rPr>
          <w:rFonts w:ascii="Times New Roman" w:hAnsi="Times New Roman" w:eastAsia="宋体"/>
          <w:b w:val="0"/>
          <w:color w:val="1A1A1A"/>
          <w:sz w:val="21"/>
        </w:rPr>
        <w:t xml:space="preserve"> 在说明书、指南、共识、临床研究与监管文件层面均未检索到"本品可连续服用3个月"的权威出处 ；该说法仅在非权威网络销售与科普文本中流传。准确的表述方式应为："速效救心丸与复方丹参滴丸的说明书及专家共识均未规定'连续服用 3 个月'的疗程；复方丹参滴丸推荐的常规疗程为 4 周（可据病情在医师指导下延长）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，速效救心丸现有研究证据仅支持短期疗程</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，长期使用（如 24 周）仅在临床试验方案框架下被研究</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；任何超过说明书疗程的持续用药均应在医师定期评估下进行。"</w:t>
      </w:r>
    </w:p>
    <w:p>
      <w:pPr>
        <w:spacing w:after="100" w:before="240" w:line="300" w:lineRule="auto"/>
      </w:pPr>
      <w:r>
        <w:rPr>
          <w:rFonts w:ascii="Times New Roman" w:hAnsi="Times New Roman" w:eastAsia="黑体"/>
          <w:b/>
          <w:color w:val="1A1A1A"/>
          <w:sz w:val="25"/>
        </w:rPr>
        <w:t>三角互证与冲突处理</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疗程链条互证（一致）</w:t>
      </w:r>
      <w:r>
        <w:rPr>
          <w:rFonts w:ascii="Times New Roman" w:hAnsi="Times New Roman" w:eastAsia="宋体"/>
          <w:b w:val="0"/>
          <w:color w:val="1A1A1A"/>
          <w:sz w:val="21"/>
        </w:rPr>
        <w:t>：2017 专家建议（4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 2024 年 RCT（4 周干预期）</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 2021 年方案（24 周干预期）</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 2022 年疗程 meta（证据支持短期疗程）</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。四类来源一致指向：权威与循证来源给出的疗程均非"3 个月"，且 3 个月（≈12 周）恰好落在已研究时点之间（4 周与 24 周之间）而无专门验证〔推导〕——这一"负向一致性"正是"未能追溯到可核验来源"结论的基础。</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起效证据不对称（不能推出优劣）</w:t>
      </w:r>
      <w:r>
        <w:rPr>
          <w:rFonts w:ascii="Times New Roman" w:hAnsi="Times New Roman" w:eastAsia="宋体"/>
          <w:b w:val="0"/>
          <w:color w:val="1A1A1A"/>
          <w:sz w:val="21"/>
        </w:rPr>
        <w:t>：复方丹参滴丸有 Tmax&lt;1h 的人体药动学与 5–7 分钟溶散数据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，速效救心丸无对应人体数据</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。这是证据不对称，不是"复方丹参滴丸更快"的证明——缺乏对比试验时，速度比较在统计学与方法学上均不成立。</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两项网络 meta 排序冲突（无法裁定）</w:t>
      </w:r>
      <w:r>
        <w:rPr>
          <w:rFonts w:ascii="Times New Roman" w:hAnsi="Times New Roman" w:eastAsia="宋体"/>
          <w:b w:val="0"/>
          <w:color w:val="1A1A1A"/>
          <w:sz w:val="21"/>
        </w:rPr>
        <w:t>：179 项 RCT 网络（速效救心丸症状有效率 SUCRA 第二）</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与另一项贝叶斯网络 meta（复方丹参滴丸进入前三、速效救心丸未入）</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方向不一致 。裁决原则：两者均为低质量原始研究的间接比较，GRADE 证据强度低，排序差异不足以支持任何一方的疗效优势主张；同时两者共同证实"两药可被纳入同一比较框架且无直接头对头证据"这一结构性事实。</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不良反应率的表述边界</w:t>
      </w:r>
      <w:r>
        <w:rPr>
          <w:rFonts w:ascii="Times New Roman" w:hAnsi="Times New Roman" w:eastAsia="宋体"/>
          <w:b w:val="0"/>
          <w:color w:val="1A1A1A"/>
          <w:sz w:val="21"/>
        </w:rPr>
        <w:t>：网络 meta 中速效救心丸+西药臂 35.80% 与复方丹参滴丸+西药臂 7.79% 的报告率悬殊</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，但这是跨试验的臂内描述统计；以之断言"速效救心丸不良反应更多"将构成跨试验比较谬误，报告中不作此推断（定量边界见第 6 节）。</w:t>
      </w:r>
    </w:p>
    <w:p>
      <w:pPr>
        <w:spacing w:after="100" w:before="240" w:line="300" w:lineRule="auto"/>
      </w:pPr>
      <w:r>
        <w:rPr>
          <w:rFonts w:ascii="Times New Roman" w:hAnsi="Times New Roman" w:eastAsia="黑体"/>
          <w:b/>
          <w:color w:val="1A1A1A"/>
          <w:sz w:val="25"/>
        </w:rPr>
        <w:t>推导与外推</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CLM-030——"3 个月"与可核验疗程的倍数关系。</w:t>
      </w:r>
      <w:r>
        <w:rPr>
          <w:rFonts w:ascii="Times New Roman" w:hAnsi="Times New Roman" w:eastAsia="宋体"/>
          <w:b w:val="0"/>
          <w:color w:val="1A1A1A"/>
          <w:sz w:val="21"/>
        </w:rPr>
        <w:t xml:space="preserve"> 以"3 个月≈12 周"计，12 周 ÷ 4 周 = 3，即"连续服用 3 个月"为复方丹参滴丸权威推荐疗程（4 周）的 3 倍</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；12 周 ÷ 2 周 = 6，为速效救心丸证据支持下限（2 周）的 6 倍</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。12 周位于速效救心丸已研究时点（4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与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）之间，属于无专门疗效-安全验证的时点。假设：以 4 周为标准疗程、以"3 个月≈12 周"换算；该倍数仅表示时长比例，不蕴含剂量-反应或疗效累积关系。敏感性：若按日历月换算（3 个月≈13 周），倍数变为 3.25 与 6.5，结论不变。</w:t>
      </w:r>
    </w:p>
    <w:p>
      <w:pPr>
        <w:spacing w:after="120" w:before="0" w:line="348" w:lineRule="auto"/>
        <w:ind w:firstLine="420"/>
      </w:pPr>
      <w:r>
        <w:rPr>
          <w:rFonts w:ascii="Times New Roman" w:hAnsi="Times New Roman" w:eastAsia="宋体"/>
          <w:b w:val="0"/>
          <w:color w:val="1A1A1A"/>
          <w:sz w:val="21"/>
        </w:rPr>
        <w:t>〔推导〕</w:t>
      </w:r>
      <w:r>
        <w:rPr>
          <w:rFonts w:ascii="Times New Roman" w:hAnsi="Times New Roman" w:eastAsia="宋体"/>
          <w:b/>
          <w:color w:val="1A1A1A"/>
          <w:sz w:val="21"/>
        </w:rPr>
        <w:t>CLM-031——网络 meta 中两药臂不良反应报告率之比的统计边界。</w:t>
      </w:r>
      <w:r>
        <w:rPr>
          <w:rFonts w:ascii="Times New Roman" w:hAnsi="Times New Roman" w:eastAsia="宋体"/>
          <w:b w:val="0"/>
          <w:color w:val="1A1A1A"/>
          <w:sz w:val="21"/>
        </w:rPr>
        <w:t xml:space="preserve"> 35.80% ÷ 7.79% ≈ 4.6（倍）；将 81 例 × 35.80% ≈ 29 例视为二项样本，其 95% 置信区间（Wilson 法：p=0.358、n=81，区间 = (p + z²/2n ± z·√(p(1−p)/n + z²/4n²)) / (1 + z²/n)，z=1.96）约为 26.2%–46.7%，即该臂报告率即使在抽样误差下仍远高于 7.79%。但两组来自不同试验、入组标准与随访方式不同，该比例关系不能解释为两药不良反应发生率之比，仅用于警示：81 例小样本臂中报告的高比率具有较大不确定性，应通过头对头安全性数据核实。</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本报告论证链条的承重件是：①说明书差异（适应症、禁忌、规格、用法）均可定位到可追溯来源</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[11]</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；②起效特征差异只有复方丹参滴丸侧有人体药动学数据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，速效救心丸侧证据为机制与定性层级</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，这是证据不对称而非性能差异；③头对头证据不存在于国际索引、中文库仅有题录级小样本报告</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；④两药同入网络 meta 但间接比较证据强度低</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；⑤"连续服用 3 个月"在四层来源中均无出处 ，权威与循证来源给出的疗程为 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或短期疗程（速效救心丸证据支持）</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。承重件中最薄弱的环节是①中速效救心丸的用法用量与说明书原文——说明书原文未能在本轮获取，其文本来自 NMPA 标签索引的结构化记录，需要人工对照 NMPA 现行说明书核验。</w:t>
      </w:r>
    </w:p>
    <w:p>
      <w:pPr>
        <w:spacing w:after="120" w:before="0" w:line="348" w:lineRule="auto"/>
        <w:ind w:firstLine="420"/>
      </w:pPr>
      <w:r>
        <w:rPr>
          <w:rFonts w:ascii="Times New Roman" w:hAnsi="Times New Roman" w:eastAsia="宋体"/>
          <w:b w:val="0"/>
          <w:color w:val="1A1A1A"/>
          <w:sz w:val="21"/>
        </w:rPr>
        <w:t>能从根本上回答本问题的研究是：在确诊冠心病心绞痛患者中、以两药为直接对照的双盲随机试验（症状终点 + 含服后起效时间 + 安全性），或两药舌下含服后的人体药动学比较（Tmax、Cmax、生物利用度）；针对"12 周疗程"的专门疗效-安全随机试验将直接检验"连续服用 3 个月"是否有证据基础〔推导〕。在获得上述证据之前，临床表述应保持"差异可核验、优劣不裁决"的立场。</w:t>
      </w:r>
    </w:p>
    <w:p>
      <w:pPr>
        <w:spacing w:after="100" w:before="240" w:line="300" w:lineRule="auto"/>
      </w:pPr>
      <w:r>
        <w:rPr>
          <w:rFonts w:ascii="Times New Roman" w:hAnsi="Times New Roman" w:eastAsia="黑体"/>
          <w:b/>
          <w:color w:val="1A1A1A"/>
          <w:sz w:val="25"/>
        </w:rPr>
        <w:t>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速效救心丸说明书原文未保存</w:t>
      </w:r>
      <w:r>
        <w:rPr>
          <w:rFonts w:ascii="Times New Roman" w:hAnsi="Times New Roman" w:eastAsia="宋体"/>
          <w:b w:val="0"/>
          <w:color w:val="1A1A1A"/>
          <w:sz w:val="21"/>
        </w:rPr>
        <w:t>：NMPA 标签索引返回结构化字段（功能主治、禁忌、注意事项、规格等）但未含用法用量字段，且该记录需官方现行版本核验；说明书级别的用法用量具体数字（如单次粒数）来自公开索引文本与第三方药品信息页面，存在版本与转述误差风险。报告中凡依赖说明书索引的表述均标注"待官方核验"。</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头对头证据仅至题录/摘要层级</w:t>
      </w:r>
      <w:r>
        <w:rPr>
          <w:rFonts w:ascii="Times New Roman" w:hAnsi="Times New Roman" w:eastAsia="宋体"/>
          <w:b w:val="0"/>
          <w:color w:val="1A1A1A"/>
          <w:sz w:val="21"/>
        </w:rPr>
        <w:t>：中文学术库检索到的直接比较报告全文未开放获取，其具体效应量、分配隐藏与结局定义未经核验；不能据其进行任何定量综合，也不能据此判定优劣。</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间接比较证据强度低</w:t>
      </w:r>
      <w:r>
        <w:rPr>
          <w:rFonts w:ascii="Times New Roman" w:hAnsi="Times New Roman" w:eastAsia="宋体"/>
          <w:b w:val="0"/>
          <w:color w:val="1A1A1A"/>
          <w:sz w:val="21"/>
        </w:rPr>
        <w:t>：179 项网络 meta 全部纳入试验偏倚风险为"some concerns"</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；另一项贝叶斯网络 meta 的 GRADE 证据强度为低</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且仅获摘要级信息（全文未开放获取）。</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中文证据库的整体偏倚</w:t>
      </w:r>
      <w:r>
        <w:rPr>
          <w:rFonts w:ascii="Times New Roman" w:hAnsi="Times New Roman" w:eastAsia="宋体"/>
          <w:b w:val="0"/>
          <w:color w:val="1A1A1A"/>
          <w:sz w:val="21"/>
        </w:rPr>
        <w:t>：速效救心丸 2018 年 meta 分析明确承认多数纳入研究 Jadad 评分低、缺双盲</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；速效救心丸 2020 年 ACS 系统评价（摘要级）同样提示纳入试验方法学质量差</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。两药证据均以中国单中心研究为主，国际可推广性受限</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"3 个月"阴性的检索边界</w:t>
      </w:r>
      <w:r>
        <w:rPr>
          <w:rFonts w:ascii="Times New Roman" w:hAnsi="Times New Roman" w:eastAsia="宋体"/>
          <w:b w:val="0"/>
          <w:color w:val="1A1A1A"/>
          <w:sz w:val="21"/>
        </w:rPr>
        <w:t>：该说法未追溯到权威出处，但不排除存在未被本轮检索覆盖的说明书修订版本、会议材料或企业文件；结论限定为"在本轮可核验来源范围内未能追溯"。</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时效与语种</w:t>
      </w:r>
      <w:r>
        <w:rPr>
          <w:rFonts w:ascii="Times New Roman" w:hAnsi="Times New Roman" w:eastAsia="宋体"/>
          <w:b w:val="0"/>
          <w:color w:val="1A1A1A"/>
          <w:sz w:val="21"/>
        </w:rPr>
        <w:t>：检索截至 2026-08-11；中文学术数据库覆盖 SinoMed/CNKI/万方/维普索引，全文可及性有限；标签与共识均以中文现行版本为基准。</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两药说明书适应症证型重叠（气滞血瘀型冠心病心绞痛），但存在可核验差异：复方丹参滴丸另有糖尿病视网膜病变适应症</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；禁忌方向不同（速效救心丸孕妇禁用</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，复方丹参滴丸过敏者禁用</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）；规格不同（速效救心丸每丸 40 mg</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，复方丹参滴丸规格见说明书索引</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）；复方丹参滴丸有明确"4 周为一疗程（可延长）"的推荐</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起效特征差异仅部分可核验：复方丹参滴丸有 Tmax&lt;1h 药动学与 5–7 分钟溶散、舌下避免首过的剂型证据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；速效救心丸无人体达峰数据，机制证据为 eNOS-NO/CaMKII 通路</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。无头对头起效比较，任何"谁更快"的表述均无证据基础。</w:t>
      </w:r>
    </w:p>
    <w:p>
      <w:pPr>
        <w:spacing w:after="60" w:before="0" w:line="336" w:lineRule="auto"/>
        <w:ind w:left="340"/>
      </w:pPr>
      <w:r>
        <w:rPr>
          <w:rFonts w:ascii="Times New Roman" w:hAnsi="Times New Roman" w:eastAsia="宋体"/>
          <w:b w:val="0"/>
          <w:color w:val="1A1A1A"/>
          <w:sz w:val="21"/>
        </w:rPr>
        <w:t>· 两药均有一定规模的临床证据库（速效救心丸：2024 年多中心 RCT OR 2.43、2018 年 41 项 RCT meta 分析</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；复方丹参滴丸：16 项系统评价综述与 FDA II 期剂量-反应证据</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），但方法学质量整体偏低</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 ；不存在可靠的头对头 RCT；间接比较（网络 meta）存在但 GRADE 证据强度低，排序方向不一致，不能裁定优劣</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"本品可连续服用3个月"未能追溯到可核验来源</w:t>
      </w:r>
      <w:r>
        <w:rPr>
          <w:rFonts w:ascii="Times New Roman" w:hAnsi="Times New Roman" w:eastAsia="宋体"/>
          <w:b w:val="0"/>
          <w:color w:val="1A1A1A"/>
          <w:sz w:val="21"/>
        </w:rPr>
        <w:t>：说明书、指南、共识、临床研究与监管文件中均未检索到该表述 ；权威来源给出的疗程为复方丹参滴丸 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 、速效救心丸短期疗程（证据支持）</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或 24 周（试验方案）</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。该说法仅见于非权威网络药店与科普页面。准确的表述应为："两药说明书均未规定'连续服用 3 个月'疗程；常规疗程遵说明书与共识（复方丹参滴丸 4 周可延长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），速效救心丸现有证据仅支持短期疗程</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；超说明书疗程的持续用药须在医师定期评估下进行。"</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突发、持续不缓解的胸部疼痛或不适（可放射至上肢、颈部、颌部、背部，或伴大汗、恶心、头晕、气短）应立即呼叫急救（在中国拨打 120）并接受急诊评估；呼叫与评估完成前，不应以含服任何中成药代替这一步骤。</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服用速效救心丸不应成为延迟呼叫急救的理由</w:t>
      </w:r>
      <w:r>
        <w:rPr>
          <w:rFonts w:ascii="Times New Roman" w:hAnsi="Times New Roman" w:eastAsia="宋体"/>
          <w:b w:val="0"/>
          <w:color w:val="1A1A1A"/>
          <w:sz w:val="21"/>
        </w:rPr>
        <w:t>：出现上述需紧急评估的胸痛时，应在含服药物（速效救心丸或其他药物）的同时呼叫急救（120）并接受评估，而不是在服药观察之后再呼救——含服药物不能替代急诊评估，延误呼救可能延误对心梗等时间敏感疾病的处理。</w:t>
      </w:r>
      <w:r>
        <w:rPr>
          <w:rFonts w:ascii="Times New Roman" w:hAnsi="Times New Roman" w:eastAsia="宋体"/>
          <w:b w:val="0"/>
          <w:color w:val="1A1A1A"/>
          <w:sz w:val="21"/>
          <w:vertAlign w:val="superscript"/>
        </w:rPr>
        <w:t>[1]</w:t>
      </w:r>
    </w:p>
    <w:p>
      <w:pPr>
        <w:spacing w:after="60" w:before="0" w:line="336" w:lineRule="auto"/>
        <w:ind w:left="340"/>
      </w:pPr>
      <w:r>
        <w:rPr>
          <w:rFonts w:ascii="Times New Roman" w:hAnsi="Times New Roman" w:eastAsia="宋体"/>
          <w:b w:val="0"/>
          <w:color w:val="1A1A1A"/>
          <w:sz w:val="21"/>
        </w:rPr>
        <w:t>· 对确诊冠心病心绞痛患者的维持治疗：复方丹参滴丸按专家建议一次 10 丸、一日 3 次，口服或舌下含服，疗程 4 周、可据病情延长</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；速效救心丸现行随机对照研究方案为舌下含服一次 5 丸、一日 3 次，疗程 4 周</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或 24 周</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；均应在医师指导下使用，并定期复评。</w:t>
      </w:r>
    </w:p>
    <w:p>
      <w:pPr>
        <w:spacing w:after="60" w:before="0" w:line="336" w:lineRule="auto"/>
        <w:ind w:left="340"/>
      </w:pPr>
      <w:r>
        <w:rPr>
          <w:rFonts w:ascii="Times New Roman" w:hAnsi="Times New Roman" w:eastAsia="宋体"/>
          <w:b w:val="0"/>
          <w:color w:val="1A1A1A"/>
          <w:sz w:val="21"/>
        </w:rPr>
        <w:t>· 急性心绞痛发作时若按专家建议使用复方丹参滴丸：一次 10 丸舌下含服，5 分钟内症状未缓解可再服 10 丸或加用硝酸酯类药，并同步进行医疗评估</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尚无权威来源支持"可连续服用3个月"的疗程表述；疗程的确定与延长应由医师依据病情决定并定期复评，不应以未经核验的说法作为疗程或患者教育的依据</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处方与调剂前须核对现行说明书禁忌与注意事项（两药禁忌不同：速效救心丸孕妇禁用</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，复方丹参滴丸过敏者禁用</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，详见正文第 4 节）；含服后症状持续不缓解或加重者，应再次呼救并接受急诊评估</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NHS. Chest pain [patient guidance]. UK: National Health Service; reviewed 2023-08-08. URL: https://www.nhs.uk/symptoms/chest-pain/</w:t>
      </w:r>
    </w:p>
    <w:p>
      <w:pPr>
        <w:spacing w:after="60" w:before="0" w:line="336" w:lineRule="auto"/>
        <w:ind w:left="340"/>
      </w:pPr>
      <w:r>
        <w:rPr>
          <w:rFonts w:ascii="Times New Roman" w:hAnsi="Times New Roman" w:eastAsia="宋体"/>
          <w:b w:val="0"/>
          <w:color w:val="1A1A1A"/>
          <w:sz w:val="21"/>
        </w:rPr>
        <w:t>2. Efficacy and Safety of Suxiao Jiuxin Pills in the Treatment of Chronic Coronary Syndrome with Intolerance to Adverse Effects of Long-acting Nitrates: A Multicenter, Randomized, Double-blind, Placebo-controlled Study. BMC Complement Med Ther. 2024. doi:10.1186/s12906-024-04661-5 PMID:39367481 URL: https://europepmc.org/articles/PMC11451125</w:t>
      </w:r>
    </w:p>
    <w:p>
      <w:pPr>
        <w:spacing w:after="60" w:before="0" w:line="336" w:lineRule="auto"/>
        <w:ind w:left="340"/>
      </w:pPr>
      <w:r>
        <w:rPr>
          <w:rFonts w:ascii="Times New Roman" w:hAnsi="Times New Roman" w:eastAsia="宋体"/>
          <w:b w:val="0"/>
          <w:color w:val="1A1A1A"/>
          <w:sz w:val="21"/>
        </w:rPr>
        <w:t>3. Efficacy of Suxiao Jiuxin Pill on Coronary Heart Disease: A Meta-Analysis of Randomized Controlled Trials. Evid Based Complement Alternat Med. 2018;2018:9745804. doi:10.1155/2018/9745804 PMID:29770157 URL: https://europepmc.org/articles/PMC5892298</w:t>
      </w:r>
    </w:p>
    <w:p>
      <w:pPr>
        <w:spacing w:after="60" w:before="0" w:line="336" w:lineRule="auto"/>
        <w:ind w:left="340"/>
      </w:pPr>
      <w:r>
        <w:rPr>
          <w:rFonts w:ascii="Times New Roman" w:hAnsi="Times New Roman" w:eastAsia="宋体"/>
          <w:b w:val="0"/>
          <w:color w:val="1A1A1A"/>
          <w:sz w:val="21"/>
        </w:rPr>
        <w:t>4. Efficacy and safety of Suxiao Jiuxin Pill in the treatment of stable angina (Qi stagnation and blood stasis syndrome): study protocol of a randomized, double-blind, placebo-controlled, multi-center clinical trial. Trials. 2021. doi:10.1186/s13063-021-05448-6 PMID:34281600 URL: https://europepmc.org/articles/PMC8287819</w:t>
      </w:r>
    </w:p>
    <w:p>
      <w:pPr>
        <w:spacing w:after="60" w:before="0" w:line="336" w:lineRule="auto"/>
        <w:ind w:left="340"/>
      </w:pPr>
      <w:r>
        <w:rPr>
          <w:rFonts w:ascii="Times New Roman" w:hAnsi="Times New Roman" w:eastAsia="宋体"/>
          <w:b w:val="0"/>
          <w:color w:val="1A1A1A"/>
          <w:sz w:val="21"/>
        </w:rPr>
        <w:t>5. Writing Group of Recommendations of Expert Panel from Chinese Geriatrics Society on the Clinical Use of Compound Danshen Dripping Pills. Recommendations on the Clinical Use of Compound Danshen Dripping Pills. Chin Med J (Engl). 2017. doi:10.4103/0366-6999.204106 PMID:28397728 URL: https://europepmc.org/articles/PMC5407045</w:t>
      </w:r>
    </w:p>
    <w:p>
      <w:pPr>
        <w:spacing w:after="60" w:before="0" w:line="336" w:lineRule="auto"/>
        <w:ind w:left="340"/>
      </w:pPr>
      <w:r>
        <w:rPr>
          <w:rFonts w:ascii="Times New Roman" w:hAnsi="Times New Roman" w:eastAsia="宋体"/>
          <w:b w:val="0"/>
          <w:color w:val="1A1A1A"/>
          <w:sz w:val="21"/>
        </w:rPr>
        <w:t>6. Liu XF, Zhu XX. Advances of clinical trials on compound Danshen dripping pills for stable angina pectoris: A perspective. Medicine (Baltimore). 2025;104(16):e42175. doi:10.1097/MD.0000000000042175 PMID:40258733 URL: https://europepmc.org/articles/PMC12014028</w:t>
      </w:r>
    </w:p>
    <w:p>
      <w:pPr>
        <w:spacing w:after="60" w:before="0" w:line="336" w:lineRule="auto"/>
        <w:ind w:left="340"/>
      </w:pPr>
      <w:r>
        <w:rPr>
          <w:rFonts w:ascii="Times New Roman" w:hAnsi="Times New Roman" w:eastAsia="宋体"/>
          <w:b w:val="0"/>
          <w:color w:val="1A1A1A"/>
          <w:sz w:val="21"/>
        </w:rPr>
        <w:t>7. The comparative effects of oral Chinese patent medicines combined with western medicine in stable angina: A systematic review and network meta-analysis of 179 trials. Front Pharmacol. 2022;13:918689. doi:10.3389/fphar.2022.918689 PMID:36059992 URL: https://europepmc.org/articles/PMC9428755</w:t>
      </w:r>
    </w:p>
    <w:p>
      <w:pPr>
        <w:spacing w:after="60" w:before="0" w:line="336" w:lineRule="auto"/>
        <w:ind w:left="340"/>
      </w:pPr>
      <w:r>
        <w:rPr>
          <w:rFonts w:ascii="Times New Roman" w:hAnsi="Times New Roman" w:eastAsia="宋体"/>
          <w:b w:val="0"/>
          <w:color w:val="1A1A1A"/>
          <w:sz w:val="21"/>
        </w:rPr>
        <w:t>8. 吴宗贵, 王肖龙, 张敏州, 等. 速效救心丸治疗冠心病中国专家共识. 中西医结合心脑血管病杂志. 2019;17(21). URL: https://qikan.cqvip.com/Qikan/Article/Detail?id=7100492500</w:t>
      </w:r>
    </w:p>
    <w:p>
      <w:pPr>
        <w:spacing w:after="60" w:before="0" w:line="336" w:lineRule="auto"/>
        <w:ind w:left="340"/>
      </w:pPr>
      <w:r>
        <w:rPr>
          <w:rFonts w:ascii="Times New Roman" w:hAnsi="Times New Roman" w:eastAsia="宋体"/>
          <w:b w:val="0"/>
          <w:color w:val="1A1A1A"/>
          <w:sz w:val="21"/>
        </w:rPr>
        <w:t>9. 复方丹参滴丸临床应用专家共识编写组. 复方丹参滴丸临床应用专家共识. 2025. (指南索引记录, 发布 2025-04-21)</w:t>
      </w:r>
    </w:p>
    <w:p>
      <w:pPr>
        <w:spacing w:after="60" w:before="0" w:line="336" w:lineRule="auto"/>
        <w:ind w:left="340"/>
      </w:pPr>
      <w:r>
        <w:rPr>
          <w:rFonts w:ascii="Times New Roman" w:hAnsi="Times New Roman" w:eastAsia="宋体"/>
          <w:b w:val="0"/>
          <w:color w:val="1A1A1A"/>
          <w:sz w:val="21"/>
        </w:rPr>
        <w:t>10. 《中成药治疗优势病种临床应用指南》标准化项目组. 中成药治疗冠心病临床应用指南（2020年）. 中西医结合心脑血管病杂志. 2021;19(9):1409–1435. (经参考文献</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核对)</w:t>
      </w:r>
    </w:p>
    <w:p>
      <w:pPr>
        <w:spacing w:after="60" w:before="0" w:line="336" w:lineRule="auto"/>
        <w:ind w:left="340"/>
      </w:pPr>
      <w:r>
        <w:rPr>
          <w:rFonts w:ascii="Times New Roman" w:hAnsi="Times New Roman" w:eastAsia="宋体"/>
          <w:b w:val="0"/>
          <w:color w:val="1A1A1A"/>
          <w:sz w:val="21"/>
        </w:rPr>
        <w:t>11. 国家药品监督管理局. 速效救心丸药品说明书（NMPA 数据查询收录；EviMed 标签索引记录 EVIMED-LABEL:nmpa-0，官方现行版本待核验）. URL: https://www.evimed.com/drug-details?source=nmpa&amp;name=8ac63be3f1a3baecde08da451c44c859.pdf</w:t>
      </w:r>
    </w:p>
    <w:p>
      <w:pPr>
        <w:spacing w:after="60" w:before="0" w:line="336" w:lineRule="auto"/>
        <w:ind w:left="340"/>
      </w:pPr>
      <w:r>
        <w:rPr>
          <w:rFonts w:ascii="Times New Roman" w:hAnsi="Times New Roman" w:eastAsia="宋体"/>
          <w:b w:val="0"/>
          <w:color w:val="1A1A1A"/>
          <w:sz w:val="21"/>
        </w:rPr>
        <w:t>12. 国家药品监督管理局. 复方丹参滴丸药品说明书（NMPA 数据查询收录；EviMed 标签索引记录 EVIMED-LABEL:nmpa-1，官方现行版本待核验）. URL: https://www.evimed.com/drug-details?source=nmpa&amp;name=ccd5459b103e3e5e56f4869d0baf4248.pdf</w:t>
      </w:r>
    </w:p>
    <w:p>
      <w:pPr>
        <w:spacing w:after="60" w:before="0" w:line="336" w:lineRule="auto"/>
        <w:ind w:left="340"/>
      </w:pPr>
      <w:r>
        <w:rPr>
          <w:rFonts w:ascii="Times New Roman" w:hAnsi="Times New Roman" w:eastAsia="宋体"/>
          <w:b w:val="0"/>
          <w:color w:val="1A1A1A"/>
          <w:sz w:val="21"/>
        </w:rPr>
        <w:t>13. Jia Y, Leung SW. The efficacy of Chinese herbal drugs for adults with angina pectoris: Bayesian network meta-analysis of 331 RCTs involving 36,467 individuals. J Ethnopharmacol. 2024. doi:10.1016/j.jep.2024.117925 PMID:38395177 URL: https://europepmc.org/article/MED/38395177 （摘要级）</w:t>
      </w:r>
    </w:p>
    <w:p>
      <w:pPr>
        <w:spacing w:after="60" w:before="0" w:line="336" w:lineRule="auto"/>
        <w:ind w:left="340"/>
      </w:pPr>
      <w:r>
        <w:rPr>
          <w:rFonts w:ascii="Times New Roman" w:hAnsi="Times New Roman" w:eastAsia="宋体"/>
          <w:b w:val="0"/>
          <w:color w:val="1A1A1A"/>
          <w:sz w:val="21"/>
        </w:rPr>
        <w:t>14. Effectiveness and safety of Suxiao Jiuxin pill in treating acute coronary syndrome: a systematic review and Meta-analysis. J Tradit Chin Med. 2020. doi:10.19852/j.cnki.jtcm.2020.04.002 PMID:32744020 URL: https://europepmc.org/article/MED/32744020 （摘要级）</w:t>
      </w:r>
    </w:p>
    <w:p>
      <w:pPr>
        <w:spacing w:after="60" w:before="0" w:line="336" w:lineRule="auto"/>
        <w:ind w:left="340"/>
      </w:pPr>
      <w:r>
        <w:rPr>
          <w:rFonts w:ascii="Times New Roman" w:hAnsi="Times New Roman" w:eastAsia="宋体"/>
          <w:b w:val="0"/>
          <w:color w:val="1A1A1A"/>
          <w:sz w:val="21"/>
        </w:rPr>
        <w:t>15. 袁慧婵, 商洪才, 张晶芳, 等. 不同疗程速效救心丸对冠心病心绞痛临床疗效及安全性的Meta分析. 北京中医药. 2022. URL: https://chkdx.cnki.net/kcms/detail/detail.aspx?FileName=BJZO202201018&amp;DbName=DKFXTEMP （摘要级）</w:t>
      </w:r>
    </w:p>
    <w:p>
      <w:pPr>
        <w:spacing w:after="60" w:before="0" w:line="336" w:lineRule="auto"/>
        <w:ind w:left="340"/>
      </w:pPr>
      <w:r>
        <w:rPr>
          <w:rFonts w:ascii="Times New Roman" w:hAnsi="Times New Roman" w:eastAsia="宋体"/>
          <w:b w:val="0"/>
          <w:color w:val="1A1A1A"/>
          <w:sz w:val="21"/>
        </w:rPr>
        <w:t>16. 李锋, 马静, 张仲海, 等. 复方丹参滴丸与速效救心丸治疗CHD临床对比观察. 中成药. 1998. URL: https://www.sinomed.ac.cn/zh/detail.do?ui=1998069715 （题录/摘要级）</w:t>
      </w:r>
    </w:p>
    <w:p>
      <w:pPr>
        <w:spacing w:after="60" w:before="0" w:line="336" w:lineRule="auto"/>
        <w:ind w:left="340"/>
      </w:pPr>
      <w:r>
        <w:rPr>
          <w:rFonts w:ascii="Times New Roman" w:hAnsi="Times New Roman" w:eastAsia="宋体"/>
          <w:b w:val="0"/>
          <w:color w:val="1A1A1A"/>
          <w:sz w:val="21"/>
        </w:rPr>
        <w:t>17. 郑丽贞, 林行. 速效救心丸与复方丹参滴丸治疗冠心病心绞痛的临床效果比较. 中国生化药物杂志. 2017. （题录/摘要级）</w:t>
      </w:r>
    </w:p>
    <w:p>
      <w:pPr>
        <w:spacing w:after="60" w:before="0" w:line="336" w:lineRule="auto"/>
        <w:ind w:left="340"/>
      </w:pPr>
      <w:r>
        <w:rPr>
          <w:rFonts w:ascii="Times New Roman" w:hAnsi="Times New Roman" w:eastAsia="宋体"/>
          <w:b w:val="0"/>
          <w:color w:val="1A1A1A"/>
          <w:sz w:val="21"/>
        </w:rPr>
        <w:t>18. 王晓梅, 王丽杰, 赵轶明. 速效救心丸和复方丹参滴丸治疗冠心病心绞痛的效果评价. 中国社区医师. 2022. （题录/摘要级）</w:t>
      </w:r>
    </w:p>
    <w:p>
      <w:pPr>
        <w:spacing w:after="60" w:before="0" w:line="336" w:lineRule="auto"/>
        <w:ind w:left="340"/>
      </w:pPr>
      <w:r>
        <w:rPr>
          <w:rFonts w:ascii="Times New Roman" w:hAnsi="Times New Roman" w:eastAsia="宋体"/>
          <w:b w:val="0"/>
          <w:color w:val="1A1A1A"/>
          <w:sz w:val="21"/>
        </w:rPr>
        <w:t>19. 张学斌, 肖巍. 速效救心丸治疗稳定型心绞痛的药物经济学评价. 中国药物经济学. 2021. URL: https://www.sinomed.ac.cn/zh/detail.do?ui=2021407668 （摘要级）</w:t>
      </w:r>
    </w:p>
    <w:p>
      <w:pPr>
        <w:spacing w:after="60" w:before="0" w:line="336" w:lineRule="auto"/>
        <w:ind w:left="340"/>
      </w:pPr>
      <w:r>
        <w:rPr>
          <w:rFonts w:ascii="Times New Roman" w:hAnsi="Times New Roman" w:eastAsia="宋体"/>
          <w:b w:val="0"/>
          <w:color w:val="1A1A1A"/>
          <w:sz w:val="21"/>
        </w:rPr>
        <w:t>20. ClinicalTrials.gov. Phase III Trial of Dantonic® (T89) Capsule to Prevent and Treat Stable Angina. NCT01659580. URL: https://clinicaltrials.gov/study/NCT01659580 （注册记录）</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