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before="0" w:line="300" w:lineRule="auto"/>
        <w:jc w:val="center"/>
      </w:pPr>
      <w:r>
        <w:rPr>
          <w:rFonts w:ascii="Times New Roman" w:hAnsi="Times New Roman" w:eastAsia="黑体"/>
          <w:b/>
          <w:color w:val="C15F3C"/>
          <w:sz w:val="30"/>
        </w:rPr>
        <w:t>经皮冠状动脉介入治疗后残余心绞痛是否落在速效救心丸说明书适应症边界之内：术后人群直接证据与指南立场的评价</w:t>
      </w:r>
    </w:p>
    <w:p>
      <w:pPr>
        <w:spacing w:after="100" w:before="240" w:line="300" w:lineRule="auto"/>
      </w:pPr>
      <w:r>
        <w:rPr>
          <w:rFonts w:ascii="Times New Roman" w:hAnsi="Times New Roman" w:eastAsia="黑体"/>
          <w:b/>
          <w:color w:val="1A1A1A"/>
          <w:sz w:val="25"/>
        </w:rPr>
        <w:t>摘要</w:t>
      </w:r>
    </w:p>
    <w:p>
      <w:pPr>
        <w:spacing w:after="120" w:before="0" w:line="348" w:lineRule="auto"/>
      </w:pPr>
      <w:r>
        <w:rPr>
          <w:rFonts w:ascii="Times New Roman" w:hAnsi="Times New Roman" w:eastAsia="宋体"/>
          <w:b/>
          <w:color w:val="1A1A1A"/>
          <w:sz w:val="21"/>
        </w:rPr>
        <w:t>结论（底线先行）</w:t>
      </w:r>
      <w:r>
        <w:rPr>
          <w:rFonts w:ascii="Times New Roman" w:hAnsi="Times New Roman" w:eastAsia="宋体"/>
          <w:b w:val="0"/>
          <w:color w:val="1A1A1A"/>
          <w:sz w:val="21"/>
        </w:rPr>
        <w:t>：速效救心丸的说明书适应症为"气滞血瘀型冠心病、心绞痛"，"经皮冠状动脉介入治疗（PCI）后／支架植入后"未作为独立人群或场景出现在可核验的说明书字段、随机对照试验人群或指南推荐之中；对"PCI 术后残余心绞痛"与"术后无症状随访期"场景，判定为</w:t>
      </w:r>
      <w:r>
        <w:rPr>
          <w:rFonts w:ascii="Times New Roman" w:hAnsi="Times New Roman" w:eastAsia="宋体"/>
          <w:b/>
          <w:color w:val="1A1A1A"/>
          <w:sz w:val="21"/>
        </w:rPr>
        <w:t>说明书边界未明确覆盖、无适应症内直接证据</w:t>
      </w:r>
      <w:r>
        <w:rPr>
          <w:rFonts w:ascii="Times New Roman" w:hAnsi="Times New Roman" w:eastAsia="宋体"/>
          <w:b w:val="0"/>
          <w:color w:val="1A1A1A"/>
          <w:sz w:val="21"/>
        </w:rPr>
        <w:t>，术后急性胸痛则属急诊评估范畴而非适应症用药场景。题库目标答案"有胸闷症状者常备作为应急"</w:t>
      </w:r>
      <w:r>
        <w:rPr>
          <w:rFonts w:ascii="Times New Roman" w:hAnsi="Times New Roman" w:eastAsia="宋体"/>
          <w:b/>
          <w:color w:val="1A1A1A"/>
          <w:sz w:val="21"/>
        </w:rPr>
        <w:t>无证据支持</w:t>
      </w:r>
      <w:r>
        <w:rPr>
          <w:rFonts w:ascii="Times New Roman" w:hAnsi="Times New Roman" w:eastAsia="宋体"/>
          <w:b w:val="0"/>
          <w:color w:val="1A1A1A"/>
          <w:sz w:val="21"/>
        </w:rPr>
        <w:t xml:space="preserve">。对患者与临床的直接含义：术后突发持续胸痛必须走"呼叫 120→急诊评估（心电图、高敏肌钙蛋白）"路径，含服本品缓解与否均不得推迟或替代急诊评估 </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vertAlign w:val="superscript"/>
        </w:rPr>
        <w:t>[22]</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速效救心丸于 1982 年经 CFDA 批准上市（期刊全文记载）。</w:t>
      </w:r>
      <w:r>
        <w:rPr>
          <w:rFonts w:ascii="Times New Roman" w:hAnsi="Times New Roman" w:eastAsia="宋体"/>
          <w:b w:val="0"/>
          <w:color w:val="1A1A1A"/>
          <w:sz w:val="21"/>
          <w:vertAlign w:val="superscript"/>
        </w:rPr>
        <w:t>[1]</w:t>
      </w:r>
    </w:p>
    <w:p>
      <w:pPr>
        <w:spacing w:after="120" w:before="0" w:line="348" w:lineRule="auto"/>
        <w:ind w:firstLine="420"/>
      </w:pPr>
      <w:r>
        <w:rPr>
          <w:rFonts w:ascii="Times New Roman" w:hAnsi="Times New Roman" w:eastAsia="宋体"/>
          <w:b w:val="0"/>
          <w:color w:val="1A1A1A"/>
          <w:sz w:val="21"/>
        </w:rPr>
        <w:t>速效救心丸 RCT 方案记载本品批准文号为 Z12020025（原 SFDA）。</w:t>
      </w:r>
      <w:r>
        <w:rPr>
          <w:rFonts w:ascii="Times New Roman" w:hAnsi="Times New Roman" w:eastAsia="宋体"/>
          <w:b w:val="0"/>
          <w:color w:val="1A1A1A"/>
          <w:sz w:val="21"/>
          <w:vertAlign w:val="superscript"/>
        </w:rPr>
        <w:t>[2]</w:t>
      </w:r>
    </w:p>
    <w:p>
      <w:pPr>
        <w:spacing w:after="120" w:before="0" w:line="348" w:lineRule="auto"/>
        <w:ind w:firstLine="420"/>
      </w:pPr>
      <w:r>
        <w:rPr>
          <w:rFonts w:ascii="Times New Roman" w:hAnsi="Times New Roman" w:eastAsia="宋体"/>
          <w:b w:val="0"/>
          <w:color w:val="1A1A1A"/>
          <w:sz w:val="21"/>
        </w:rPr>
        <w:t>NMPA 说明书索引副本（EVIMED-LABEL:nmpa-0）的适应症字段为"行气活血，祛瘀止痛，增加冠脉血流量，缓解心绞痛。用于气滞血瘀型冠心病，心绞痛。"，禁忌为"1. 孕妇禁用。"，注意事项含"在治疗期间，心绞痛持续发作，宜加用硝酸酯类药"，其中未出现"PCI 术后/支架植入后"表述（该副本为索引级，官方现行版本待核验）。</w:t>
      </w:r>
      <w:r>
        <w:rPr>
          <w:rFonts w:ascii="Times New Roman" w:hAnsi="Times New Roman" w:eastAsia="宋体"/>
          <w:b w:val="0"/>
          <w:color w:val="1A1A1A"/>
          <w:sz w:val="21"/>
          <w:vertAlign w:val="superscript"/>
        </w:rPr>
        <w:t>[26]</w:t>
      </w:r>
    </w:p>
    <w:p>
      <w:pPr>
        <w:spacing w:after="120" w:before="0" w:line="348" w:lineRule="auto"/>
        <w:ind w:firstLine="420"/>
      </w:pPr>
      <w:r>
        <w:rPr>
          <w:rFonts w:ascii="Times New Roman" w:hAnsi="Times New Roman" w:eastAsia="宋体"/>
          <w:b w:val="0"/>
          <w:color w:val="1A1A1A"/>
          <w:sz w:val="21"/>
        </w:rPr>
        <w:t>命题 A（边界）判定为</w:t>
      </w:r>
      <w:r>
        <w:rPr>
          <w:rFonts w:ascii="Times New Roman" w:hAnsi="Times New Roman" w:eastAsia="宋体"/>
          <w:b/>
          <w:color w:val="1A1A1A"/>
          <w:sz w:val="21"/>
        </w:rPr>
        <w:t>未明确覆盖</w:t>
      </w:r>
      <w:r>
        <w:rPr>
          <w:rFonts w:ascii="Times New Roman" w:hAnsi="Times New Roman" w:eastAsia="宋体"/>
          <w:b w:val="0"/>
          <w:color w:val="1A1A1A"/>
          <w:sz w:val="21"/>
        </w:rPr>
        <w:t xml:space="preserve">：说明书总括表述"冠心病心绞痛"不构成对 PCI 术后场景的明确覆盖，且稳定型心绞痛 RCT 方案将"近 3 个月内行 PCI、CABG 或起搏器植入"列为排除标准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，2024 年 CCS 试验治疗期禁止任何血运重建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，多个独立来源一致指向同一结论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命题 B（术后临床结局改善）判定为</w:t>
      </w:r>
      <w:r>
        <w:rPr>
          <w:rFonts w:ascii="Times New Roman" w:hAnsi="Times New Roman" w:eastAsia="宋体"/>
          <w:b/>
          <w:color w:val="1A1A1A"/>
          <w:sz w:val="21"/>
        </w:rPr>
        <w:t>机制上可解释、术后人群临床证据不足</w:t>
      </w:r>
      <w:r>
        <w:rPr>
          <w:rFonts w:ascii="Times New Roman" w:hAnsi="Times New Roman" w:eastAsia="宋体"/>
          <w:b w:val="0"/>
          <w:color w:val="1A1A1A"/>
          <w:sz w:val="21"/>
        </w:rPr>
        <w:t xml:space="preserve">：以 ACS 早期 PCI、围术期或血运重建后为人群的速效救心丸 RCT（2012 年早期 PCI 试验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、2013 年围术期试验 </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 xml:space="preserve">、2019 年血运重建后试验 </w:t>
      </w:r>
      <w:r>
        <w:rPr>
          <w:rFonts w:ascii="Times New Roman" w:hAnsi="Times New Roman" w:eastAsia="宋体"/>
          <w:b w:val="0"/>
          <w:color w:val="1A1A1A"/>
          <w:sz w:val="21"/>
          <w:vertAlign w:val="superscript"/>
        </w:rPr>
        <w:t>[7]</w:t>
      </w:r>
      <w:r>
        <w:rPr>
          <w:rFonts w:ascii="Times New Roman" w:hAnsi="Times New Roman" w:eastAsia="宋体"/>
          <w:b w:val="0"/>
          <w:color w:val="1A1A1A"/>
          <w:sz w:val="21"/>
        </w:rPr>
        <w:t xml:space="preserve">、2020 年多中心双盲安慰剂对照试验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）被独立全文引文交叉确认，但时相均为急性期/围术期，且仅获摘要级记录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；2020 年试验摘要称 SJP 组 MACE 较低、LVEF 与 SAQ 改善，但摘要层未给出可核验的效应量区间估计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。该试验的纳入人群为临床稳定、CCS 分级 I–III、不耐受长效硝酸酯的慢性冠状动脉综合征患者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。未检索到以稳定期"术后残余心绞痛"为纳入人群、以复发发作/MACE 为终点并报告效应量与区间估计的试验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。总体人群证据方向一致：2024 年 CCS 试验 OR=2.43（95% CI 1.32 to 4.47，P=0.004）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，2018 年 meta（41 项 RCT/6276 例）心电图改善 RR=1.32（95% CI 1.26 to 1.38）</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，但均无术后亚组分析，不得计为术后人群证据。</w:t>
      </w:r>
    </w:p>
    <w:p>
      <w:pPr>
        <w:spacing w:after="120" w:before="0" w:line="348" w:lineRule="auto"/>
        <w:ind w:firstLine="420"/>
      </w:pPr>
      <w:r>
        <w:rPr>
          <w:rFonts w:ascii="Times New Roman" w:hAnsi="Times New Roman" w:eastAsia="宋体"/>
          <w:b w:val="0"/>
          <w:color w:val="1A1A1A"/>
          <w:sz w:val="21"/>
        </w:rPr>
        <w:t>命题 C（术后常备本品作为应急）判定为</w:t>
      </w:r>
      <w:r>
        <w:rPr>
          <w:rFonts w:ascii="Times New Roman" w:hAnsi="Times New Roman" w:eastAsia="宋体"/>
          <w:b/>
          <w:color w:val="1A1A1A"/>
          <w:sz w:val="21"/>
        </w:rPr>
        <w:t>无证据支持</w:t>
      </w:r>
      <w:r>
        <w:rPr>
          <w:rFonts w:ascii="Times New Roman" w:hAnsi="Times New Roman" w:eastAsia="宋体"/>
          <w:b w:val="0"/>
          <w:color w:val="1A1A1A"/>
          <w:sz w:val="21"/>
        </w:rPr>
        <w:t xml:space="preserve">：未检索到以临床结局（复发心绞痛发作、再入院、急诊就诊延迟、MACE）为终点、检验 PCI 术后患者自备或按需使用本品策略的研究；注册库中"速效救心丸"检索零命中，"suxiao jiuxin"仅返回与本命题人群不符的登记（NCT06531161 高原反应预防、NCT05466968 急性心肌梗死易损斑块），均未检验术后常备/按需策略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。对照组证据显示同类芳香温通中成药（麝香保心丸）存在以 PCI 术后人群为对象的系统评价（19 项 RCT、2022 例，MACE RR=0.38，95% CI（0.29, 0.51））</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，与本品形成可核验的不对称。</w:t>
      </w:r>
    </w:p>
    <w:p>
      <w:pPr>
        <w:spacing w:after="120" w:before="0" w:line="348" w:lineRule="auto"/>
        <w:ind w:firstLine="420"/>
      </w:pPr>
      <w:r>
        <w:rPr>
          <w:rFonts w:ascii="Times New Roman" w:hAnsi="Times New Roman" w:eastAsia="宋体"/>
          <w:b w:val="0"/>
          <w:color w:val="1A1A1A"/>
          <w:sz w:val="21"/>
        </w:rPr>
        <w:t xml:space="preserve">安全性方面：2024 年 CCS 试验 4 周内无受试者报告不良事件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，但该试验排除高出血风险疾病患者；2022 年网络 meta 汇总的 ADR 数据中，速效救心丸联合西医组 81 例患者不良事件总发生率 35.80%（头晕/头痛 17.28%）</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；未检索到本品与双联抗血小板联用时的出血终点数据。</w:t>
      </w:r>
    </w:p>
    <w:p>
      <w:pPr>
        <w:spacing w:after="120" w:before="0" w:line="348" w:lineRule="auto"/>
        <w:ind w:firstLine="420"/>
      </w:pPr>
      <w:r>
        <w:rPr>
          <w:rFonts w:ascii="Times New Roman" w:hAnsi="Times New Roman" w:eastAsia="宋体"/>
          <w:b w:val="0"/>
          <w:color w:val="1A1A1A"/>
          <w:sz w:val="21"/>
        </w:rPr>
        <w:t xml:space="preserve">证据强度总体中等偏低：总体人群证据含设计良好的多中心双盲 RCT 与系统评价，但术后人群证据结构性地缺失——这是检索与筛选过程的直接结果，而非样本量问题 </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。材料不确定性集中在一处：现行 NMPA 说明书官方原文未获开放获取副本，说明书字段仅经索引副本锚定，官方现行版本是否修订不可核验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临床问题与论点判定条件</w:t>
      </w:r>
    </w:p>
    <w:p>
      <w:pPr>
        <w:spacing w:after="120" w:before="0" w:line="348" w:lineRule="auto"/>
        <w:ind w:firstLine="420"/>
      </w:pPr>
      <w:r>
        <w:rPr>
          <w:rFonts w:ascii="Times New Roman" w:hAnsi="Times New Roman" w:eastAsia="宋体"/>
          <w:b w:val="0"/>
          <w:color w:val="1A1A1A"/>
          <w:sz w:val="21"/>
        </w:rPr>
        <w:t>本报告回答的核心问题：经皮冠状动脉介入治疗（PCI）之后，患者仍存在的或新发的胸痛（"残余/复发心绞痛"）、无症状的术后随访期、以及术后急性胸痛等场景，是否落在速效救心丸说明书适应症边界之内；以及"术后常备本品作为应急"的分层建议是否有证据支持。</w:t>
      </w:r>
    </w:p>
    <w:p>
      <w:pPr>
        <w:spacing w:after="120" w:before="0" w:line="348" w:lineRule="auto"/>
        <w:ind w:firstLine="420"/>
      </w:pPr>
      <w:r>
        <w:rPr>
          <w:rFonts w:ascii="Times New Roman" w:hAnsi="Times New Roman" w:eastAsia="宋体"/>
          <w:b w:val="0"/>
          <w:color w:val="1A1A1A"/>
          <w:sz w:val="21"/>
        </w:rPr>
        <w:t>判定条件（与研究任务约定一致）：</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A（边界覆盖）成立</w:t>
      </w:r>
      <w:r>
        <w:rPr>
          <w:rFonts w:ascii="Times New Roman" w:hAnsi="Times New Roman" w:eastAsia="宋体"/>
          <w:b w:val="0"/>
          <w:color w:val="1A1A1A"/>
          <w:sz w:val="21"/>
        </w:rPr>
        <w:t>，需说明书适应症原文或经监管备案的修订文本明确覆盖该场景，或有以术后人群为纳入对象、按气滞血瘀型胸痹心痛证型入组的研究。仅凭"冠心病心绞痛"总括表述推断覆盖 PCI 术后，判定为"边界未明确覆盖"。</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B（术后改善临床结局）成立</w:t>
      </w:r>
      <w:r>
        <w:rPr>
          <w:rFonts w:ascii="Times New Roman" w:hAnsi="Times New Roman" w:eastAsia="宋体"/>
          <w:b w:val="0"/>
          <w:color w:val="1A1A1A"/>
          <w:sz w:val="21"/>
        </w:rPr>
        <w:t>，需有以 PCI 术后患者为纳入人群、设对照、以复发心绞痛发作或 MACE 为终点并给出效应量与区间估计的研究。仅有机制研究、非术后人群外推或无对照病例系列时，降级为"机制上可解释，术后人群临床证据不足"。</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 C（术后常备应急）成立</w:t>
      </w:r>
      <w:r>
        <w:rPr>
          <w:rFonts w:ascii="Times New Roman" w:hAnsi="Times New Roman" w:eastAsia="宋体"/>
          <w:b w:val="0"/>
          <w:color w:val="1A1A1A"/>
          <w:sz w:val="21"/>
        </w:rPr>
        <w:t>，需以临床结局为终点、检验术后患者自备或按需用药策略的研究；不满足即判"无证据支持"。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指南立场</w:t>
      </w:r>
      <w:r>
        <w:rPr>
          <w:rFonts w:ascii="Times New Roman" w:hAnsi="Times New Roman" w:eastAsia="宋体"/>
          <w:b w:val="0"/>
          <w:color w:val="1A1A1A"/>
          <w:sz w:val="21"/>
        </w:rPr>
        <w:t>：仅当指南或共识正文出现针对 PCI 术后使用本品的明确表述时方可记为"有立场"；否则记为"未述及"，不得由"指南推荐中医药用于冠心病"推断为"指南推荐术后使用本品"。</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命题层级区分</w:t>
      </w:r>
      <w:r>
        <w:rPr>
          <w:rFonts w:ascii="Times New Roman" w:hAnsi="Times New Roman" w:eastAsia="宋体"/>
          <w:b w:val="0"/>
          <w:color w:val="1A1A1A"/>
          <w:sz w:val="21"/>
        </w:rPr>
        <w:t>：机制上可解释（实验室/药理证据）&lt; 有术后人群直接研究支持（以术后人群为纳入对象的对照研究）&lt; 有改变临床结局的证据支持（以临床事件为终点的研究）。"指南提及"与"指南推荐"、"冠心病心绞痛总体人群证据"与"PCI 术后亚组证据"严格区分——未做术后亚组分析的研究不计为术后人群证据。</w:t>
      </w:r>
    </w:p>
    <w:p>
      <w:pPr>
        <w:spacing w:after="120" w:before="0" w:line="348" w:lineRule="auto"/>
        <w:ind w:firstLine="420"/>
      </w:pPr>
      <w:r>
        <w:rPr>
          <w:rFonts w:ascii="Times New Roman" w:hAnsi="Times New Roman" w:eastAsia="宋体"/>
          <w:b w:val="0"/>
          <w:color w:val="1A1A1A"/>
          <w:sz w:val="21"/>
        </w:rPr>
        <w:t>题库目标答案作为待检验假设逐句判定："有胸闷症状者常备作为应急"（命题 C）；"无症状者遵医嘱即可"（术后无症状随访人群的获益与风险是否被任何研究直接检验）。</w:t>
      </w:r>
    </w:p>
    <w:p>
      <w:pPr>
        <w:spacing w:after="100" w:before="240" w:line="300" w:lineRule="auto"/>
      </w:pPr>
      <w:r>
        <w:rPr>
          <w:rFonts w:ascii="Times New Roman" w:hAnsi="Times New Roman" w:eastAsia="黑体"/>
          <w:b/>
          <w:color w:val="1A1A1A"/>
          <w:sz w:val="25"/>
        </w:rPr>
        <w:t>证据基础与检索方法</w:t>
      </w:r>
    </w:p>
    <w:p>
      <w:pPr>
        <w:spacing w:after="120" w:before="0" w:line="348" w:lineRule="auto"/>
      </w:pPr>
      <w:r>
        <w:rPr>
          <w:rFonts w:ascii="Times New Roman" w:hAnsi="Times New Roman" w:eastAsia="宋体"/>
          <w:b/>
          <w:color w:val="1A1A1A"/>
          <w:sz w:val="21"/>
        </w:rPr>
        <w:t>检索日期</w:t>
      </w:r>
      <w:r>
        <w:rPr>
          <w:rFonts w:ascii="Times New Roman" w:hAnsi="Times New Roman" w:eastAsia="宋体"/>
          <w:b w:val="0"/>
          <w:color w:val="1A1A1A"/>
          <w:sz w:val="21"/>
        </w:rPr>
        <w:t>：2026 年 8 月 12 日。</w:t>
      </w:r>
      <w:r>
        <w:rPr>
          <w:rFonts w:ascii="Times New Roman" w:hAnsi="Times New Roman" w:eastAsia="宋体"/>
          <w:b/>
          <w:color w:val="1A1A1A"/>
          <w:sz w:val="21"/>
        </w:rPr>
        <w:t>数据源</w:t>
      </w:r>
      <w:r>
        <w:rPr>
          <w:rFonts w:ascii="Times New Roman" w:hAnsi="Times New Roman" w:eastAsia="宋体"/>
          <w:b w:val="0"/>
          <w:color w:val="1A1A1A"/>
          <w:sz w:val="21"/>
        </w:rPr>
        <w:t>：（1）文献数据库检索（覆盖 PubMed、Europe PMC、Crossref 与中文文献索引）；（2）指南/共识索引（含中华医学会、中国中西医结合学会、中华中医药学会、ESC 等发布机构记录）；（3）NMPA 说明书索引（索引副本，官方现行版本需另行核验）；（4）临床试验注册库（ClinicalTrials.gov 等）；（5）官方页面（NHS）。</w:t>
      </w:r>
      <w:r>
        <w:rPr>
          <w:rFonts w:ascii="Times New Roman" w:hAnsi="Times New Roman" w:eastAsia="宋体"/>
          <w:b/>
          <w:color w:val="1A1A1A"/>
          <w:sz w:val="21"/>
        </w:rPr>
        <w:t>检索式</w:t>
      </w:r>
      <w:r>
        <w:rPr>
          <w:rFonts w:ascii="Times New Roman" w:hAnsi="Times New Roman" w:eastAsia="宋体"/>
          <w:b w:val="0"/>
          <w:color w:val="1A1A1A"/>
          <w:sz w:val="21"/>
        </w:rPr>
        <w:t>（均按逐字原文执行）：中文检索式"速效救心丸 经皮冠状动脉介入""速效救心丸 支架""速效救心丸 专家共识 冠心病""冠心病心绞痛介入前后中医诊疗指南""速效救心丸"（注册库）等；英文检索式"suxiao jiuxin"（PubMed）、"suxiao jiuxin pill"（Europe PMC 与 Crossref）、"Suxiao Jiuxin acute coronary syndrome early percutaneous coronary intervention"（Europe PMC）、"suxiao jiuxin wan angina pectoris Cochrane"（PubMed）等；指南检索式"经皮冠状动脉介入治疗 指南""中成药 冠心病 心绞痛 指南""chronic coronary syndrome stable angina guideline"等。</w:t>
      </w:r>
    </w:p>
    <w:p>
      <w:pPr>
        <w:spacing w:after="120" w:before="0" w:line="348" w:lineRule="auto"/>
      </w:pPr>
      <w:r>
        <w:rPr>
          <w:rFonts w:ascii="Times New Roman" w:hAnsi="Times New Roman" w:eastAsia="宋体"/>
          <w:b/>
          <w:color w:val="1A1A1A"/>
          <w:sz w:val="21"/>
        </w:rPr>
        <w:t>筛选流程</w:t>
      </w:r>
      <w:r>
        <w:rPr>
          <w:rFonts w:ascii="Times New Roman" w:hAnsi="Times New Roman" w:eastAsia="宋体"/>
          <w:b w:val="0"/>
          <w:color w:val="1A1A1A"/>
          <w:sz w:val="21"/>
        </w:rPr>
        <w:t>：各数据源共识别 313 条记录；按 PMID/DOI/规范化题名去重后为 170 条；依据人群相关性（速效救心丸与心绞痛/PCI）、研究类型（RCT、系统评价、指南/共识、注册记录）与证据层级筛选，纳入 26 条来源。去重按 PMID/DOI/规范化题名进行；其中《速效救心丸治疗冠心病中国专家共识》跨库重复 1 条。访问层级分布：full_text 12 条、official_page 1 条、abstract 4 条、structured_record 9 条。关键全文（2024 年 CCS RCT、2021 年 RCT 方案、2018 年 meta、2022 年网络 meta、麝香保心丸术后 meta、机制研究、2025 年系统评价总览、急诊路径研究）均已按全文访问层级核验支持引文。</w:t>
      </w:r>
    </w:p>
    <w:p>
      <w:pPr>
        <w:spacing w:after="120" w:before="0" w:line="348" w:lineRule="auto"/>
      </w:pPr>
      <w:r>
        <w:rPr>
          <w:rFonts w:ascii="Times New Roman" w:hAnsi="Times New Roman" w:eastAsia="宋体"/>
          <w:b/>
          <w:color w:val="1A1A1A"/>
          <w:sz w:val="21"/>
        </w:rPr>
        <w:t>纳入与排除</w:t>
      </w:r>
      <w:r>
        <w:rPr>
          <w:rFonts w:ascii="Times New Roman" w:hAnsi="Times New Roman" w:eastAsia="宋体"/>
          <w:b w:val="0"/>
          <w:color w:val="1A1A1A"/>
          <w:sz w:val="21"/>
        </w:rPr>
        <w:t>：纳入以速效救心丸为干预、以冠心病/心绞痛/ACS/PCI 为人群的对照研究与系统评价，含术后人群与总体人群证据；纳入本品与同类中成药的指南/共识记录；纳入急诊胸痛评估路径证据。排除：无对照的机制综述（保留代表性机制研究作层级判定）、与本品无关的 PCI 护理文献、无法核验全文或摘要的记录。</w:t>
      </w:r>
    </w:p>
    <w:p>
      <w:pPr>
        <w:spacing w:after="120" w:before="0" w:line="348" w:lineRule="auto"/>
      </w:pPr>
      <w:r>
        <w:rPr>
          <w:rFonts w:ascii="Times New Roman" w:hAnsi="Times New Roman" w:eastAsia="宋体"/>
          <w:b/>
          <w:color w:val="1A1A1A"/>
          <w:sz w:val="21"/>
        </w:rPr>
        <w:t>评估维度</w:t>
      </w:r>
      <w:r>
        <w:rPr>
          <w:rFonts w:ascii="Times New Roman" w:hAnsi="Times New Roman" w:eastAsia="宋体"/>
          <w:b w:val="0"/>
          <w:color w:val="1A1A1A"/>
          <w:sz w:val="21"/>
        </w:rPr>
        <w:t>：证据形式（RCT/meta/指南/注册记录）、人群直接性（术后 vs 总体）、访问层级（全文/摘要/记录）、时相（急性期/围术期/稳定期）、终点（症状/SAQ/MACE/出血）、方法学局限（盲法、Jadad/AMSTAR-2/GRADE）、时效性与司法辖区适用性。检索边界：ChiCTR 注册库与 NMPA 官方说明书数据库未提供可公开检索通道，相关"未检索到"结论均以检索式与检索日期标注。</w:t>
      </w:r>
    </w:p>
    <w:p>
      <w:pPr>
        <w:spacing w:after="100" w:before="240" w:line="300" w:lineRule="auto"/>
      </w:pPr>
      <w:r>
        <w:rPr>
          <w:rFonts w:ascii="Times New Roman" w:hAnsi="Times New Roman" w:eastAsia="黑体"/>
          <w:b/>
          <w:color w:val="1A1A1A"/>
          <w:sz w:val="25"/>
        </w:rPr>
        <w:t>逐角度论证与结果</w:t>
      </w:r>
    </w:p>
    <w:p>
      <w:pPr>
        <w:spacing w:after="100" w:before="240" w:line="300" w:lineRule="auto"/>
      </w:pPr>
      <w:r>
        <w:rPr>
          <w:rFonts w:ascii="Times New Roman" w:hAnsi="Times New Roman" w:eastAsia="黑体"/>
          <w:b/>
          <w:color w:val="1A1A1A"/>
          <w:sz w:val="23"/>
        </w:rPr>
        <w:t>角度一：说明书适应症边界（命题 A）</w:t>
      </w:r>
    </w:p>
    <w:p>
      <w:pPr>
        <w:spacing w:after="120" w:before="0" w:line="348" w:lineRule="auto"/>
      </w:pPr>
      <w:r>
        <w:rPr>
          <w:rFonts w:ascii="Times New Roman" w:hAnsi="Times New Roman" w:eastAsia="宋体"/>
          <w:b/>
          <w:color w:val="1A1A1A"/>
          <w:sz w:val="21"/>
        </w:rPr>
        <w:t>可直接核验的说明书字段</w:t>
      </w:r>
      <w:r>
        <w:rPr>
          <w:rFonts w:ascii="Times New Roman" w:hAnsi="Times New Roman" w:eastAsia="宋体"/>
          <w:b w:val="0"/>
          <w:color w:val="1A1A1A"/>
          <w:sz w:val="21"/>
        </w:rPr>
        <w:t>（NMPA 索引副本，记录级，官方现行版本待核验）：适应症"行气活血，祛瘀止痛，增加冠脉血流量，缓解心绞痛。用于气滞血瘀型冠心病，心绞痛。"；禁忌"1. 孕妇禁用。"；注意事项"寒凝血瘀、阴虚血瘀胸痹心痛不宜单用。有过敏史者、过敏体质者慎用。伴有中重度心力衰竭的心肌缺血者慎用。在治疗期间，心绞痛持续发作，宜加用硝酸酯类药。"。"PCI 术后/支架植入后"未出现在适应症、注意事项或禁忌的任何可核验字段。</w:t>
      </w:r>
      <w:r>
        <w:rPr>
          <w:rFonts w:ascii="Times New Roman" w:hAnsi="Times New Roman" w:eastAsia="宋体"/>
          <w:b w:val="0"/>
          <w:color w:val="1A1A1A"/>
          <w:sz w:val="21"/>
          <w:vertAlign w:val="superscript"/>
        </w:rPr>
        <w:t>[26]</w:t>
      </w:r>
    </w:p>
    <w:p>
      <w:pPr>
        <w:spacing w:after="120" w:before="0" w:line="348" w:lineRule="auto"/>
      </w:pPr>
      <w:r>
        <w:rPr>
          <w:rFonts w:ascii="Times New Roman" w:hAnsi="Times New Roman" w:eastAsia="宋体"/>
          <w:b/>
          <w:color w:val="1A1A1A"/>
          <w:sz w:val="21"/>
        </w:rPr>
        <w:t>注册与上市锚定</w:t>
      </w:r>
      <w:r>
        <w:rPr>
          <w:rFonts w:ascii="Times New Roman" w:hAnsi="Times New Roman" w:eastAsia="宋体"/>
          <w:b w:val="0"/>
          <w:color w:val="1A1A1A"/>
          <w:sz w:val="21"/>
        </w:rPr>
        <w:t xml:space="preserve">：期刊全文记载本品于 1982 年经 CFDA 批准上市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；试验方案记载批准文号 Z12020025（原 SFDA）</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。本品组分为川芎（Ligusticum striatum DC.）与冰片（Borneolum syntheticum）</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。这些记载均为期刊转述，批准文号与历次修订的官方原始文本未获开放获取副本，构成命题 A 的首要残余不确定性。</w:t>
      </w:r>
      <w:r>
        <w:rPr>
          <w:rFonts w:ascii="Times New Roman" w:hAnsi="Times New Roman" w:eastAsia="宋体"/>
          <w:b w:val="0"/>
          <w:color w:val="1A1A1A"/>
          <w:sz w:val="21"/>
          <w:vertAlign w:val="superscript"/>
        </w:rPr>
        <w:t>[26]</w:t>
      </w:r>
    </w:p>
    <w:p>
      <w:pPr>
        <w:spacing w:after="120" w:before="0" w:line="348" w:lineRule="auto"/>
      </w:pPr>
      <w:r>
        <w:rPr>
          <w:rFonts w:ascii="Times New Roman" w:hAnsi="Times New Roman" w:eastAsia="宋体"/>
          <w:b/>
          <w:color w:val="1A1A1A"/>
          <w:sz w:val="21"/>
        </w:rPr>
        <w:t>证型衔接</w:t>
      </w:r>
      <w:r>
        <w:rPr>
          <w:rFonts w:ascii="Times New Roman" w:hAnsi="Times New Roman" w:eastAsia="宋体"/>
          <w:b w:val="0"/>
          <w:color w:val="1A1A1A"/>
          <w:sz w:val="21"/>
        </w:rPr>
        <w:t xml:space="preserve">：稳定型心绞痛 RCT 方案明确要求"气滞血瘀证"入组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，即以证型方式操作化说明书"气滞血瘀型冠心病"的界定；但该方案同时将"近 3 个月内行 PCI、CABG 或植入起搏器"列为排除标准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——即按证型入组的试验本身排除近期术后患者。</w:t>
      </w:r>
    </w:p>
    <w:p>
      <w:pPr>
        <w:spacing w:after="120" w:before="0" w:line="348" w:lineRule="auto"/>
      </w:pPr>
      <w:r>
        <w:rPr>
          <w:rFonts w:ascii="Times New Roman" w:hAnsi="Times New Roman" w:eastAsia="宋体"/>
          <w:b/>
          <w:color w:val="1A1A1A"/>
          <w:sz w:val="21"/>
        </w:rPr>
        <w:t>场景逐一判定</w:t>
      </w:r>
      <w:r>
        <w:rPr>
          <w:rFonts w:ascii="Times New Roman" w:hAnsi="Times New Roman" w:eastAsia="宋体"/>
          <w:b w:val="0"/>
          <w:color w:val="1A1A1A"/>
          <w:sz w:val="21"/>
        </w:rPr>
        <w:t>（场景界定本身，非证据主张）："PCI 术后残余/复发心绞痛"场景——说明书字段无覆盖、按证型入组的方案排除近期术后患者、总体人群 RCT 治疗期禁行血运重建，</w:t>
      </w:r>
      <w:r>
        <w:rPr>
          <w:rFonts w:ascii="Times New Roman" w:hAnsi="Times New Roman" w:eastAsia="宋体"/>
          <w:b/>
          <w:color w:val="1A1A1A"/>
          <w:sz w:val="21"/>
        </w:rPr>
        <w:t>该场景无适应症内直接证据</w:t>
      </w:r>
      <w:r>
        <w:rPr>
          <w:rFonts w:ascii="Times New Roman" w:hAnsi="Times New Roman" w:eastAsia="宋体"/>
          <w:b w:val="0"/>
          <w:color w:val="1A1A1A"/>
          <w:sz w:val="21"/>
        </w:rPr>
        <w:t>；"PCI 术后无症状随访期"场景——无任何研究将无症状术后随访人群作为干预对象检验获益与风险，</w:t>
      </w:r>
      <w:r>
        <w:rPr>
          <w:rFonts w:ascii="Times New Roman" w:hAnsi="Times New Roman" w:eastAsia="宋体"/>
          <w:b/>
          <w:color w:val="1A1A1A"/>
          <w:sz w:val="21"/>
        </w:rPr>
        <w:t>该场景无适应症内直接证据</w:t>
      </w:r>
      <w:r>
        <w:rPr>
          <w:rFonts w:ascii="Times New Roman" w:hAnsi="Times New Roman" w:eastAsia="宋体"/>
          <w:b w:val="0"/>
          <w:color w:val="1A1A1A"/>
          <w:sz w:val="21"/>
        </w:rPr>
        <w:t>；"PCI 术后急性胸痛"场景——属急诊评估范畴，含服自救不得作为推迟评估的理由（见角度六）。</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p>
    <w:p>
      <w:pPr>
        <w:spacing w:after="100" w:before="240" w:line="300" w:lineRule="auto"/>
      </w:pPr>
      <w:r>
        <w:rPr>
          <w:rFonts w:ascii="Times New Roman" w:hAnsi="Times New Roman" w:eastAsia="黑体"/>
          <w:b/>
          <w:color w:val="1A1A1A"/>
          <w:sz w:val="23"/>
        </w:rPr>
        <w:t>角度二：PCI 术后人群的直接临床证据（命题 B）</w:t>
      </w:r>
    </w:p>
    <w:p>
      <w:pPr>
        <w:spacing w:after="120" w:before="0" w:line="348" w:lineRule="auto"/>
      </w:pPr>
      <w:r>
        <w:rPr>
          <w:rFonts w:ascii="Times New Roman" w:hAnsi="Times New Roman" w:eastAsia="宋体"/>
          <w:b/>
          <w:color w:val="1A1A1A"/>
          <w:sz w:val="21"/>
        </w:rPr>
        <w:t>存在性（有）</w:t>
      </w:r>
      <w:r>
        <w:rPr>
          <w:rFonts w:ascii="Times New Roman" w:hAnsi="Times New Roman" w:eastAsia="宋体"/>
          <w:b w:val="0"/>
          <w:color w:val="1A1A1A"/>
          <w:sz w:val="21"/>
        </w:rPr>
        <w:t xml:space="preserve">：以 ACS 早期 PCI、围术期或血运重建后为纳入人群的速效救心丸 RCT 被独立全文引文交叉确认：2012 年中国中西医结合杂志早期 PCI 试验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，2013 年稳定型心绞痛介入围术期试验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，2019 年 ACS 血运重建后随机双盲安慰剂对照试验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，2020 年 J Altern Complement Med 多中心双盲安慰剂对照试验（ChiCTR-TRC-13003053）</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。其存在性由独立全文来源（2021 年方案引文表与 2024 年 RCT 引文表）交叉确认 </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内容（摘要级）</w:t>
      </w:r>
      <w:r>
        <w:rPr>
          <w:rFonts w:ascii="Times New Roman" w:hAnsi="Times New Roman" w:eastAsia="宋体"/>
          <w:b w:val="0"/>
          <w:color w:val="1A1A1A"/>
          <w:sz w:val="21"/>
        </w:rPr>
        <w:t xml:space="preserve">：2020 年试验摘要报告 SJP 组在治疗与随访期间 MACE 相对较低、LVEF 与 SAQ 改善，但摘要层未提供可核验的效应量及置信区间（P 值字段在索引记录中缺损），结论只能定性表述，不能作为效应量证据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。2012 年试验（摘要级）报告治疗组支架植入前后 TIMI 血流优于对照组、围术期心肌梗死发生率低于对照组 </w:t>
      </w:r>
      <w:r>
        <w:rPr>
          <w:rFonts w:ascii="Times New Roman" w:hAnsi="Times New Roman" w:eastAsia="宋体"/>
          <w:b w:val="0"/>
          <w:color w:val="1A1A1A"/>
          <w:sz w:val="21"/>
          <w:vertAlign w:val="superscript"/>
        </w:rPr>
        <w:t>[5]</w:t>
      </w:r>
      <w:r>
        <w:rPr>
          <w:rFonts w:ascii="Times New Roman" w:hAnsi="Times New Roman" w:eastAsia="宋体"/>
          <w:b w:val="0"/>
          <w:color w:val="1A1A1A"/>
          <w:sz w:val="21"/>
        </w:rPr>
        <w:t xml:space="preserve">。2013 年试验（摘要级，不稳定型心绞痛）报告中医证候疗效与心电图疗效总有效率优于对照组 </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。2019 年与 2013 年围术期研究仅存书目级记录 </w:t>
      </w:r>
      <w:r>
        <w:rPr>
          <w:rFonts w:ascii="Times New Roman" w:hAnsi="Times New Roman" w:eastAsia="宋体"/>
          <w:b w:val="0"/>
          <w:color w:val="1A1A1A"/>
          <w:sz w:val="21"/>
          <w:vertAlign w:val="superscript"/>
        </w:rPr>
        <w:t>[7]</w:t>
      </w:r>
      <w:r>
        <w:rPr>
          <w:rFonts w:ascii="Times New Roman" w:hAnsi="Times New Roman" w:eastAsia="宋体"/>
          <w:b w:val="0"/>
          <w:color w:val="1A1A1A"/>
          <w:sz w:val="21"/>
          <w:vertAlign w:val="superscript"/>
        </w:rPr>
        <w:t>[8]</w:t>
      </w:r>
      <w:r>
        <w:rPr>
          <w:rFonts w:ascii="Times New Roman" w:hAnsi="Times New Roman" w:eastAsia="宋体"/>
          <w:b w:val="0"/>
          <w:color w:val="1A1A1A"/>
          <w:sz w:val="21"/>
        </w:rPr>
        <w:t>。</w:t>
      </w:r>
      <w:r>
        <w:rPr>
          <w:rFonts w:ascii="Times New Roman" w:hAnsi="Times New Roman" w:eastAsia="宋体"/>
          <w:b/>
          <w:color w:val="1A1A1A"/>
          <w:sz w:val="21"/>
        </w:rPr>
        <w:t>时相限定</w:t>
      </w:r>
      <w:r>
        <w:rPr>
          <w:rFonts w:ascii="Times New Roman" w:hAnsi="Times New Roman" w:eastAsia="宋体"/>
          <w:b w:val="0"/>
          <w:color w:val="1A1A1A"/>
          <w:sz w:val="21"/>
        </w:rPr>
        <w:t xml:space="preserve">：以上全部为 ACS 急性期/围术期或血运重建后早期人群，均非稳定期"术后残余心绞痛"人群；没有以术后残余/复发心绞痛发作频次或支架内再狭窄为终点报告区间估计的试验。未检索到以稳定期术后残余心绞痛为纳入人群的试验——此为本命题的核心缺口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总体人群证据（对比基准，不得外推）</w:t>
      </w:r>
      <w:r>
        <w:rPr>
          <w:rFonts w:ascii="Times New Roman" w:hAnsi="Times New Roman" w:eastAsia="宋体"/>
          <w:b w:val="0"/>
          <w:color w:val="1A1A1A"/>
          <w:sz w:val="21"/>
        </w:rPr>
        <w:t>：2024 年多中心双盲安慰剂对照试验（174 例改良意向性分析）在 CCS 且不耐受长效硝酸酯的患者中，4 周后 SAQ 总评分改善≥20 分者 60.9% 对 39.1%，OR=2.43（95% CI 1.32 to 4.47，P=0.004）</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；该试验治疗期禁止受试者接受血运重建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，即其疗效测量不在支架植入术后恢复期进行。2018 年 meta 纳入 41 项 RCT、6276 例冠心病患者，主要终点为心电图、血脂与血液流变学改善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，无术后亚组。Cochrane 系统评价结论为证据弱、方法学质量差 </w:t>
      </w:r>
      <w:r>
        <w:rPr>
          <w:rFonts w:ascii="Times New Roman" w:hAnsi="Times New Roman" w:eastAsia="宋体"/>
          <w:b w:val="0"/>
          <w:color w:val="1A1A1A"/>
          <w:sz w:val="21"/>
          <w:vertAlign w:val="superscript"/>
        </w:rPr>
        <w:t>[9]</w:t>
      </w:r>
      <w:r>
        <w:rPr>
          <w:rFonts w:ascii="Times New Roman" w:hAnsi="Times New Roman" w:eastAsia="宋体"/>
          <w:b w:val="0"/>
          <w:color w:val="1A1A1A"/>
          <w:sz w:val="21"/>
        </w:rPr>
        <w:t xml:space="preserve">。2022 年网络 meta（179 项 RCT、16,789 例）中速效救心丸联合西医纳入 6 项 RCT，临床有效率 SUCRA 71.04%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。2025 年系统评价总览对活血化瘀类中成药联用证据的 GRADE 定级为低/极低为主 </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 。</w:t>
      </w:r>
    </w:p>
    <w:p>
      <w:pPr>
        <w:spacing w:after="120" w:before="0" w:line="348" w:lineRule="auto"/>
      </w:pPr>
      <w:r>
        <w:rPr>
          <w:rFonts w:ascii="Times New Roman" w:hAnsi="Times New Roman" w:eastAsia="宋体"/>
          <w:b/>
          <w:color w:val="1A1A1A"/>
          <w:sz w:val="21"/>
        </w:rPr>
        <w:t>对照证据不对称</w:t>
      </w:r>
      <w:r>
        <w:rPr>
          <w:rFonts w:ascii="Times New Roman" w:hAnsi="Times New Roman" w:eastAsia="宋体"/>
          <w:b w:val="0"/>
          <w:color w:val="1A1A1A"/>
          <w:sz w:val="21"/>
        </w:rPr>
        <w:t>：同类芳香温通中成药麝香保心丸存在以 PCI 术后冠心病患者为人群的系统评价（19 项 RCT、2022 例，联用较单用 MACE RR=0.38，95% CI（0.29, 0.51））</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 xml:space="preserve"> ；本品未检索到同类术后人群系统评价——该不对称可核验，且说明"术后直接证据缺失"不是中药监管语境下的必然状态 </w:t>
      </w:r>
      <w:r>
        <w:rPr>
          <w:rFonts w:ascii="Times New Roman" w:hAnsi="Times New Roman" w:eastAsia="宋体"/>
          <w:b w:val="0"/>
          <w:color w:val="1A1A1A"/>
          <w:sz w:val="21"/>
          <w:vertAlign w:val="superscript"/>
        </w:rPr>
        <w:t>[11]</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3"/>
        </w:rPr>
        <w:t>角度三：术后常备/按需用药策略（命题 C）</w:t>
      </w:r>
    </w:p>
    <w:p>
      <w:pPr>
        <w:spacing w:after="120" w:before="0" w:line="348" w:lineRule="auto"/>
        <w:ind w:firstLine="420"/>
      </w:pPr>
      <w:r>
        <w:rPr>
          <w:rFonts w:ascii="Times New Roman" w:hAnsi="Times New Roman" w:eastAsia="宋体"/>
          <w:b w:val="0"/>
          <w:color w:val="1A1A1A"/>
          <w:sz w:val="21"/>
        </w:rPr>
        <w:t>以"常备应急/按需含服"为干预本质的研究需满足：术后人群 + 以复发发作、再入院、急诊延迟或 MACE 为终点 + 检验自备或按需策略。</w:t>
      </w:r>
      <w:r>
        <w:rPr>
          <w:rFonts w:ascii="Times New Roman" w:hAnsi="Times New Roman" w:eastAsia="宋体"/>
          <w:b/>
          <w:color w:val="1A1A1A"/>
          <w:sz w:val="21"/>
        </w:rPr>
        <w:t>检索结果</w:t>
      </w:r>
      <w:r>
        <w:rPr>
          <w:rFonts w:ascii="Times New Roman" w:hAnsi="Times New Roman" w:eastAsia="宋体"/>
          <w:b w:val="0"/>
          <w:color w:val="1A1A1A"/>
          <w:sz w:val="21"/>
        </w:rPr>
        <w:t xml:space="preserve">：PubMed/Europe PMC/Crossref 中文与英文检索均未返回此类研究；最接近的终点设计是稳定型心绞痛 RCT 方案的次要终点"急救药用量与停药率"，但该方案针对总体稳定型心绞痛且排除术后 3 个月内患者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，不是术后常备策略研究。注册库"速效救心丸"零命中，"suxiao jiuxin"仅返回与本命题人群不符的登记（NCT06531161 高原反应预防、NCT05466968 急性心梗易损斑块），均非术后常备策略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判定</w:t>
      </w:r>
      <w:r>
        <w:rPr>
          <w:rFonts w:ascii="Times New Roman" w:hAnsi="Times New Roman" w:eastAsia="宋体"/>
          <w:b w:val="0"/>
          <w:color w:val="1A1A1A"/>
          <w:sz w:val="21"/>
        </w:rPr>
        <w:t>：命题 C 不满足成立条件，判"无证据支持"。不得以"预防复发""有备无患"等无来源表述带过；检索式、数据源与检索日期见方法节。</w:t>
      </w:r>
    </w:p>
    <w:p>
      <w:pPr>
        <w:spacing w:after="100" w:before="240" w:line="300" w:lineRule="auto"/>
      </w:pPr>
      <w:r>
        <w:rPr>
          <w:rFonts w:ascii="Times New Roman" w:hAnsi="Times New Roman" w:eastAsia="黑体"/>
          <w:b/>
          <w:color w:val="1A1A1A"/>
          <w:sz w:val="23"/>
        </w:rPr>
        <w:t>角度四：指南与共识立场</w:t>
      </w:r>
    </w:p>
    <w:p>
      <w:pPr>
        <w:spacing w:after="120" w:before="0" w:line="348" w:lineRule="auto"/>
        <w:ind w:firstLine="420"/>
      </w:pPr>
      <w:r>
        <w:rPr>
          <w:rFonts w:ascii="Times New Roman" w:hAnsi="Times New Roman" w:eastAsia="宋体"/>
          <w:b w:val="0"/>
          <w:color w:val="1A1A1A"/>
          <w:sz w:val="21"/>
        </w:rPr>
        <w:t>逐项记录（索引记录级；全文层级限制见证据局限）：</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《速效救心丸治疗冠心病中国专家共识》（2019，中国中西医结合学会）</w:t>
      </w:r>
      <w:r>
        <w:rPr>
          <w:rFonts w:ascii="Times New Roman" w:hAnsi="Times New Roman" w:eastAsia="宋体"/>
          <w:b w:val="0"/>
          <w:color w:val="1A1A1A"/>
          <w:sz w:val="21"/>
        </w:rPr>
        <w:t xml:space="preserve">：记录与摘要显示其背景论述为"中成药在冠心病的预防、治疗、急救中有着重要的作用"、本品自 1982 年上市以来积累了宝贵临床经验，针对冠心病总体人群；可获取的记录文本中未出现针对 PCI 术后使用的明确表述，共识正文全文未获开放获取副本 </w:t>
      </w:r>
      <w:r>
        <w:rPr>
          <w:rFonts w:ascii="Times New Roman" w:hAnsi="Times New Roman" w:eastAsia="宋体"/>
          <w:b w:val="0"/>
          <w:color w:val="1A1A1A"/>
          <w:sz w:val="21"/>
          <w:vertAlign w:val="superscript"/>
        </w:rPr>
        <w:t>[13]</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《中成药治疗冠心病临床应用指南（2020 年）》</w:t>
      </w:r>
      <w:r>
        <w:rPr>
          <w:rFonts w:ascii="Times New Roman" w:hAnsi="Times New Roman" w:eastAsia="宋体"/>
          <w:b w:val="0"/>
          <w:color w:val="1A1A1A"/>
          <w:sz w:val="21"/>
        </w:rPr>
        <w:t xml:space="preserve">：指南记录覆盖冠心病患者中成药的临床使用；本品在其中是否及以何种推荐强度被述及，正文全文不可得，无法核验 </w:t>
      </w:r>
      <w:r>
        <w:rPr>
          <w:rFonts w:ascii="Times New Roman" w:hAnsi="Times New Roman" w:eastAsia="宋体"/>
          <w:b w:val="0"/>
          <w:color w:val="1A1A1A"/>
          <w:sz w:val="21"/>
          <w:vertAlign w:val="superscript"/>
        </w:rPr>
        <w:t>[14]</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《冠心病心绞痛介入前后中医诊疗指南》（2018，中华中医药学会）</w:t>
      </w:r>
      <w:r>
        <w:rPr>
          <w:rFonts w:ascii="Times New Roman" w:hAnsi="Times New Roman" w:eastAsia="宋体"/>
          <w:b w:val="0"/>
          <w:color w:val="1A1A1A"/>
          <w:sz w:val="21"/>
        </w:rPr>
        <w:t xml:space="preserve">：以冠脉介入前后证候演变为依据的中医诊疗指南（记录级），针对介入治疗患者的中医证候处理，非针对本品的术后推荐 </w:t>
      </w:r>
      <w:r>
        <w:rPr>
          <w:rFonts w:ascii="Times New Roman" w:hAnsi="Times New Roman" w:eastAsia="宋体"/>
          <w:b w:val="0"/>
          <w:color w:val="1A1A1A"/>
          <w:sz w:val="21"/>
          <w:vertAlign w:val="superscript"/>
        </w:rPr>
        <w:t>[15]</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《经皮冠状动脉介入治疗指南（2025）》（中华医学会心血管病学分会）</w:t>
      </w:r>
      <w:r>
        <w:rPr>
          <w:rFonts w:ascii="Times New Roman" w:hAnsi="Times New Roman" w:eastAsia="宋体"/>
          <w:b w:val="0"/>
          <w:color w:val="1A1A1A"/>
          <w:sz w:val="21"/>
        </w:rPr>
        <w:t xml:space="preserve">与《中国经皮冠状动脉介入治疗指南（2016）》：记录摘要未述及本品或任何中成药用于 PCI 术后的推荐 </w:t>
      </w:r>
      <w:r>
        <w:rPr>
          <w:rFonts w:ascii="Times New Roman" w:hAnsi="Times New Roman" w:eastAsia="宋体"/>
          <w:b w:val="0"/>
          <w:color w:val="1A1A1A"/>
          <w:sz w:val="21"/>
          <w:vertAlign w:val="superscript"/>
        </w:rPr>
        <w:t>[16]</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《经皮冠状动脉介入治疗患者术后长期管理中国专家共识》（2026）</w:t>
      </w:r>
      <w:r>
        <w:rPr>
          <w:rFonts w:ascii="Times New Roman" w:hAnsi="Times New Roman" w:eastAsia="宋体"/>
          <w:b w:val="0"/>
          <w:color w:val="1A1A1A"/>
          <w:sz w:val="21"/>
        </w:rPr>
        <w:t xml:space="preserve">：将"中医药治疗"列为术后长期管理的内容类别（记录级），未指明具体品种，不能据此推断推荐术后使用本品 </w:t>
      </w:r>
      <w:r>
        <w:rPr>
          <w:rFonts w:ascii="Times New Roman" w:hAnsi="Times New Roman" w:eastAsia="宋体"/>
          <w:b w:val="0"/>
          <w:color w:val="1A1A1A"/>
          <w:sz w:val="21"/>
          <w:vertAlign w:val="superscript"/>
        </w:rPr>
        <w:t>[17]</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 </w:t>
      </w:r>
      <w:r>
        <w:rPr>
          <w:rFonts w:ascii="Times New Roman" w:hAnsi="Times New Roman" w:eastAsia="宋体"/>
          <w:b/>
          <w:color w:val="1A1A1A"/>
          <w:sz w:val="21"/>
        </w:rPr>
        <w:t>ESC《2024 年慢性冠状动脉综合征管理指南》</w:t>
      </w:r>
      <w:r>
        <w:rPr>
          <w:rFonts w:ascii="Times New Roman" w:hAnsi="Times New Roman" w:eastAsia="宋体"/>
          <w:b w:val="0"/>
          <w:color w:val="1A1A1A"/>
          <w:sz w:val="21"/>
        </w:rPr>
        <w:t xml:space="preserve">：记录与中文解读可见；全文未获开放获取副本。按判定规则，指南正文出现针对术后使用本品的明确表述方可记为"有立场"，本检索范围内无任何指南正文表述可核验——记为"未述及" </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120" w:before="0" w:line="348" w:lineRule="auto"/>
        <w:ind w:firstLine="420"/>
      </w:pPr>
      <w:r>
        <w:rPr>
          <w:rFonts w:ascii="Times New Roman" w:hAnsi="Times New Roman" w:eastAsia="宋体"/>
          <w:b w:val="0"/>
          <w:color w:val="1A1A1A"/>
          <w:sz w:val="21"/>
        </w:rPr>
        <w:t>综合判定：检索范围内没有任何指南或共识对"PCI 术后使用速效救心丸"作出明确推荐；"指南提及中医药/中成药用于冠心病"不得改写为"指南推荐本品术后使用"。</w:t>
      </w:r>
    </w:p>
    <w:p>
      <w:pPr>
        <w:spacing w:after="100" w:before="240" w:line="300" w:lineRule="auto"/>
      </w:pPr>
      <w:r>
        <w:rPr>
          <w:rFonts w:ascii="Times New Roman" w:hAnsi="Times New Roman" w:eastAsia="黑体"/>
          <w:b/>
          <w:color w:val="1A1A1A"/>
          <w:sz w:val="23"/>
        </w:rPr>
        <w:t>角度五：安全性、相互作用与出血终点</w:t>
      </w:r>
    </w:p>
    <w:p>
      <w:pPr>
        <w:spacing w:after="120" w:before="0" w:line="348" w:lineRule="auto"/>
        <w:ind w:firstLine="420"/>
      </w:pPr>
      <w:r>
        <w:rPr>
          <w:rFonts w:ascii="Times New Roman" w:hAnsi="Times New Roman" w:eastAsia="宋体"/>
          <w:b w:val="0"/>
          <w:color w:val="1A1A1A"/>
          <w:sz w:val="21"/>
        </w:rPr>
        <w:t xml:space="preserve">2024 年 CCS 试验 4 周内逐周随访无受试者报告不良事件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，但该试验排除了高出血风险疾病患者，且未单独报告出血终点；背景治疗为阿司匹林 73.6%、他汀 71.3%、β 受体阻滞剂 54.0%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，即其安全性观察发生于含抗血小板的标准背景治疗之上，但观察期短、无出血专项终点。2018 年 meta 中报告不良事件的研究显示组间差异无统计学意义（RR=1.12，95% CI 0.50 to 2.51，P=0.785）</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 。2022 年网络 meta 汇总的 ADR 数据中，速效救心丸联合西医组 81 例患者不良事件总发生率 35.80%（头晕/头痛 17.28%、皮疹 7.41%、轻度胸部不适 8.64%）</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。说明书注意事项为"寒凝血瘀、阴虚血瘀胸痹心痛不宜单用……伴有中重度心力衰竭的心肌缺血者慎用。在治疗期间，心绞痛持续发作，宜加用硝酸酯类药"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。未检索到本品与双联抗血小板、他汀、β 受体阻滞剂联用的药代/药效人体研究全文（CYP450 相互作用研究为 2021 年 J Ethnopharmacol 论文，未获开放获取副本）；"未检索到"不得写成"已证实无相互作用"。</w:t>
      </w:r>
    </w:p>
    <w:p>
      <w:pPr>
        <w:spacing w:after="100" w:before="240" w:line="300" w:lineRule="auto"/>
      </w:pPr>
      <w:r>
        <w:rPr>
          <w:rFonts w:ascii="Times New Roman" w:hAnsi="Times New Roman" w:eastAsia="黑体"/>
          <w:b/>
          <w:color w:val="1A1A1A"/>
          <w:sz w:val="23"/>
        </w:rPr>
        <w:t>角度六：急诊路径与安全边界（反证角度）</w:t>
      </w:r>
    </w:p>
    <w:p>
      <w:pPr>
        <w:spacing w:after="120" w:before="0" w:line="348" w:lineRule="auto"/>
        <w:ind w:firstLine="420"/>
      </w:pPr>
      <w:r>
        <w:rPr>
          <w:rFonts w:ascii="Times New Roman" w:hAnsi="Times New Roman" w:eastAsia="宋体"/>
          <w:b w:val="0"/>
          <w:color w:val="1A1A1A"/>
          <w:sz w:val="21"/>
        </w:rPr>
        <w:t xml:space="preserve">将"术后急性胸痛"划出适应症边界外的依据来自急诊路径证据。NHS 官方指引：突发、持续不缓解的胸痛（可能为心肌梗死）应立即呼叫急救 </w:t>
      </w:r>
      <w:r>
        <w:rPr>
          <w:rFonts w:ascii="Times New Roman" w:hAnsi="Times New Roman" w:eastAsia="宋体"/>
          <w:b w:val="0"/>
          <w:color w:val="1A1A1A"/>
          <w:sz w:val="21"/>
          <w:vertAlign w:val="superscript"/>
        </w:rPr>
        <w:t>[19]</w:t>
      </w:r>
      <w:r>
        <w:rPr>
          <w:rFonts w:ascii="Times New Roman" w:hAnsi="Times New Roman" w:eastAsia="宋体"/>
          <w:b w:val="0"/>
          <w:color w:val="1A1A1A"/>
          <w:sz w:val="21"/>
        </w:rPr>
        <w:t xml:space="preserve"> 。含服缓解不作诊断：前瞻性队列（270 例）实测硝酸甘油缓解作为心源性胸痛指标的灵敏度 72%、特异度 37%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，结论为"缓解不是可靠诊断试验"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。及时再灌注的获益时窗：STEMI 患者首次医疗接触后 90 分钟内再灌注在 1 小时内就诊者获益最大（OR 0.27，95% CI 0.23 to 0.31），延迟至 24 小时仍存在获益 </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 xml:space="preserve"> 。急诊评估路径以心电图＋系列高敏肌钙蛋白为核心：0/1 小时算法汇总灵敏度 99.3%（95% CI 98.5–99.7%）</w:t>
      </w:r>
      <w:r>
        <w:rPr>
          <w:rFonts w:ascii="Times New Roman" w:hAnsi="Times New Roman" w:eastAsia="宋体"/>
          <w:b w:val="0"/>
          <w:color w:val="1A1A1A"/>
          <w:sz w:val="21"/>
          <w:vertAlign w:val="superscript"/>
        </w:rPr>
        <w:t>[22]</w:t>
      </w:r>
      <w:r>
        <w:rPr>
          <w:rFonts w:ascii="Times New Roman" w:hAnsi="Times New Roman" w:eastAsia="宋体"/>
          <w:b w:val="0"/>
          <w:color w:val="1A1A1A"/>
          <w:sz w:val="21"/>
        </w:rPr>
        <w:t xml:space="preserve"> ；单次基线 hs-TnT 在 3-5 ng/L 切点下除外心梗灵敏度 97.4% </w:t>
      </w:r>
      <w:r>
        <w:rPr>
          <w:rFonts w:ascii="Times New Roman" w:hAnsi="Times New Roman" w:eastAsia="宋体"/>
          <w:b w:val="0"/>
          <w:color w:val="1A1A1A"/>
          <w:sz w:val="21"/>
          <w:vertAlign w:val="superscript"/>
        </w:rPr>
        <w:t>[23]</w:t>
      </w:r>
      <w:r>
        <w:rPr>
          <w:rFonts w:ascii="Times New Roman" w:hAnsi="Times New Roman" w:eastAsia="宋体"/>
          <w:b w:val="0"/>
          <w:color w:val="1A1A1A"/>
          <w:sz w:val="21"/>
        </w:rPr>
        <w:t xml:space="preserve"> 。中国情境：101 家非 PCI 医院 7312 例 STEMI 患者院前延迟率 67.1% </w:t>
      </w:r>
      <w:r>
        <w:rPr>
          <w:rFonts w:ascii="Times New Roman" w:hAnsi="Times New Roman" w:eastAsia="宋体"/>
          <w:b w:val="0"/>
          <w:color w:val="1A1A1A"/>
          <w:sz w:val="21"/>
          <w:vertAlign w:val="superscript"/>
        </w:rPr>
        <w:t>[25]</w:t>
      </w:r>
      <w:r>
        <w:rPr>
          <w:rFonts w:ascii="Times New Roman" w:hAnsi="Times New Roman" w:eastAsia="宋体"/>
          <w:b w:val="0"/>
          <w:color w:val="1A1A1A"/>
          <w:sz w:val="21"/>
        </w:rPr>
        <w:t xml:space="preserve"> ，提示以自我处置替代就医的暴露风险在中国人群中真实存在。由此，任何含服自救（含本品）均不得表述为可延迟急诊评估或推迟呼叫急救的理由 </w:t>
      </w:r>
      <w:r>
        <w:rPr>
          <w:rFonts w:ascii="Times New Roman" w:hAnsi="Times New Roman" w:eastAsia="宋体"/>
          <w:b w:val="0"/>
          <w:color w:val="1A1A1A"/>
          <w:sz w:val="21"/>
          <w:vertAlign w:val="superscript"/>
        </w:rPr>
        <w:t>[19]</w:t>
      </w:r>
      <w:r>
        <w:rPr>
          <w:rFonts w:ascii="Times New Roman" w:hAnsi="Times New Roman" w:eastAsia="宋体"/>
          <w:b w:val="0"/>
          <w:color w:val="1A1A1A"/>
          <w:sz w:val="21"/>
          <w:vertAlign w:val="superscript"/>
        </w:rPr>
        <w:t>[20]</w:t>
      </w:r>
      <w:r>
        <w:rPr>
          <w:rFonts w:ascii="Times New Roman" w:hAnsi="Times New Roman" w:eastAsia="宋体"/>
          <w:b w:val="0"/>
          <w:color w:val="1A1A1A"/>
          <w:sz w:val="21"/>
          <w:vertAlign w:val="superscript"/>
        </w:rPr>
        <w:t>[21]</w:t>
      </w:r>
      <w:r>
        <w:rPr>
          <w:rFonts w:ascii="Times New Roman" w:hAnsi="Times New Roman" w:eastAsia="宋体"/>
          <w:b w:val="0"/>
          <w:color w:val="1A1A1A"/>
          <w:sz w:val="21"/>
        </w:rPr>
        <w:t>。</w:t>
      </w:r>
    </w:p>
    <w:p>
      <w:pPr>
        <w:spacing w:after="100" w:before="240" w:line="300" w:lineRule="auto"/>
      </w:pPr>
      <w:r>
        <w:rPr>
          <w:rFonts w:ascii="Times New Roman" w:hAnsi="Times New Roman" w:eastAsia="黑体"/>
          <w:b/>
          <w:color w:val="1A1A1A"/>
          <w:sz w:val="25"/>
        </w:rPr>
        <w:t>三角互证与冲突处理</w:t>
      </w:r>
    </w:p>
    <w:p>
      <w:pPr>
        <w:spacing w:after="120" w:before="0" w:line="348" w:lineRule="auto"/>
        <w:ind w:firstLine="420"/>
      </w:pPr>
      <w:r>
        <w:rPr>
          <w:rFonts w:ascii="Times New Roman" w:hAnsi="Times New Roman" w:eastAsia="宋体"/>
          <w:b w:val="0"/>
          <w:color w:val="1A1A1A"/>
          <w:sz w:val="21"/>
        </w:rPr>
        <w:t xml:space="preserve">多个相互独立的角度指向相同结论：说明书索引字段无术后表述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、按证型入组的 RCT 方案排除术后 3 个月内患者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、总体人群 RCT 治疗期禁行血运重建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——多源合流，命题 A 判"边界未明确覆盖"的稳健性不依赖其中任何单一来源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w:t>
      </w:r>
    </w:p>
    <w:p>
      <w:pPr>
        <w:spacing w:after="120" w:before="0" w:line="348" w:lineRule="auto"/>
        <w:ind w:firstLine="420"/>
      </w:pPr>
      <w:r>
        <w:rPr>
          <w:rFonts w:ascii="Times New Roman" w:hAnsi="Times New Roman" w:eastAsia="宋体"/>
          <w:b w:val="0"/>
          <w:color w:val="1A1A1A"/>
          <w:sz w:val="21"/>
        </w:rPr>
        <w:t xml:space="preserve">表面冲突及其消解：首先，2020 年早期 PCI 试验摘要称"SJP 组 MACE 较低"，与"无术后人群证据"看似矛盾——消解在于时相区分：该试验人群为 ACS 早期 PCI（急性期），且摘要无效应量区间估计 </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；其不构成"稳定期术后残余心绞痛"场景的证据。其次，2024 年 RCT 与 2018 年 meta 均显示总体人群获益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，与"术后场景无证据"不矛盾——区别在于人群直接性，总体人群研究未做术后亚组分析，不得外推。再次，网络 meta 中 SXJX 组 ADR 率（35.80%）</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与 2024 年 RCT"无不良事件报告"</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并存——差异源于报告口径与样本（81 例汇总数据对 174 例前瞻收集 </w:t>
      </w:r>
      <w:r>
        <w:rPr>
          <w:rFonts w:ascii="Times New Roman" w:hAnsi="Times New Roman" w:eastAsia="宋体"/>
          <w:b w:val="0"/>
          <w:color w:val="1A1A1A"/>
          <w:sz w:val="21"/>
          <w:vertAlign w:val="superscript"/>
        </w:rPr>
        <w:t>[10]</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、排除高出血风险人群），均不构成术后人群的安全性证据。</w:t>
      </w:r>
    </w:p>
    <w:p>
      <w:pPr>
        <w:spacing w:after="100" w:before="240" w:line="300" w:lineRule="auto"/>
      </w:pPr>
      <w:r>
        <w:rPr>
          <w:rFonts w:ascii="Times New Roman" w:hAnsi="Times New Roman" w:eastAsia="黑体"/>
          <w:b/>
          <w:color w:val="1A1A1A"/>
          <w:sz w:val="25"/>
        </w:rPr>
        <w:t>推导与外推</w:t>
      </w:r>
    </w:p>
    <w:p>
      <w:pPr>
        <w:spacing w:after="120" w:before="0" w:line="348" w:lineRule="auto"/>
      </w:pPr>
      <w:r>
        <w:rPr>
          <w:rFonts w:ascii="Times New Roman" w:hAnsi="Times New Roman" w:eastAsia="宋体"/>
          <w:b/>
          <w:color w:val="1A1A1A"/>
          <w:sz w:val="21"/>
        </w:rPr>
        <w:t>推导 1（含服缓解的判别效能边界）〔推导〕</w:t>
      </w:r>
      <w:r>
        <w:rPr>
          <w:rFonts w:ascii="Times New Roman" w:hAnsi="Times New Roman" w:eastAsia="宋体"/>
          <w:b w:val="0"/>
          <w:color w:val="1A1A1A"/>
          <w:sz w:val="21"/>
        </w:rPr>
        <w:t xml:space="preserve"> ：以实测灵敏度 72%、特异度 37% </w:t>
      </w:r>
      <w:r>
        <w:rPr>
          <w:rFonts w:ascii="Times New Roman" w:hAnsi="Times New Roman" w:eastAsia="宋体"/>
          <w:b w:val="0"/>
          <w:color w:val="1A1A1A"/>
          <w:sz w:val="21"/>
          <w:vertAlign w:val="superscript"/>
        </w:rPr>
        <w:t>[20]</w:t>
      </w:r>
      <w:r>
        <w:rPr>
          <w:rFonts w:ascii="Times New Roman" w:hAnsi="Times New Roman" w:eastAsia="宋体"/>
          <w:b w:val="0"/>
          <w:color w:val="1A1A1A"/>
          <w:sz w:val="21"/>
        </w:rPr>
        <w:t xml:space="preserve"> 代入急诊胸痛中位患病率 21%：缓解者中心源性占比约 23%，即缓解者中约 77% 并非心源性；未缓解者中约 17% 仍为心源性，相当于约 28% 的心梗患者含服后不缓解。患病率取 10%–40% 时，缓解者中 57%–89% 仍为非心源性。结论：含服缓解/不缓解均不足以诊断或排除心肌梗死，本品不得作为术后急性胸痛的判别工具，也不得因"含服后缓解"而推迟评估。</w:t>
      </w:r>
    </w:p>
    <w:p>
      <w:pPr>
        <w:spacing w:after="120" w:before="0" w:line="348" w:lineRule="auto"/>
      </w:pPr>
      <w:r>
        <w:rPr>
          <w:rFonts w:ascii="Times New Roman" w:hAnsi="Times New Roman" w:eastAsia="宋体"/>
          <w:b/>
          <w:color w:val="1A1A1A"/>
          <w:sz w:val="21"/>
        </w:rPr>
        <w:t>推导 2（现有随机对照证据的适用边界）〔推导〕</w:t>
      </w:r>
      <w:r>
        <w:rPr>
          <w:rFonts w:ascii="Times New Roman" w:hAnsi="Times New Roman" w:eastAsia="宋体"/>
          <w:b w:val="0"/>
          <w:color w:val="1A1A1A"/>
          <w:sz w:val="21"/>
        </w:rPr>
        <w:t xml:space="preserve"> ：OR 2.43 的测量时相为禁止血运重建的 4 周治疗期 </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，证型入组方案排除术后 3 个月内患者 </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 xml:space="preserve"> ，故现有证据的适用人群边界为"临床稳定、近期未行血运重建"的冠心病心绞痛患者；"术后残余心绞痛"与"术后无症状随访期"均落于边界之外。若相关 RCT 确含远期（&gt;3 个月）PCI 史患者，也无术后亚组效应量，判定不变；若未来出现术后人群试验或说明书修订，本推导即被推翻。</w:t>
      </w:r>
    </w:p>
    <w:p>
      <w:pPr>
        <w:spacing w:after="100" w:before="240" w:line="300" w:lineRule="auto"/>
      </w:pPr>
      <w:r>
        <w:rPr>
          <w:rFonts w:ascii="Times New Roman" w:hAnsi="Times New Roman" w:eastAsia="黑体"/>
          <w:b/>
          <w:color w:val="1A1A1A"/>
          <w:sz w:val="25"/>
        </w:rPr>
        <w:t>讨论</w:t>
      </w:r>
    </w:p>
    <w:p>
      <w:pPr>
        <w:spacing w:after="120" w:before="0" w:line="348" w:lineRule="auto"/>
        <w:ind w:firstLine="420"/>
      </w:pPr>
      <w:r>
        <w:rPr>
          <w:rFonts w:ascii="Times New Roman" w:hAnsi="Times New Roman" w:eastAsia="宋体"/>
          <w:b w:val="0"/>
          <w:color w:val="1A1A1A"/>
          <w:sz w:val="21"/>
        </w:rPr>
        <w:t>本论证整体确立的结论是：速效救心丸对说明书适应症（气滞血瘀型冠心病、心绞痛）内的稳定 CCS 人群有短期症状获益证据（多中心双盲 RCT 与 meta 方向一致）</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，但"PCI 术后"不是一个被说明书字段、证型入组试验或指南推荐所覆盖的适应症场景。术后残余心绞痛、术后无症状随访期场景均无适应症内直接证据；术后急性胸痛必须回到"呼叫急救→急诊评估"的结构化路径。</w:t>
      </w:r>
    </w:p>
    <w:p>
      <w:pPr>
        <w:spacing w:after="120" w:before="0" w:line="348" w:lineRule="auto"/>
        <w:ind w:firstLine="420"/>
      </w:pPr>
      <w:r>
        <w:rPr>
          <w:rFonts w:ascii="Times New Roman" w:hAnsi="Times New Roman" w:eastAsia="宋体"/>
          <w:b w:val="0"/>
          <w:color w:val="1A1A1A"/>
          <w:sz w:val="21"/>
        </w:rPr>
        <w:t xml:space="preserve">需要分层讨论：机制层面（eNOS-NO 冠脉舒张 </w:t>
      </w:r>
      <w:r>
        <w:rPr>
          <w:rFonts w:ascii="Times New Roman" w:hAnsi="Times New Roman" w:eastAsia="宋体"/>
          <w:b w:val="0"/>
          <w:color w:val="1A1A1A"/>
          <w:sz w:val="21"/>
          <w:vertAlign w:val="superscript"/>
        </w:rPr>
        <w:t>[12]</w:t>
      </w:r>
      <w:r>
        <w:rPr>
          <w:rFonts w:ascii="Times New Roman" w:hAnsi="Times New Roman" w:eastAsia="宋体"/>
          <w:b w:val="0"/>
          <w:color w:val="1A1A1A"/>
          <w:sz w:val="21"/>
        </w:rPr>
        <w:t xml:space="preserve"> 、钙拮抗样活性）可解释症状缓解方向，但机制推理不得替代临床证据；证据层面，术后人群仅存在急性期/围术期摘要级试验 </w:t>
      </w:r>
      <w:r>
        <w:rPr>
          <w:rFonts w:ascii="Times New Roman" w:hAnsi="Times New Roman" w:eastAsia="宋体"/>
          <w:b w:val="0"/>
          <w:color w:val="1A1A1A"/>
          <w:sz w:val="21"/>
          <w:vertAlign w:val="superscript"/>
        </w:rPr>
        <w:t>[4]</w:t>
      </w:r>
      <w:r>
        <w:rPr>
          <w:rFonts w:ascii="Times New Roman" w:hAnsi="Times New Roman" w:eastAsia="宋体"/>
          <w:b w:val="0"/>
          <w:color w:val="1A1A1A"/>
          <w:sz w:val="21"/>
          <w:vertAlign w:val="superscript"/>
        </w:rPr>
        <w:t>[5]</w:t>
      </w:r>
      <w:r>
        <w:rPr>
          <w:rFonts w:ascii="Times New Roman" w:hAnsi="Times New Roman" w:eastAsia="宋体"/>
          <w:b w:val="0"/>
          <w:color w:val="1A1A1A"/>
          <w:sz w:val="21"/>
          <w:vertAlign w:val="superscript"/>
        </w:rPr>
        <w:t>[6]</w:t>
      </w:r>
      <w:r>
        <w:rPr>
          <w:rFonts w:ascii="Times New Roman" w:hAnsi="Times New Roman" w:eastAsia="宋体"/>
          <w:b w:val="0"/>
          <w:color w:val="1A1A1A"/>
          <w:sz w:val="21"/>
        </w:rPr>
        <w:t xml:space="preserve">；临床结局层面，没有任何研究以术后常备/按需策略的临床结局为终点。指南"提及"与"推荐"的区分已经落实：所有可核验记录均为"未述及本品术后使用"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什么证据能够定案</w:t>
      </w:r>
      <w:r>
        <w:rPr>
          <w:rFonts w:ascii="Times New Roman" w:hAnsi="Times New Roman" w:eastAsia="宋体"/>
          <w:b w:val="0"/>
          <w:color w:val="1A1A1A"/>
          <w:sz w:val="21"/>
        </w:rPr>
        <w:t>：若出现以稳定期 PCI 术后残余心绞痛为纳入人群、按气滞血瘀证入组、双盲安慰剂对照、以复发心绞痛发作频次或 MACE 为终点并报告效应量区间估计、背景治疗（双联抗血小板等）可描述的 RCT，命题 B 与命题 C 的前提将改变；若完成 NMPA 官方现行说明书全文的监管核验，命题 A 的残余不确定性即消除。</w:t>
      </w:r>
    </w:p>
    <w:p>
      <w:pPr>
        <w:spacing w:after="100" w:before="240" w:line="300" w:lineRule="auto"/>
      </w:pPr>
      <w:r>
        <w:rPr>
          <w:rFonts w:ascii="Times New Roman" w:hAnsi="Times New Roman" w:eastAsia="黑体"/>
          <w:b/>
          <w:color w:val="1A1A1A"/>
          <w:sz w:val="25"/>
        </w:rPr>
        <w:t>证据局限</w:t>
      </w:r>
    </w:p>
    <w:p>
      <w:pPr>
        <w:spacing w:after="120" w:before="0" w:line="348" w:lineRule="auto"/>
      </w:pPr>
      <w:r>
        <w:rPr>
          <w:rFonts w:ascii="Times New Roman" w:hAnsi="Times New Roman" w:eastAsia="宋体"/>
          <w:b/>
          <w:color w:val="1A1A1A"/>
          <w:sz w:val="21"/>
        </w:rPr>
        <w:t>证据局限</w:t>
      </w:r>
      <w:r>
        <w:rPr>
          <w:rFonts w:ascii="Times New Roman" w:hAnsi="Times New Roman" w:eastAsia="宋体"/>
          <w:b w:val="0"/>
          <w:color w:val="1A1A1A"/>
          <w:sz w:val="21"/>
        </w:rPr>
        <w:t>围绕会实质改变解读的限制展开。</w:t>
      </w:r>
      <w:r>
        <w:rPr>
          <w:rFonts w:ascii="Times New Roman" w:hAnsi="Times New Roman" w:eastAsia="宋体"/>
          <w:b/>
          <w:color w:val="1A1A1A"/>
          <w:sz w:val="21"/>
        </w:rPr>
        <w:t>访问层级不对称</w:t>
      </w:r>
      <w:r>
        <w:rPr>
          <w:rFonts w:ascii="Times New Roman" w:hAnsi="Times New Roman" w:eastAsia="宋体"/>
          <w:b w:val="0"/>
          <w:color w:val="1A1A1A"/>
          <w:sz w:val="21"/>
        </w:rPr>
        <w:t>：术后人群直接证据（2020 年试验、2012/2013 年中文试验）全部为摘要级；2019 年血运重建后试验与 2013 年围术期试验仅存书目级记录；2020 年试验摘要的 P 值字段缺损，效应量无法核验——"术后人群临床证据不足"的判定部分是访问层级所致，人工获取全文后应复核。</w:t>
      </w:r>
      <w:r>
        <w:rPr>
          <w:rFonts w:ascii="Times New Roman" w:hAnsi="Times New Roman" w:eastAsia="宋体"/>
          <w:b/>
          <w:color w:val="1A1A1A"/>
          <w:sz w:val="21"/>
        </w:rPr>
        <w:t>监管文本可得性</w:t>
      </w:r>
      <w:r>
        <w:rPr>
          <w:rFonts w:ascii="Times New Roman" w:hAnsi="Times New Roman" w:eastAsia="宋体"/>
          <w:b w:val="0"/>
          <w:color w:val="1A1A1A"/>
          <w:sz w:val="21"/>
        </w:rPr>
        <w:t xml:space="preserve">：现行 NMPA 说明书官方原文未获开放获取副本，说明书字段仅经索引副本锚定（EVIMED-LABEL:nmpa-0，标注"官方现行版本待核验"），这是命题 A 判定的首要不确定来源 </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w:t>
      </w:r>
      <w:r>
        <w:rPr>
          <w:rFonts w:ascii="Times New Roman" w:hAnsi="Times New Roman" w:eastAsia="宋体"/>
          <w:b/>
          <w:color w:val="1A1A1A"/>
          <w:sz w:val="21"/>
        </w:rPr>
        <w:t>指南全文可得性</w:t>
      </w:r>
      <w:r>
        <w:rPr>
          <w:rFonts w:ascii="Times New Roman" w:hAnsi="Times New Roman" w:eastAsia="宋体"/>
          <w:b w:val="0"/>
          <w:color w:val="1A1A1A"/>
          <w:sz w:val="21"/>
        </w:rPr>
        <w:t>：2019 年专家共识、2020 年中成药指南、2018 年介入前后指南、2025 年 PCI 指南、ESC 2024 CCS 指南的正文全文未获开放获取副本，相关"未述及"判定受记录层级限制，应以官方全文复核。</w:t>
      </w:r>
      <w:r>
        <w:rPr>
          <w:rFonts w:ascii="Times New Roman" w:hAnsi="Times New Roman" w:eastAsia="宋体"/>
          <w:b/>
          <w:color w:val="1A1A1A"/>
          <w:sz w:val="21"/>
        </w:rPr>
        <w:t>注册库覆盖</w:t>
      </w:r>
      <w:r>
        <w:rPr>
          <w:rFonts w:ascii="Times New Roman" w:hAnsi="Times New Roman" w:eastAsia="宋体"/>
          <w:b w:val="0"/>
          <w:color w:val="1A1A1A"/>
          <w:sz w:val="21"/>
        </w:rPr>
        <w:t>：ChiCTR 未提供可公开检索通道，"速效救心丸"零命中不能排除存在未纳入检索的 ChiCTR 登记；相关结论按"未检索到"表述。</w:t>
      </w:r>
      <w:r>
        <w:rPr>
          <w:rFonts w:ascii="Times New Roman" w:hAnsi="Times New Roman" w:eastAsia="宋体"/>
          <w:b/>
          <w:color w:val="1A1A1A"/>
          <w:sz w:val="21"/>
        </w:rPr>
        <w:t>总体证据质量</w:t>
      </w:r>
      <w:r>
        <w:rPr>
          <w:rFonts w:ascii="Times New Roman" w:hAnsi="Times New Roman" w:eastAsia="宋体"/>
          <w:b w:val="0"/>
          <w:color w:val="1A1A1A"/>
          <w:sz w:val="21"/>
        </w:rPr>
        <w:t xml:space="preserve">：2018 年 meta 纳入研究多为低 Jadad 质量 </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 xml:space="preserve">，2025 年总览对活血化瘀类中成药联用证据 GRADE 定级以低/极低为主 </w:t>
      </w:r>
      <w:r>
        <w:rPr>
          <w:rFonts w:ascii="Times New Roman" w:hAnsi="Times New Roman" w:eastAsia="宋体"/>
          <w:b w:val="0"/>
          <w:color w:val="1A1A1A"/>
          <w:sz w:val="21"/>
          <w:vertAlign w:val="superscript"/>
        </w:rPr>
        <w:t>[24]</w:t>
      </w:r>
      <w:r>
        <w:rPr>
          <w:rFonts w:ascii="Times New Roman" w:hAnsi="Times New Roman" w:eastAsia="宋体"/>
          <w:b w:val="0"/>
          <w:color w:val="1A1A1A"/>
          <w:sz w:val="21"/>
        </w:rPr>
        <w:t xml:space="preserve">，网络 meta 的 ADR 汇总为转录自原始研究的汇总数据 </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。以上限制均以"未检索到/未获全文"表述，未以任何形式改写为阴性证据或存在性否定。</w:t>
      </w:r>
    </w:p>
    <w:p>
      <w:pPr>
        <w:spacing w:after="100" w:before="240" w:line="300" w:lineRule="auto"/>
      </w:pPr>
      <w:r>
        <w:rPr>
          <w:rFonts w:ascii="Times New Roman" w:hAnsi="Times New Roman" w:eastAsia="黑体"/>
          <w:b/>
          <w:color w:val="1A1A1A"/>
          <w:sz w:val="25"/>
        </w:rPr>
        <w:t>结论</w:t>
      </w:r>
    </w:p>
    <w:p>
      <w:pPr>
        <w:spacing w:after="60" w:before="0" w:line="336" w:lineRule="auto"/>
        <w:ind w:left="340"/>
      </w:pPr>
      <w:r>
        <w:rPr>
          <w:rFonts w:ascii="Times New Roman" w:hAnsi="Times New Roman" w:eastAsia="宋体"/>
          <w:b w:val="0"/>
          <w:color w:val="1A1A1A"/>
          <w:sz w:val="21"/>
        </w:rPr>
        <w:t xml:space="preserve">1. </w:t>
      </w:r>
      <w:r>
        <w:rPr>
          <w:rFonts w:ascii="Times New Roman" w:hAnsi="Times New Roman" w:eastAsia="宋体"/>
          <w:b/>
          <w:color w:val="1A1A1A"/>
          <w:sz w:val="21"/>
        </w:rPr>
        <w:t>命题 A＝边界未明确覆盖</w:t>
      </w:r>
      <w:r>
        <w:rPr>
          <w:rFonts w:ascii="Times New Roman" w:hAnsi="Times New Roman" w:eastAsia="宋体"/>
          <w:b w:val="0"/>
          <w:color w:val="1A1A1A"/>
          <w:sz w:val="21"/>
        </w:rPr>
        <w:t xml:space="preserve">。"PCI 术后残余/复发心绞痛"与"PCI 术后无症状随访期"场景均无适应症内直接证据；说明书总括表述"冠心病心绞痛"不构成明确覆盖；以证型入组的研究与治疗期禁血运重建的 RCT 均不支持术后场景的覆盖推定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[26]</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2. </w:t>
      </w:r>
      <w:r>
        <w:rPr>
          <w:rFonts w:ascii="Times New Roman" w:hAnsi="Times New Roman" w:eastAsia="宋体"/>
          <w:b/>
          <w:color w:val="1A1A1A"/>
          <w:sz w:val="21"/>
        </w:rPr>
        <w:t>命题 B＝机制上可解释，术后人群临床证据不足</w:t>
      </w:r>
      <w:r>
        <w:rPr>
          <w:rFonts w:ascii="Times New Roman" w:hAnsi="Times New Roman" w:eastAsia="宋体"/>
          <w:b w:val="0"/>
          <w:color w:val="1A1A1A"/>
          <w:sz w:val="21"/>
        </w:rPr>
        <w:t xml:space="preserve">。术后人群仅存在急性期/围术期摘要级试验，无稳定期术后残余心绞痛人群的效应量证据；总体人群证据不得外推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[3]</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 xml:space="preserve"> 。</w:t>
      </w:r>
    </w:p>
    <w:p>
      <w:pPr>
        <w:spacing w:after="60" w:before="0" w:line="336" w:lineRule="auto"/>
        <w:ind w:left="340"/>
      </w:pPr>
      <w:r>
        <w:rPr>
          <w:rFonts w:ascii="Times New Roman" w:hAnsi="Times New Roman" w:eastAsia="宋体"/>
          <w:b w:val="0"/>
          <w:color w:val="1A1A1A"/>
          <w:sz w:val="21"/>
        </w:rPr>
        <w:t xml:space="preserve">3. </w:t>
      </w:r>
      <w:r>
        <w:rPr>
          <w:rFonts w:ascii="Times New Roman" w:hAnsi="Times New Roman" w:eastAsia="宋体"/>
          <w:b/>
          <w:color w:val="1A1A1A"/>
          <w:sz w:val="21"/>
        </w:rPr>
        <w:t>命题 C＝无证据支持</w:t>
      </w:r>
      <w:r>
        <w:rPr>
          <w:rFonts w:ascii="Times New Roman" w:hAnsi="Times New Roman" w:eastAsia="宋体"/>
          <w:b w:val="0"/>
          <w:color w:val="1A1A1A"/>
          <w:sz w:val="21"/>
        </w:rPr>
        <w:t>。未检索到以临床结局检验术后常备/按需策略的研究；不得以"预防复发""有备无患"表述带过。</w:t>
      </w:r>
    </w:p>
    <w:p>
      <w:pPr>
        <w:spacing w:after="60" w:before="0" w:line="336" w:lineRule="auto"/>
        <w:ind w:left="340"/>
      </w:pPr>
      <w:r>
        <w:rPr>
          <w:rFonts w:ascii="Times New Roman" w:hAnsi="Times New Roman" w:eastAsia="宋体"/>
          <w:b w:val="0"/>
          <w:color w:val="1A1A1A"/>
          <w:sz w:val="21"/>
        </w:rPr>
        <w:t xml:space="preserve">4. </w:t>
      </w:r>
      <w:r>
        <w:rPr>
          <w:rFonts w:ascii="Times New Roman" w:hAnsi="Times New Roman" w:eastAsia="宋体"/>
          <w:b/>
          <w:color w:val="1A1A1A"/>
          <w:sz w:val="21"/>
        </w:rPr>
        <w:t>指南立场＝未述及</w:t>
      </w:r>
      <w:r>
        <w:rPr>
          <w:rFonts w:ascii="Times New Roman" w:hAnsi="Times New Roman" w:eastAsia="宋体"/>
          <w:b w:val="0"/>
          <w:color w:val="1A1A1A"/>
          <w:sz w:val="21"/>
        </w:rPr>
        <w:t xml:space="preserve">。检索范围内无任何指南/共识对术后使用本品作出明确推荐；"指南提及中医药用于冠心病"不得改写为"推荐术后使用本品" </w:t>
      </w:r>
      <w:r>
        <w:rPr>
          <w:rFonts w:ascii="Times New Roman" w:hAnsi="Times New Roman" w:eastAsia="宋体"/>
          <w:b w:val="0"/>
          <w:color w:val="1A1A1A"/>
          <w:sz w:val="21"/>
          <w:vertAlign w:val="superscript"/>
        </w:rPr>
        <w:t>[13]</w:t>
      </w:r>
      <w:r>
        <w:rPr>
          <w:rFonts w:ascii="Times New Roman" w:hAnsi="Times New Roman" w:eastAsia="宋体"/>
          <w:b w:val="0"/>
          <w:color w:val="1A1A1A"/>
          <w:sz w:val="21"/>
          <w:vertAlign w:val="superscript"/>
        </w:rPr>
        <w:t>[14]</w:t>
      </w:r>
      <w:r>
        <w:rPr>
          <w:rFonts w:ascii="Times New Roman" w:hAnsi="Times New Roman" w:eastAsia="宋体"/>
          <w:b w:val="0"/>
          <w:color w:val="1A1A1A"/>
          <w:sz w:val="21"/>
          <w:vertAlign w:val="superscript"/>
        </w:rPr>
        <w:t>[15]</w:t>
      </w:r>
      <w:r>
        <w:rPr>
          <w:rFonts w:ascii="Times New Roman" w:hAnsi="Times New Roman" w:eastAsia="宋体"/>
          <w:b w:val="0"/>
          <w:color w:val="1A1A1A"/>
          <w:sz w:val="21"/>
          <w:vertAlign w:val="superscript"/>
        </w:rPr>
        <w:t>[16]</w:t>
      </w:r>
      <w:r>
        <w:rPr>
          <w:rFonts w:ascii="Times New Roman" w:hAnsi="Times New Roman" w:eastAsia="宋体"/>
          <w:b w:val="0"/>
          <w:color w:val="1A1A1A"/>
          <w:sz w:val="21"/>
          <w:vertAlign w:val="superscript"/>
        </w:rPr>
        <w:t>[17]</w:t>
      </w:r>
      <w:r>
        <w:rPr>
          <w:rFonts w:ascii="Times New Roman" w:hAnsi="Times New Roman" w:eastAsia="宋体"/>
          <w:b w:val="0"/>
          <w:color w:val="1A1A1A"/>
          <w:sz w:val="21"/>
          <w:vertAlign w:val="superscript"/>
        </w:rPr>
        <w:t>[18]</w:t>
      </w:r>
      <w:r>
        <w:rPr>
          <w:rFonts w:ascii="Times New Roman" w:hAnsi="Times New Roman" w:eastAsia="宋体"/>
          <w:b w:val="0"/>
          <w:color w:val="1A1A1A"/>
          <w:sz w:val="21"/>
        </w:rPr>
        <w:t>。</w:t>
      </w:r>
    </w:p>
    <w:p>
      <w:pPr>
        <w:spacing w:after="60" w:before="0" w:line="336" w:lineRule="auto"/>
        <w:ind w:left="340"/>
      </w:pPr>
      <w:r>
        <w:rPr>
          <w:rFonts w:ascii="Times New Roman" w:hAnsi="Times New Roman" w:eastAsia="宋体"/>
          <w:b w:val="0"/>
          <w:color w:val="1A1A1A"/>
          <w:sz w:val="21"/>
        </w:rPr>
        <w:t xml:space="preserve">5. </w:t>
      </w:r>
      <w:r>
        <w:rPr>
          <w:rFonts w:ascii="Times New Roman" w:hAnsi="Times New Roman" w:eastAsia="宋体"/>
          <w:b/>
          <w:color w:val="1A1A1A"/>
          <w:sz w:val="21"/>
        </w:rPr>
        <w:t>目标答案逐句判定</w:t>
      </w:r>
      <w:r>
        <w:rPr>
          <w:rFonts w:ascii="Times New Roman" w:hAnsi="Times New Roman" w:eastAsia="宋体"/>
          <w:b w:val="0"/>
          <w:color w:val="1A1A1A"/>
          <w:sz w:val="21"/>
        </w:rPr>
        <w:t>："有胸闷症状者常备作为应急"——</w:t>
      </w:r>
      <w:r>
        <w:rPr>
          <w:rFonts w:ascii="Times New Roman" w:hAnsi="Times New Roman" w:eastAsia="宋体"/>
          <w:b/>
          <w:color w:val="1A1A1A"/>
          <w:sz w:val="21"/>
        </w:rPr>
        <w:t>无证据支持</w:t>
      </w:r>
      <w:r>
        <w:rPr>
          <w:rFonts w:ascii="Times New Roman" w:hAnsi="Times New Roman" w:eastAsia="宋体"/>
          <w:b w:val="0"/>
          <w:color w:val="1A1A1A"/>
          <w:sz w:val="21"/>
        </w:rPr>
        <w:t xml:space="preserve">（无任何以临床结局检验术后自备/按需策略的研究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vertAlign w:val="superscript"/>
        </w:rPr>
        <w:t>[4]</w:t>
      </w:r>
      <w:r>
        <w:rPr>
          <w:rFonts w:ascii="Times New Roman" w:hAnsi="Times New Roman" w:eastAsia="宋体"/>
          <w:b w:val="0"/>
          <w:color w:val="1A1A1A"/>
          <w:sz w:val="21"/>
        </w:rPr>
        <w:t>）；"无症状者遵医嘱即可"——</w:t>
      </w:r>
      <w:r>
        <w:rPr>
          <w:rFonts w:ascii="Times New Roman" w:hAnsi="Times New Roman" w:eastAsia="宋体"/>
          <w:b/>
          <w:color w:val="1A1A1A"/>
          <w:sz w:val="21"/>
        </w:rPr>
        <w:t>无证据支持</w:t>
      </w:r>
      <w:r>
        <w:rPr>
          <w:rFonts w:ascii="Times New Roman" w:hAnsi="Times New Roman" w:eastAsia="宋体"/>
          <w:b w:val="0"/>
          <w:color w:val="1A1A1A"/>
          <w:sz w:val="21"/>
        </w:rPr>
        <w:t xml:space="preserve">（无症状术后随访人群的获益与风险未被任何研究直接检验，且"遵医嘱"的临床依据未指明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r>
        <w:rPr>
          <w:rFonts w:ascii="Times New Roman" w:hAnsi="Times New Roman" w:eastAsia="宋体"/>
          <w:b w:val="0"/>
          <w:color w:val="1A1A1A"/>
          <w:sz w:val="21"/>
        </w:rPr>
        <w:t>）。</w:t>
      </w:r>
    </w:p>
    <w:p>
      <w:pPr>
        <w:spacing w:after="120" w:before="0" w:line="348" w:lineRule="auto"/>
      </w:pPr>
      <w:r>
        <w:rPr>
          <w:rFonts w:ascii="Times New Roman" w:hAnsi="Times New Roman" w:eastAsia="宋体"/>
          <w:b/>
          <w:color w:val="1A1A1A"/>
          <w:sz w:val="21"/>
        </w:rPr>
        <w:t>合规改写</w:t>
      </w:r>
      <w:r>
        <w:rPr>
          <w:rFonts w:ascii="Times New Roman" w:hAnsi="Times New Roman" w:eastAsia="宋体"/>
          <w:b w:val="0"/>
          <w:color w:val="1A1A1A"/>
          <w:sz w:val="21"/>
        </w:rPr>
        <w:t>（供题库与临床宣教采用）：PCI 术后患者如出现胸闷/胸痛，应首先由心内科评估残余心绞痛的原因与再评估指征（含负荷试验、冠脉影像学复查），并在明确诊断后按医嘱使用经证实的抗心绞痛与预防性治疗药物；任何突发持续胸痛（含术后）一律走"呼叫 120→急诊心电图＋高敏肌钙蛋白评估"路径，含服药物（含本品）不得作为推迟评估的理由。无症状随访期患者不推荐将未经验证的自我用药作为常规。</w:t>
      </w:r>
    </w:p>
    <w:p>
      <w:pPr>
        <w:spacing w:after="100" w:before="240" w:line="300" w:lineRule="auto"/>
      </w:pPr>
      <w:r>
        <w:rPr>
          <w:rFonts w:ascii="Times New Roman" w:hAnsi="Times New Roman" w:eastAsia="黑体"/>
          <w:b/>
          <w:color w:val="1A1A1A"/>
          <w:sz w:val="25"/>
        </w:rPr>
        <w:t>安全优先的实际处置</w:t>
      </w:r>
    </w:p>
    <w:p>
      <w:pPr>
        <w:spacing w:after="60" w:before="0" w:line="336" w:lineRule="auto"/>
        <w:ind w:left="340"/>
      </w:pPr>
      <w:r>
        <w:rPr>
          <w:rFonts w:ascii="Times New Roman" w:hAnsi="Times New Roman" w:eastAsia="宋体"/>
          <w:b w:val="0"/>
          <w:color w:val="1A1A1A"/>
          <w:sz w:val="21"/>
        </w:rPr>
        <w:t>· PCI 术后出现突发、持续不缓解的胸痛或不适（挤压感、压榨感、烧灼感等可能提示心肌梗死的表现）时，应立即呼叫急救（中国为 120）并接受医院紧急处理；任何含服自救不得推迟呼叫或评估。</w:t>
      </w:r>
      <w:r>
        <w:rPr>
          <w:rFonts w:ascii="Times New Roman" w:hAnsi="Times New Roman" w:eastAsia="宋体"/>
          <w:b w:val="0"/>
          <w:color w:val="1A1A1A"/>
          <w:sz w:val="21"/>
          <w:vertAlign w:val="superscript"/>
        </w:rPr>
        <w:t>[19]</w:t>
      </w:r>
    </w:p>
    <w:p>
      <w:pPr>
        <w:spacing w:after="60" w:before="0" w:line="336" w:lineRule="auto"/>
        <w:ind w:left="340"/>
      </w:pPr>
      <w:r>
        <w:rPr>
          <w:rFonts w:ascii="Times New Roman" w:hAnsi="Times New Roman" w:eastAsia="宋体"/>
          <w:b w:val="0"/>
          <w:color w:val="1A1A1A"/>
          <w:sz w:val="21"/>
        </w:rPr>
        <w:t>· 含服速效救心丸不得延误急诊就医：服用本品不是等待的理由，应在含服的同时呼叫急救（中国为 120）并接受急诊评估，而不是在含服之后等待症状变化。</w:t>
      </w:r>
      <w:r>
        <w:rPr>
          <w:rFonts w:ascii="Times New Roman" w:hAnsi="Times New Roman" w:eastAsia="宋体"/>
          <w:b w:val="0"/>
          <w:color w:val="1A1A1A"/>
          <w:sz w:val="21"/>
          <w:vertAlign w:val="superscript"/>
        </w:rPr>
        <w:t>[19]</w:t>
      </w:r>
    </w:p>
    <w:p>
      <w:pPr>
        <w:spacing w:after="60" w:before="0" w:line="336" w:lineRule="auto"/>
        <w:ind w:left="340"/>
      </w:pPr>
      <w:r>
        <w:rPr>
          <w:rFonts w:ascii="Times New Roman" w:hAnsi="Times New Roman" w:eastAsia="宋体"/>
          <w:b w:val="0"/>
          <w:color w:val="1A1A1A"/>
          <w:sz w:val="21"/>
        </w:rPr>
        <w:t>· 胸痛含服药物后缓解或未缓解，均不能作为判断是否为心源性胸痛的依据——实测灵敏度 72%、特异度 37% 的"缓解反应"不具备诊断/排除价值；症状持续或加重必须接受急诊评估。</w:t>
      </w:r>
      <w:r>
        <w:rPr>
          <w:rFonts w:ascii="Times New Roman" w:hAnsi="Times New Roman" w:eastAsia="宋体"/>
          <w:b w:val="0"/>
          <w:color w:val="1A1A1A"/>
          <w:sz w:val="21"/>
          <w:vertAlign w:val="superscript"/>
        </w:rPr>
        <w:t>[20]</w:t>
      </w:r>
    </w:p>
    <w:p>
      <w:pPr>
        <w:spacing w:after="60" w:before="0" w:line="336" w:lineRule="auto"/>
        <w:ind w:left="340"/>
      </w:pPr>
      <w:r>
        <w:rPr>
          <w:rFonts w:ascii="Times New Roman" w:hAnsi="Times New Roman" w:eastAsia="宋体"/>
          <w:b w:val="0"/>
          <w:color w:val="1A1A1A"/>
          <w:sz w:val="21"/>
        </w:rPr>
        <w:t>· 急诊评估路径以心电图＋系列高敏肌钙蛋白为核心：0/1 小时算法除外心梗的汇总灵敏度 99.3%（95% CI 98.5–99.7%）。</w:t>
      </w:r>
      <w:r>
        <w:rPr>
          <w:rFonts w:ascii="Times New Roman" w:hAnsi="Times New Roman" w:eastAsia="宋体"/>
          <w:b w:val="0"/>
          <w:color w:val="1A1A1A"/>
          <w:sz w:val="21"/>
          <w:vertAlign w:val="superscript"/>
        </w:rPr>
        <w:t>[22]</w:t>
      </w:r>
    </w:p>
    <w:p>
      <w:pPr>
        <w:spacing w:after="60" w:before="0" w:line="336" w:lineRule="auto"/>
        <w:ind w:left="340"/>
      </w:pPr>
      <w:r>
        <w:rPr>
          <w:rFonts w:ascii="Times New Roman" w:hAnsi="Times New Roman" w:eastAsia="宋体"/>
          <w:b w:val="0"/>
          <w:color w:val="1A1A1A"/>
          <w:sz w:val="21"/>
        </w:rPr>
        <w:t>· 单次基线 hs-TnT 在低切点（3-5 ng/L）下除外心梗的汇总灵敏度 97.4%（95% CI 94.9% to 98.7%），但应纳入综合分流流程使用。</w:t>
      </w:r>
      <w:r>
        <w:rPr>
          <w:rFonts w:ascii="Times New Roman" w:hAnsi="Times New Roman" w:eastAsia="宋体"/>
          <w:b w:val="0"/>
          <w:color w:val="1A1A1A"/>
          <w:sz w:val="21"/>
          <w:vertAlign w:val="superscript"/>
        </w:rPr>
        <w:t>[23]</w:t>
      </w:r>
    </w:p>
    <w:p>
      <w:pPr>
        <w:spacing w:after="60" w:before="0" w:line="336" w:lineRule="auto"/>
        <w:ind w:left="340"/>
      </w:pPr>
      <w:r>
        <w:rPr>
          <w:rFonts w:ascii="Times New Roman" w:hAnsi="Times New Roman" w:eastAsia="宋体"/>
          <w:b w:val="0"/>
          <w:color w:val="1A1A1A"/>
          <w:sz w:val="21"/>
        </w:rPr>
        <w:t>· STEMI 及时再灌注（首次医疗接触后 90 分钟内）在延迟达 24 小时的患者中仍与死亡风险降低相关，自我处置带来的任何就医延迟都与再灌注获益相悖。</w:t>
      </w:r>
      <w:r>
        <w:rPr>
          <w:rFonts w:ascii="Times New Roman" w:hAnsi="Times New Roman" w:eastAsia="宋体"/>
          <w:b w:val="0"/>
          <w:color w:val="1A1A1A"/>
          <w:sz w:val="21"/>
          <w:vertAlign w:val="superscript"/>
        </w:rPr>
        <w:t>[21]</w:t>
      </w:r>
    </w:p>
    <w:p>
      <w:pPr>
        <w:spacing w:after="60" w:before="0" w:line="336" w:lineRule="auto"/>
        <w:ind w:left="340"/>
      </w:pPr>
      <w:r>
        <w:rPr>
          <w:rFonts w:ascii="Times New Roman" w:hAnsi="Times New Roman" w:eastAsia="宋体"/>
          <w:b w:val="0"/>
          <w:color w:val="1A1A1A"/>
          <w:sz w:val="21"/>
        </w:rPr>
        <w:t>· 说明书适应症（气滞血瘀型冠心病、心绞痛）之外的"PCI 术后残余心绞痛/术后无症状随访期"场景，目前无适应症内直接证据支持常规使用本品；是否加用应由心内科医师基于再评估结果决定，不得依据题库"常备应急"等无证据表述自行用药。</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[2]</w:t>
      </w:r>
    </w:p>
    <w:p>
      <w:pPr>
        <w:spacing w:after="60" w:before="0" w:line="336" w:lineRule="auto"/>
        <w:ind w:left="340"/>
      </w:pPr>
      <w:r>
        <w:rPr>
          <w:rFonts w:ascii="Times New Roman" w:hAnsi="Times New Roman" w:eastAsia="宋体"/>
          <w:b w:val="0"/>
          <w:color w:val="1A1A1A"/>
          <w:sz w:val="21"/>
        </w:rPr>
        <w:t>· PCI 术后患者在标准抗血小板等背景治疗之上如拟加用本品，需明确：现有安全性数据来自 4 周短疗程且排除高出血风险人群的试验（"无不良事件报告"不等于"未发生"）</w:t>
      </w:r>
      <w:r>
        <w:rPr>
          <w:rFonts w:ascii="Times New Roman" w:hAnsi="Times New Roman" w:eastAsia="宋体"/>
          <w:b w:val="0"/>
          <w:color w:val="1A1A1A"/>
          <w:sz w:val="21"/>
          <w:vertAlign w:val="superscript"/>
        </w:rPr>
        <w:t>[1]</w:t>
      </w:r>
      <w:r>
        <w:rPr>
          <w:rFonts w:ascii="Times New Roman" w:hAnsi="Times New Roman" w:eastAsia="宋体"/>
          <w:b w:val="0"/>
          <w:color w:val="1A1A1A"/>
          <w:sz w:val="21"/>
        </w:rPr>
        <w:t xml:space="preserve"> ；网络 meta 汇总的联用不良事件总发生率 35.80%（81 例）</w:t>
      </w:r>
      <w:r>
        <w:rPr>
          <w:rFonts w:ascii="Times New Roman" w:hAnsi="Times New Roman" w:eastAsia="宋体"/>
          <w:b w:val="0"/>
          <w:color w:val="1A1A1A"/>
          <w:sz w:val="21"/>
          <w:vertAlign w:val="superscript"/>
        </w:rPr>
        <w:t>[10]</w:t>
      </w:r>
      <w:r>
        <w:rPr>
          <w:rFonts w:ascii="Times New Roman" w:hAnsi="Times New Roman" w:eastAsia="宋体"/>
          <w:b w:val="0"/>
          <w:color w:val="1A1A1A"/>
          <w:sz w:val="21"/>
        </w:rPr>
        <w:t xml:space="preserve"> ；出血相关终点无数据 </w:t>
      </w:r>
      <w:r>
        <w:rPr>
          <w:rFonts w:ascii="Times New Roman" w:hAnsi="Times New Roman" w:eastAsia="宋体"/>
          <w:b w:val="0"/>
          <w:color w:val="1A1A1A"/>
          <w:sz w:val="21"/>
          <w:vertAlign w:val="superscript"/>
        </w:rPr>
        <w:t>[1]</w:t>
      </w:r>
      <w:r>
        <w:rPr>
          <w:rFonts w:ascii="Times New Roman" w:hAnsi="Times New Roman" w:eastAsia="宋体"/>
          <w:b w:val="0"/>
          <w:color w:val="1A1A1A"/>
          <w:sz w:val="21"/>
          <w:vertAlign w:val="superscript"/>
        </w:rPr>
        <w:t>[3]</w:t>
      </w:r>
      <w:r>
        <w:rPr>
          <w:rFonts w:ascii="Times New Roman" w:hAnsi="Times New Roman" w:eastAsia="宋体"/>
          <w:b w:val="0"/>
          <w:color w:val="1A1A1A"/>
          <w:sz w:val="21"/>
        </w:rPr>
        <w:t>。是否联用、疗程多长，应记录于病历并经医师评估后决定。</w:t>
      </w:r>
    </w:p>
    <w:p>
      <w:pPr>
        <w:spacing w:after="100" w:before="240" w:line="300" w:lineRule="auto"/>
      </w:pPr>
      <w:r>
        <w:rPr>
          <w:rFonts w:ascii="Times New Roman" w:hAnsi="Times New Roman" w:eastAsia="黑体"/>
          <w:b/>
          <w:color w:val="1A1A1A"/>
          <w:sz w:val="25"/>
        </w:rPr>
        <w:t>参考文献</w:t>
      </w:r>
    </w:p>
    <w:p>
      <w:pPr>
        <w:spacing w:after="60" w:before="0" w:line="336" w:lineRule="auto"/>
        <w:ind w:left="340"/>
      </w:pPr>
      <w:r>
        <w:rPr>
          <w:rFonts w:ascii="Times New Roman" w:hAnsi="Times New Roman" w:eastAsia="宋体"/>
          <w:b w:val="0"/>
          <w:color w:val="1A1A1A"/>
          <w:sz w:val="21"/>
        </w:rPr>
        <w:t>1. Hu Y, Wang Y, Wang S, et al. Efficacy and Safety of Suxiao Jiuxin Pills in the Treatment of Chronic Coronary Syndrome with Intolerance to Adverse Effects of Long-acting Nitrates: A Multicenter, Randomized, Double-blind, Placebo-controlled Study. BMC Complement Med Ther. 2024;24:356. doi:10.1186/s12906-024-04661-5. PMID:39367481. PMCID:PMC11451125. URL: https://europepmc.org/articles/PMC11451125</w:t>
      </w:r>
    </w:p>
    <w:p>
      <w:pPr>
        <w:spacing w:after="60" w:before="0" w:line="336" w:lineRule="auto"/>
        <w:ind w:left="340"/>
      </w:pPr>
      <w:r>
        <w:rPr>
          <w:rFonts w:ascii="Times New Roman" w:hAnsi="Times New Roman" w:eastAsia="宋体"/>
          <w:b w:val="0"/>
          <w:color w:val="1A1A1A"/>
          <w:sz w:val="21"/>
        </w:rPr>
        <w:t>2. Ruan X, Li Y, Sun Y, et al. Efficacy and safety of Suxiao Jiuxin Pill in the treatment of stable angina (Qi stagnation and blood stasis syndrome): study protocol of a randomized, double-blind, placebo-controlled, multi-center clinical trial. Trials. 2021;22:466. doi:10.1186/s13063-021-05448-6. PMID:34281600. PMCID:PMC8287819. URL: https://europepmc.org/articles/PMC8287819</w:t>
      </w:r>
    </w:p>
    <w:p>
      <w:pPr>
        <w:spacing w:after="60" w:before="0" w:line="336" w:lineRule="auto"/>
        <w:ind w:left="340"/>
      </w:pPr>
      <w:r>
        <w:rPr>
          <w:rFonts w:ascii="Times New Roman" w:hAnsi="Times New Roman" w:eastAsia="宋体"/>
          <w:b w:val="0"/>
          <w:color w:val="1A1A1A"/>
          <w:sz w:val="21"/>
        </w:rPr>
        <w:t>3. Ren L, Wang J, Feng L, et al. Efficacy of Suxiao Jiuxin Pill on Coronary Heart Disease: A Meta-Analysis of Randomized Controlled Trials. Evid Based Complement Alternat Med. 2018;2018:9745804. doi:10.1155/2018/9745804. PMID:29770157. PMCID:PMC5892298. URL: https://europepmc.org/articles/PMC5892298</w:t>
      </w:r>
    </w:p>
    <w:p>
      <w:pPr>
        <w:spacing w:after="60" w:before="0" w:line="336" w:lineRule="auto"/>
        <w:ind w:left="340"/>
      </w:pPr>
      <w:r>
        <w:rPr>
          <w:rFonts w:ascii="Times New Roman" w:hAnsi="Times New Roman" w:eastAsia="宋体"/>
          <w:b w:val="0"/>
          <w:color w:val="1A1A1A"/>
          <w:sz w:val="21"/>
        </w:rPr>
        <w:t>4. Shen Z, Chen T, Deng B, et al. Effects on Suxiao Jiuxin Pills in the Treatment of Patients with Acute Coronary Syndrome Undergoing Early Percutaneous Coronary Intervention: A Multicenter Randomized Double-Blind Placebo-Controlled Trial. J Altern Complement Med. 2020;26(12):1055-63. doi:10.1089/acm.2020.0014. PMID:32716206. URL: https://europepmc.org/article/MED/32716206 (摘要级；P 值字段缺损)</w:t>
      </w:r>
    </w:p>
    <w:p>
      <w:pPr>
        <w:spacing w:after="60" w:before="0" w:line="336" w:lineRule="auto"/>
        <w:ind w:left="340"/>
      </w:pPr>
      <w:r>
        <w:rPr>
          <w:rFonts w:ascii="Times New Roman" w:hAnsi="Times New Roman" w:eastAsia="宋体"/>
          <w:b w:val="0"/>
          <w:color w:val="1A1A1A"/>
          <w:sz w:val="21"/>
        </w:rPr>
        <w:t>5. Wang XL, Liu YM, Zhu GJ, et al. [Effects of suxiao jiuxin pill on patients with acute coronary syndrome undergoing early percutaneous coronary intervention]. Zhongguo Zhong Xi Yi Jie He Za Zhi. 2012;32(11):1483-87. PMID:23359969. URL: https://europepmc.org/article/MED/23359969 (摘要级)</w:t>
      </w:r>
    </w:p>
    <w:p>
      <w:pPr>
        <w:spacing w:after="60" w:before="0" w:line="336" w:lineRule="auto"/>
        <w:ind w:left="340"/>
      </w:pPr>
      <w:r>
        <w:rPr>
          <w:rFonts w:ascii="Times New Roman" w:hAnsi="Times New Roman" w:eastAsia="宋体"/>
          <w:b w:val="0"/>
          <w:color w:val="1A1A1A"/>
          <w:sz w:val="21"/>
        </w:rPr>
        <w:t>6. Liu YM, Guo W, Xue JG, et al. [速效救心丸联合早期经皮冠状动脉介入对不稳定型心绞痛患者生活质量的影响]. Zhong Yi Za Zhi. 2013. SinoMed:2013449834. URL: https://www.sinomed.ac.cn/zh/detail.do?ui=2013449834 (摘要级；卷期未核验)</w:t>
      </w:r>
    </w:p>
    <w:p>
      <w:pPr>
        <w:spacing w:after="60" w:before="0" w:line="336" w:lineRule="auto"/>
        <w:ind w:left="340"/>
      </w:pPr>
      <w:r>
        <w:rPr>
          <w:rFonts w:ascii="Times New Roman" w:hAnsi="Times New Roman" w:eastAsia="宋体"/>
          <w:b w:val="0"/>
          <w:color w:val="1A1A1A"/>
          <w:sz w:val="21"/>
        </w:rPr>
        <w:t>7. Ruan XF, Shen ZJ, Xue JG, et al. [速效救心丸干预 ACS 血运重建术后患者的随机双盲安慰剂对照临床研究]. Zhong Xi Yi Jie He Xin Nao Xue Guan Bing Za Zhi. 2019;17(9):1286-90. (书目级，经方案引文确认)</w:t>
      </w:r>
    </w:p>
    <w:p>
      <w:pPr>
        <w:spacing w:after="60" w:before="0" w:line="336" w:lineRule="auto"/>
        <w:ind w:left="340"/>
      </w:pPr>
      <w:r>
        <w:rPr>
          <w:rFonts w:ascii="Times New Roman" w:hAnsi="Times New Roman" w:eastAsia="宋体"/>
          <w:b w:val="0"/>
          <w:color w:val="1A1A1A"/>
          <w:sz w:val="21"/>
        </w:rPr>
        <w:t>8. Rong JF, Xue W, Liu YM, et al. [速效救心丸对介入治疗稳定型心绞痛患者围手术期心肌保护作用研究]. Zhong Xi Yi Jie He Xin Nao Xue Guan Bing Za Zhi. 2013;11(10):1156-59. (书目级，经方案引文确认)</w:t>
      </w:r>
    </w:p>
    <w:p>
      <w:pPr>
        <w:spacing w:after="60" w:before="0" w:line="336" w:lineRule="auto"/>
        <w:ind w:left="340"/>
      </w:pPr>
      <w:r>
        <w:rPr>
          <w:rFonts w:ascii="Times New Roman" w:hAnsi="Times New Roman" w:eastAsia="宋体"/>
          <w:b w:val="0"/>
          <w:color w:val="1A1A1A"/>
          <w:sz w:val="21"/>
        </w:rPr>
        <w:t>9. Duan X, Zhou L, Wu T, et al. Chinese herbal medicine suxiao jiuxin wan for angina pectoris. Cochrane Database Syst Rev. 2008;(1):CD004473. doi:10.1002/14651858.CD004473.pub2. PMID:18254051. URL: https://europepmc.org/article/MED/18254051 (摘要级)</w:t>
      </w:r>
    </w:p>
    <w:p>
      <w:pPr>
        <w:spacing w:after="60" w:before="0" w:line="336" w:lineRule="auto"/>
        <w:ind w:left="340"/>
      </w:pPr>
      <w:r>
        <w:rPr>
          <w:rFonts w:ascii="Times New Roman" w:hAnsi="Times New Roman" w:eastAsia="宋体"/>
          <w:b w:val="0"/>
          <w:color w:val="1A1A1A"/>
          <w:sz w:val="21"/>
        </w:rPr>
        <w:t>10. Huang YD, Li Z, Chen JW, et al. The comparative effects of oral Chinese patent medicines combined with western medicine in stable angina: A systematic review and network meta-analysis of 179 trials. Front Pharmacol. 2022;13:918689. doi:10.3389/fphar.2022.918689. PMCID:PMC9428755. URL: https://europepmc.org/articles/PMC9428755</w:t>
      </w:r>
    </w:p>
    <w:p>
      <w:pPr>
        <w:spacing w:after="60" w:before="0" w:line="336" w:lineRule="auto"/>
        <w:ind w:left="340"/>
      </w:pPr>
      <w:r>
        <w:rPr>
          <w:rFonts w:ascii="Times New Roman" w:hAnsi="Times New Roman" w:eastAsia="宋体"/>
          <w:b w:val="0"/>
          <w:color w:val="1A1A1A"/>
          <w:sz w:val="21"/>
        </w:rPr>
        <w:t>11. Wang X, Li B, Wei J, et al. Efficacy and Safety of Shexiang Baoxin Pill for Coronary Heart Disease after Percutaneous Coronary Intervention: A Systematic Review and Meta-analysis. Evid Based Complement Alternat Med. 2021;2021:2672516. doi:10.1155/2021/2672516. PMID:34931125. PMCID:PMC8684521. URL: https://europepmc.org/articles/PMC8684521</w:t>
      </w:r>
    </w:p>
    <w:p>
      <w:pPr>
        <w:spacing w:after="60" w:before="0" w:line="336" w:lineRule="auto"/>
        <w:ind w:left="340"/>
      </w:pPr>
      <w:r>
        <w:rPr>
          <w:rFonts w:ascii="Times New Roman" w:hAnsi="Times New Roman" w:eastAsia="宋体"/>
          <w:b w:val="0"/>
          <w:color w:val="1A1A1A"/>
          <w:sz w:val="21"/>
        </w:rPr>
        <w:t>12. Li S, Zhan J, Wang Y, et al. Suxiao Jiuxin Pill attenuates acute myocardial ischemia via regulation of coronary artery tone. Front Pharmacol. 2023;14:1104243. doi:10.3389/fphar.2023.1104243. PMID:37234713. PMCID:PMC10206061. URL: https://europepmc.org/articles/PMC10206061</w:t>
      </w:r>
    </w:p>
    <w:p>
      <w:pPr>
        <w:spacing w:after="60" w:before="0" w:line="336" w:lineRule="auto"/>
        <w:ind w:left="340"/>
      </w:pPr>
      <w:r>
        <w:rPr>
          <w:rFonts w:ascii="Times New Roman" w:hAnsi="Times New Roman" w:eastAsia="宋体"/>
          <w:b w:val="0"/>
          <w:color w:val="1A1A1A"/>
          <w:sz w:val="21"/>
        </w:rPr>
        <w:t>13. 中国中西医结合学会. 速效救心丸治疗冠心病中国专家共识. 中西医结合心脑血管病杂志. 2019;17(21). (索引记录级；正文全文未获) URL: https://qikan.cqvip.com/Qikan/Article/Detail?id=7100492500</w:t>
      </w:r>
    </w:p>
    <w:p>
      <w:pPr>
        <w:spacing w:after="60" w:before="0" w:line="336" w:lineRule="auto"/>
        <w:ind w:left="340"/>
      </w:pPr>
      <w:r>
        <w:rPr>
          <w:rFonts w:ascii="Times New Roman" w:hAnsi="Times New Roman" w:eastAsia="宋体"/>
          <w:b w:val="0"/>
          <w:color w:val="1A1A1A"/>
          <w:sz w:val="21"/>
        </w:rPr>
        <w:t>14. 中成药治疗优势病种临床应用指南标准化项目组. 中成药治疗冠心病临床应用指南（2020年）. 2021. (索引记录级；正文全文未获)</w:t>
      </w:r>
    </w:p>
    <w:p>
      <w:pPr>
        <w:spacing w:after="60" w:before="0" w:line="336" w:lineRule="auto"/>
        <w:ind w:left="340"/>
      </w:pPr>
      <w:r>
        <w:rPr>
          <w:rFonts w:ascii="Times New Roman" w:hAnsi="Times New Roman" w:eastAsia="宋体"/>
          <w:b w:val="0"/>
          <w:color w:val="1A1A1A"/>
          <w:sz w:val="21"/>
        </w:rPr>
        <w:t>15. 中华中医药学会心血管病分会. 冠心病心绞痛介入前后中医诊疗指南. 中医杂志. 2018;59(15). (索引记录级；正文全文未获)</w:t>
      </w:r>
    </w:p>
    <w:p>
      <w:pPr>
        <w:spacing w:after="60" w:before="0" w:line="336" w:lineRule="auto"/>
        <w:ind w:left="340"/>
      </w:pPr>
      <w:r>
        <w:rPr>
          <w:rFonts w:ascii="Times New Roman" w:hAnsi="Times New Roman" w:eastAsia="宋体"/>
          <w:b w:val="0"/>
          <w:color w:val="1A1A1A"/>
          <w:sz w:val="21"/>
        </w:rPr>
        <w:t>16. 中华医学会心血管病学分会. 经皮冠状动脉介入治疗指南（2025）. 中华心血管病杂志. 2025. (索引记录级；正文全文未获)</w:t>
      </w:r>
    </w:p>
    <w:p>
      <w:pPr>
        <w:spacing w:after="60" w:before="0" w:line="336" w:lineRule="auto"/>
        <w:ind w:left="340"/>
      </w:pPr>
      <w:r>
        <w:rPr>
          <w:rFonts w:ascii="Times New Roman" w:hAnsi="Times New Roman" w:eastAsia="宋体"/>
          <w:b w:val="0"/>
          <w:color w:val="1A1A1A"/>
          <w:sz w:val="21"/>
        </w:rPr>
        <w:t>17. 中华医学会心血管病学分会介入心脏病学组等. 经皮冠状动脉介入治疗患者术后长期管理中国专家共识. 2026. (索引记录级；正文全文未获)</w:t>
      </w:r>
    </w:p>
    <w:p>
      <w:pPr>
        <w:spacing w:after="60" w:before="0" w:line="336" w:lineRule="auto"/>
        <w:ind w:left="340"/>
      </w:pPr>
      <w:r>
        <w:rPr>
          <w:rFonts w:ascii="Times New Roman" w:hAnsi="Times New Roman" w:eastAsia="宋体"/>
          <w:b w:val="0"/>
          <w:color w:val="1A1A1A"/>
          <w:sz w:val="21"/>
        </w:rPr>
        <w:t>18. European Society of Cardiology. 2024 ESC Guidelines for the management of chronic coronary syndromes. Eur Heart J. 2024;45(36):3415-3537. doi:10.1093/eurheartj/ehae177. (索引记录级；全文未获开放获取副本)</w:t>
      </w:r>
    </w:p>
    <w:p>
      <w:pPr>
        <w:spacing w:after="60" w:before="0" w:line="336" w:lineRule="auto"/>
        <w:ind w:left="340"/>
      </w:pPr>
      <w:r>
        <w:rPr>
          <w:rFonts w:ascii="Times New Roman" w:hAnsi="Times New Roman" w:eastAsia="宋体"/>
          <w:b w:val="0"/>
          <w:color w:val="1A1A1A"/>
          <w:sz w:val="21"/>
        </w:rPr>
        <w:t>19. National Health Service. Chest pain [Internet]. NHS; 页面复核 2023-08-08. URL: https://www.nhs.uk/symptoms/chest-pain/</w:t>
      </w:r>
    </w:p>
    <w:p>
      <w:pPr>
        <w:spacing w:after="60" w:before="0" w:line="336" w:lineRule="auto"/>
        <w:ind w:left="340"/>
      </w:pPr>
      <w:r>
        <w:rPr>
          <w:rFonts w:ascii="Times New Roman" w:hAnsi="Times New Roman" w:eastAsia="宋体"/>
          <w:b w:val="0"/>
          <w:color w:val="1A1A1A"/>
          <w:sz w:val="21"/>
        </w:rPr>
        <w:t>20. Steele R, McNaughton T, McConahy J, Lam J. Chest pain in emergency department patients: if the pain is relieved by nitroglycerin, is it more likely to be cardiac chest pain? CJEM. 2006;8(3):164-169. doi:10.1017/S1481803500013671. URL: https://doi.org/10.1017/s1481803500013671</w:t>
      </w:r>
    </w:p>
    <w:p>
      <w:pPr>
        <w:spacing w:after="60" w:before="0" w:line="336" w:lineRule="auto"/>
        <w:ind w:left="340"/>
      </w:pPr>
      <w:r>
        <w:rPr>
          <w:rFonts w:ascii="Times New Roman" w:hAnsi="Times New Roman" w:eastAsia="宋体"/>
          <w:b w:val="0"/>
          <w:color w:val="1A1A1A"/>
          <w:sz w:val="21"/>
        </w:rPr>
        <w:t>21. Patient delay and benefit of timely reperfusion in ST-segment elevation myocardial infarction. Open Heart. 2021;8(1):e001650. doi:10.1136/openhrt-2021-001650. PMID:33958491. PMCID:PMC8103948. URL: https://europepmc.org/articles/PMC8103948</w:t>
      </w:r>
    </w:p>
    <w:p>
      <w:pPr>
        <w:spacing w:after="60" w:before="0" w:line="336" w:lineRule="auto"/>
        <w:ind w:left="340"/>
      </w:pPr>
      <w:r>
        <w:rPr>
          <w:rFonts w:ascii="Times New Roman" w:hAnsi="Times New Roman" w:eastAsia="宋体"/>
          <w:b w:val="0"/>
          <w:color w:val="1A1A1A"/>
          <w:sz w:val="21"/>
        </w:rPr>
        <w:t>22. Performance of the 0-Hour/1-Hour Algorithm for Diagnosing Myocardial Infarction in Patients With Chest Pain in the Emergency Department ― A Systematic Review and Meta-Analysis ―. Circ Rep. 2022;4(6):241. doi:10.1253/circrep.cr-22-0001. PMID:35774074. PMCID:PMC9168511. URL: https://europepmc.org/articles/PMC9168511</w:t>
      </w:r>
    </w:p>
    <w:p>
      <w:pPr>
        <w:spacing w:after="60" w:before="0" w:line="336" w:lineRule="auto"/>
        <w:ind w:left="340"/>
      </w:pPr>
      <w:r>
        <w:rPr>
          <w:rFonts w:ascii="Times New Roman" w:hAnsi="Times New Roman" w:eastAsia="宋体"/>
          <w:b w:val="0"/>
          <w:color w:val="1A1A1A"/>
          <w:sz w:val="21"/>
        </w:rPr>
        <w:t>23. Zhelev Z, Hyde C, Youngman E, et al. Diagnostic accuracy of single baseline measurement of Elecsys Troponin T high-sensitive assay for diagnosis of acute myocardial infarction in emergency department: systematic review and meta-analysis. BMJ. 2015;350:h15. doi:10.1136/bmj.h15. PMID:25587054. PMCID:PMC4300724. URL: https://europepmc.org/articles/PMC4300724</w:t>
      </w:r>
    </w:p>
    <w:p>
      <w:pPr>
        <w:spacing w:after="60" w:before="0" w:line="336" w:lineRule="auto"/>
        <w:ind w:left="340"/>
      </w:pPr>
      <w:r>
        <w:rPr>
          <w:rFonts w:ascii="Times New Roman" w:hAnsi="Times New Roman" w:eastAsia="宋体"/>
          <w:b w:val="0"/>
          <w:color w:val="1A1A1A"/>
          <w:sz w:val="21"/>
        </w:rPr>
        <w:t>24. Chen GE, Liu TM, Wu SR, et al. Overview of systematic reviews on Chinese patented oral medicines for promoting blood circulation and removing blood stasis combined with western medicine in the treatment of coronary heart disease angina pectoris. Front Cardiovasc Med. 2025;12:1553735. doi:10.3389/fcvm.2025.1553735. PMCID:PMC12226556. URL: https://europepmc.org/articles/PMC12226556</w:t>
      </w:r>
    </w:p>
    <w:p>
      <w:pPr>
        <w:spacing w:after="60" w:before="0" w:line="336" w:lineRule="auto"/>
        <w:ind w:left="340"/>
      </w:pPr>
      <w:r>
        <w:rPr>
          <w:rFonts w:ascii="Times New Roman" w:hAnsi="Times New Roman" w:eastAsia="宋体"/>
          <w:b w:val="0"/>
          <w:color w:val="1A1A1A"/>
          <w:sz w:val="21"/>
        </w:rPr>
        <w:t>25. Prehospital and in-hospital delays to care and associated factors in patients with STEMI: an observational study in 101 non-PCI hospitals in China. BMJ Open. 2019;9(11):e031918. doi:10.1136/bmjopen-2019-031918. PMCID:PMC6858215. URL: https://europepmc.org/articles/PMC6858215</w:t>
      </w:r>
    </w:p>
    <w:p>
      <w:pPr>
        <w:spacing w:after="60" w:before="0" w:line="336" w:lineRule="auto"/>
        <w:ind w:left="340"/>
      </w:pPr>
      <w:r>
        <w:rPr>
          <w:rFonts w:ascii="Times New Roman" w:hAnsi="Times New Roman" w:eastAsia="宋体"/>
          <w:b w:val="0"/>
          <w:color w:val="1A1A1A"/>
          <w:sz w:val="21"/>
        </w:rPr>
        <w:t>26. EviMed NMPA 说明书索引副本（EVIMED-LABEL:nmpa-0）: 速效救心丸. 适应症"行气活血，祛瘀止痛，增加冠脉血流量，缓解心绞痛。用于气滞血瘀型冠心病，心绞痛。". 生产企业: 津药达仁堂集团股份有限公司第六中药厂. 索引级记录；官方现行版本需经 NMPA 数据库核验.</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