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舌下含服速效救心丸引起舌部麻木感：药理机制、临床意义及其作为药效指标的证据评价</w:t>
      </w:r>
    </w:p>
    <w:p>
      <w:pPr>
        <w:spacing w:after="100" w:before="240" w:line="300" w:lineRule="auto"/>
      </w:pPr>
      <w:r>
        <w:rPr>
          <w:rFonts w:ascii="Times New Roman" w:hAnsi="Times New Roman" w:eastAsia="黑体"/>
          <w:b/>
          <w:color w:val="1A1A1A"/>
          <w:sz w:val="25"/>
        </w:rPr>
        <w:t>摘要</w:t>
      </w:r>
    </w:p>
    <w:p>
      <w:pPr>
        <w:spacing w:after="120" w:before="0" w:line="348" w:lineRule="auto"/>
        <w:ind w:firstLine="420"/>
      </w:pPr>
      <w:r>
        <w:rPr>
          <w:rFonts w:ascii="Times New Roman" w:hAnsi="Times New Roman" w:eastAsia="宋体"/>
          <w:b w:val="0"/>
          <w:color w:val="1A1A1A"/>
          <w:sz w:val="21"/>
        </w:rPr>
        <w:t>舌下含服速效救心丸后出现的舌部麻木、清凉或刺激感，最可能来自组方中冰片（龙脑）在舌下局部的药理学作用，而非药物"起效"的指示：龙脑是冷觉通道 TRPM8 的激动剂、人 TRPA1 通道的抑制剂，并具有不依赖 TRP 通道的神经传导阻断（类局麻药样）作用。</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按《中国药典》标准，每粒速效救心丸含冰片（以龙脑计）2.9 mg 至 4.4 mg；</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该药以舌下含服为给药方式，</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单次含服时龙脑在舌下的估算局部浓度可较其 TRPM8/TRPA1/神经传导有效浓度高约 1–3 个数量级（〔推导〕，见第 6 节）。〔推导〕</w:t>
      </w:r>
    </w:p>
    <w:p>
      <w:pPr>
        <w:spacing w:after="120" w:before="0" w:line="348" w:lineRule="auto"/>
        <w:ind w:firstLine="420"/>
      </w:pPr>
      <w:r>
        <w:rPr>
          <w:rFonts w:ascii="Times New Roman" w:hAnsi="Times New Roman" w:eastAsia="宋体"/>
          <w:b w:val="0"/>
          <w:color w:val="1A1A1A"/>
          <w:sz w:val="21"/>
        </w:rPr>
        <w:t>检索范围内未检索到任何以"速效救心丸舌下含服后舌麻"为对象或终点的临床研究，也未检索到将含服感觉与吸收程度或临床疗效相关联的定量研究；"舌麻说明药起效了"缺乏相关性证据支持，且与现行胸痛处置指南的立场（舌下含服药物后胸痛缓解不能区分心源性疼痛与非心源性疼痛）相冲突。</w:t>
      </w:r>
      <w:r>
        <w:rPr>
          <w:rFonts w:ascii="Times New Roman" w:hAnsi="Times New Roman" w:eastAsia="宋体"/>
          <w:b w:val="0"/>
          <w:color w:val="1A1A1A"/>
          <w:sz w:val="21"/>
          <w:vertAlign w:val="superscript"/>
        </w:rPr>
        <w:t>[6]</w:t>
      </w:r>
    </w:p>
    <w:p>
      <w:pPr>
        <w:spacing w:after="120" w:before="0" w:line="348" w:lineRule="auto"/>
        <w:ind w:firstLine="420"/>
      </w:pPr>
      <w:r>
        <w:rPr>
          <w:rFonts w:ascii="Times New Roman" w:hAnsi="Times New Roman" w:eastAsia="宋体"/>
          <w:b w:val="0"/>
          <w:color w:val="1A1A1A"/>
          <w:sz w:val="21"/>
        </w:rPr>
        <w:t>现有临床证据的强度分层为：机制上可解释（细胞/动物实验，中-高确信度）＞有相关性研究支持（未检索到，空缺）＞有临床终点证据支持（速效救心丸改善心绞痛临床终点，但与舌麻无任何关联研究）。</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[5]</w:t>
      </w:r>
    </w:p>
    <w:p>
      <w:pPr>
        <w:spacing w:after="120" w:before="0" w:line="348" w:lineRule="auto"/>
        <w:ind w:firstLine="420"/>
      </w:pPr>
      <w:r>
        <w:rPr>
          <w:rFonts w:ascii="Times New Roman" w:hAnsi="Times New Roman" w:eastAsia="宋体"/>
          <w:b w:val="0"/>
          <w:color w:val="1A1A1A"/>
          <w:sz w:val="21"/>
        </w:rPr>
        <w:t>对患者与临床的直接含义：突发胸部疼痛或不适且不缓解时，必须立即呼叫急救（中国拨打 120），含服速效救心丸不得延误这一评估；</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舌下含服药物后胸痛缓解不能区分心源性疼痛与非心源性疼痛（现行指南立场）</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；症状持续不缓解时应接受急救评估。</w:t>
      </w:r>
      <w:r>
        <w:rPr>
          <w:rFonts w:ascii="Times New Roman" w:hAnsi="Times New Roman" w:eastAsia="宋体"/>
          <w:b w:val="0"/>
          <w:color w:val="1A1A1A"/>
          <w:sz w:val="21"/>
          <w:vertAlign w:val="superscript"/>
        </w:rPr>
        <w:t>[8]</w:t>
      </w:r>
    </w:p>
    <w:p>
      <w:pPr>
        <w:spacing w:after="100" w:before="240" w:line="300" w:lineRule="auto"/>
      </w:pPr>
      <w:r>
        <w:rPr>
          <w:rFonts w:ascii="Times New Roman" w:hAnsi="Times New Roman" w:eastAsia="黑体"/>
          <w:b/>
          <w:color w:val="1A1A1A"/>
          <w:sz w:val="25"/>
        </w:rPr>
        <w:t>临床问题与论点：判定条件</w:t>
      </w:r>
    </w:p>
    <w:p>
      <w:pPr>
        <w:spacing w:after="120" w:before="0" w:line="348" w:lineRule="auto"/>
        <w:ind w:firstLine="420"/>
      </w:pPr>
      <w:r>
        <w:rPr>
          <w:rFonts w:ascii="Times New Roman" w:hAnsi="Times New Roman" w:eastAsia="宋体"/>
          <w:b w:val="0"/>
          <w:color w:val="1A1A1A"/>
          <w:sz w:val="21"/>
        </w:rPr>
        <w:t>本报告回答四个递进的问题：</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机制问题（命题 A）</w:t>
      </w:r>
      <w:r>
        <w:rPr>
          <w:rFonts w:ascii="Times New Roman" w:hAnsi="Times New Roman" w:eastAsia="宋体"/>
          <w:b w:val="0"/>
          <w:color w:val="1A1A1A"/>
          <w:sz w:val="21"/>
        </w:rPr>
        <w:t>：舌下含服速效救心丸后舌部麻木、灼热或刺激感的药理机制是什么？组方中冰片（龙脑）的 TRPM8/TRPA1 作用、局部黏膜刺激或其他机制各支持到什么程度？</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相关性问题（命题 B）</w:t>
      </w:r>
      <w:r>
        <w:rPr>
          <w:rFonts w:ascii="Times New Roman" w:hAnsi="Times New Roman" w:eastAsia="宋体"/>
          <w:b w:val="0"/>
          <w:color w:val="1A1A1A"/>
          <w:sz w:val="21"/>
        </w:rPr>
        <w:t>：该主观感受与药物吸收程度或临床疗效之间是否存在已被研究验证的相关性？</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药效指标问题（命题 C）</w:t>
      </w:r>
      <w:r>
        <w:rPr>
          <w:rFonts w:ascii="Times New Roman" w:hAnsi="Times New Roman" w:eastAsia="宋体"/>
          <w:b w:val="0"/>
          <w:color w:val="1A1A1A"/>
          <w:sz w:val="21"/>
        </w:rPr>
        <w:t>："舌麻说明药起效了"在临床上是否成立？以主观局部感受作药效指标存在哪些推理谬误与实际风险？</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不良反应界定问题（命题 D）</w:t>
      </w:r>
      <w:r>
        <w:rPr>
          <w:rFonts w:ascii="Times New Roman" w:hAnsi="Times New Roman" w:eastAsia="宋体"/>
          <w:b w:val="0"/>
          <w:color w:val="1A1A1A"/>
          <w:sz w:val="21"/>
        </w:rPr>
        <w:t>：舌部麻木在何种情况下应视为不良反应或过敏征兆，而非正常现象？说明书与现有文献如何界定？</w:t>
      </w:r>
    </w:p>
    <w:p>
      <w:pPr>
        <w:spacing w:after="120" w:before="0" w:line="348" w:lineRule="auto"/>
      </w:pPr>
      <w:r>
        <w:rPr>
          <w:rFonts w:ascii="Times New Roman" w:hAnsi="Times New Roman" w:eastAsia="宋体"/>
          <w:b/>
          <w:color w:val="1A1A1A"/>
          <w:sz w:val="21"/>
        </w:rPr>
        <w:t>论点</w:t>
      </w:r>
      <w:r>
        <w:rPr>
          <w:rFonts w:ascii="Times New Roman" w:hAnsi="Times New Roman" w:eastAsia="宋体"/>
          <w:b w:val="0"/>
          <w:color w:val="1A1A1A"/>
          <w:sz w:val="21"/>
        </w:rPr>
        <w:t>：命题 A 的答案最可能是肯定的但仅达到"机制上可解释"的层级——证据足以说明舌麻是龙脑在舌部局部药理效应的可预期结果，但不足以将其作为疗效或吸收的指标。命题 B 与命题 C 的答案是否定的——二者成立必须满足"含服感觉与吸收/疗效存在可验证相关性"这一条件，而本报告未检索到任何满足该条件的证据；机制上，舌麻由龙脑的局部感受器/神经效应决定，疗效由全身性血管效应决定，两者并无已知关联。命题 D 需要结合说明书不良反应界定与不良反应分类学回答。</w:t>
      </w:r>
    </w:p>
    <w:p>
      <w:pPr>
        <w:spacing w:after="120" w:before="0" w:line="348" w:lineRule="auto"/>
      </w:pPr>
      <w:r>
        <w:rPr>
          <w:rFonts w:ascii="Times New Roman" w:hAnsi="Times New Roman" w:eastAsia="宋体"/>
          <w:b/>
          <w:color w:val="1A1A1A"/>
          <w:sz w:val="21"/>
        </w:rPr>
        <w:t>判定条件（可证伪的检验）</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命题 A 成立当且仅当：(a) 龙脑确能激动 TRPM8、抑制 TRPA1 并阻断神经传导（有细胞/动物实验支持）；(b) 舌下局部龙脑浓度可达到上述作用的有效浓度（可定量估算）；(c) 口腔舌部的感觉神经具备相应受体/传导基础（外推，层级较低）。</w:t>
      </w:r>
    </w:p>
    <w:p>
      <w:pPr>
        <w:spacing w:after="60" w:before="0" w:line="336" w:lineRule="auto"/>
        <w:ind w:left="340"/>
      </w:pPr>
      <w:r>
        <w:rPr>
          <w:rFonts w:ascii="Times New Roman" w:hAnsi="Times New Roman" w:eastAsia="宋体"/>
          <w:b w:val="0"/>
          <w:color w:val="1A1A1A"/>
          <w:sz w:val="21"/>
        </w:rPr>
        <w:t>· 命题 B/C 成立当且仅当存在以含服感觉为暴露或指标、以吸收参数或临床终点为结局的定量研究。该条件若不被满足，命题即不成立，而非"尚未证实"——因为其逻辑地位是相关性断言。</w:t>
      </w:r>
    </w:p>
    <w:p>
      <w:pPr>
        <w:spacing w:after="60" w:before="0" w:line="336" w:lineRule="auto"/>
        <w:ind w:left="340"/>
      </w:pPr>
      <w:r>
        <w:rPr>
          <w:rFonts w:ascii="Times New Roman" w:hAnsi="Times New Roman" w:eastAsia="宋体"/>
          <w:b w:val="0"/>
          <w:color w:val="1A1A1A"/>
          <w:sz w:val="21"/>
        </w:rPr>
        <w:t>· 命题 D 依说明书文本与药品不良反应分类学判定：短暂、可复、局限于舌部的感觉异常属局部药理效应；伴全身或过敏征象时属不良反应/过敏征兆。</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本报告于 2026-08-11 完成检索与证据获取。检索覆盖以下来源类别：</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英文文献索引</w:t>
      </w:r>
      <w:r>
        <w:rPr>
          <w:rFonts w:ascii="Times New Roman" w:hAnsi="Times New Roman" w:eastAsia="宋体"/>
          <w:b w:val="0"/>
          <w:color w:val="1A1A1A"/>
          <w:sz w:val="21"/>
        </w:rPr>
        <w:t>：PubMed、Crossref；开放获取全文经 Europe PMC 获取。</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中文生物医学索引</w:t>
      </w:r>
      <w:r>
        <w:rPr>
          <w:rFonts w:ascii="Times New Roman" w:hAnsi="Times New Roman" w:eastAsia="宋体"/>
          <w:b w:val="0"/>
          <w:color w:val="1A1A1A"/>
          <w:sz w:val="21"/>
        </w:rPr>
        <w:t>：中文生物医学文献数据库（涵盖中国生物医学文献、CNKI、万方、维普等索引记录）。</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指南与官方来源</w:t>
      </w:r>
      <w:r>
        <w:rPr>
          <w:rFonts w:ascii="Times New Roman" w:hAnsi="Times New Roman" w:eastAsia="宋体"/>
          <w:b w:val="0"/>
          <w:color w:val="1A1A1A"/>
          <w:sz w:val="21"/>
        </w:rPr>
        <w:t>：临床指南索引（ICSI、ESC、ACC/AHA、中国医师协会等指南记录）、英国 NHS 胸痛官方页面、澳大利亚心脏基金会/CSANZ 急性冠脉综合征（ACS）临床指南（2025）。</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监管/标签来源</w:t>
      </w:r>
      <w:r>
        <w:rPr>
          <w:rFonts w:ascii="Times New Roman" w:hAnsi="Times New Roman" w:eastAsia="宋体"/>
          <w:b w:val="0"/>
          <w:color w:val="1A1A1A"/>
          <w:sz w:val="21"/>
        </w:rPr>
        <w:t>：NMPA 药品说明书索引候选件（官方现行版本未能在检索中核验，见证据局限）。</w:t>
      </w:r>
    </w:p>
    <w:p>
      <w:pPr>
        <w:spacing w:after="120" w:before="0" w:line="348" w:lineRule="auto"/>
      </w:pPr>
      <w:r>
        <w:rPr>
          <w:rFonts w:ascii="Times New Roman" w:hAnsi="Times New Roman" w:eastAsia="宋体"/>
          <w:b/>
          <w:color w:val="1A1A1A"/>
          <w:sz w:val="21"/>
        </w:rPr>
        <w:t>检索概念</w:t>
      </w:r>
      <w:r>
        <w:rPr>
          <w:rFonts w:ascii="Times New Roman" w:hAnsi="Times New Roman" w:eastAsia="宋体"/>
          <w:b w:val="0"/>
          <w:color w:val="1A1A1A"/>
          <w:sz w:val="21"/>
        </w:rPr>
        <w:t>（中英文变体）：borneol/冰片/龙脑 × TRPM8、TRPA1、局部麻醉、神经传导；速效救心丸/Suxiao Jiuxin × 舌麻、麻木、不良反应、安全性；舌下含服 × 麻木；舌麻/舌部麻木 × 药物不良反应；硝酸甘油/含服反应 × 诊断价值；胸痛/急性冠脉综合征 × 急诊处置。共执行 25 项成功检索（另有一项中文检索因来源超时失败、一项 DailyMed 查询无命中，均未计入成功项）。筛选流程：检索命中 226 条记录，去重后 158 条，按主题相关性、证据层级与可及性深读并纳入 9 份可引证来源（8 份开放获取全文、1 份官方页面）。去重按 DOI、PMID、URL 与标准化题名执行。</w:t>
      </w:r>
    </w:p>
    <w:p>
      <w:pPr>
        <w:spacing w:after="120" w:before="0" w:line="348" w:lineRule="auto"/>
      </w:pPr>
      <w:r>
        <w:rPr>
          <w:rFonts w:ascii="Times New Roman" w:hAnsi="Times New Roman" w:eastAsia="宋体"/>
          <w:b/>
          <w:color w:val="1A1A1A"/>
          <w:sz w:val="21"/>
        </w:rPr>
        <w:t>纳入与评价维度</w:t>
      </w:r>
      <w:r>
        <w:rPr>
          <w:rFonts w:ascii="Times New Roman" w:hAnsi="Times New Roman" w:eastAsia="宋体"/>
          <w:b w:val="0"/>
          <w:color w:val="1A1A1A"/>
          <w:sz w:val="21"/>
        </w:rPr>
        <w:t>：来源类型与设计、人群/干预/对照/结局、访问层级（full_text/official_page）、偏倚风险与证据形态局限、与本问题的直接性、精密度与样本量、时效性与辖区适用性、来源间一致/限定/冲突关系。证据按"机制实验—临床研究—指南/监管文件"分层。</w:t>
      </w:r>
    </w:p>
    <w:p>
      <w:pPr>
        <w:spacing w:after="120" w:before="0" w:line="348" w:lineRule="auto"/>
      </w:pPr>
      <w:r>
        <w:rPr>
          <w:rFonts w:ascii="Times New Roman" w:hAnsi="Times New Roman" w:eastAsia="宋体"/>
          <w:b/>
          <w:color w:val="1A1A1A"/>
          <w:sz w:val="21"/>
        </w:rPr>
        <w:t>证据缺口的明确声明</w:t>
      </w:r>
      <w:r>
        <w:rPr>
          <w:rFonts w:ascii="Times New Roman" w:hAnsi="Times New Roman" w:eastAsia="宋体"/>
          <w:b w:val="0"/>
          <w:color w:val="1A1A1A"/>
          <w:sz w:val="21"/>
        </w:rPr>
        <w:t>：在上述检索范围与检索词覆盖下，</w:t>
      </w:r>
      <w:r>
        <w:rPr>
          <w:rFonts w:ascii="Times New Roman" w:hAnsi="Times New Roman" w:eastAsia="宋体"/>
          <w:b/>
          <w:color w:val="1A1A1A"/>
          <w:sz w:val="21"/>
        </w:rPr>
        <w:t>未检索到</w:t>
      </w:r>
      <w:r>
        <w:rPr>
          <w:rFonts w:ascii="Times New Roman" w:hAnsi="Times New Roman" w:eastAsia="宋体"/>
          <w:b w:val="0"/>
          <w:color w:val="1A1A1A"/>
          <w:sz w:val="21"/>
        </w:rPr>
        <w:t>下列三类证据——其一，以舌下含服速效救心丸后舌部麻木/灼热/刺激感为直接研究对象、结局或亚组分析的临床研究（无论 RCT、观察性研究或病例报告）；其二，将含服感觉（舌麻/清凉感）与血药浓度、吸收程度或临床疗效（心绞痛缓解、心电图、量表终点）相关联的定量研究；其三，现行说明书"不良反应"项载明舌麻的记载（NMPA 说明书索引候选件不良反应项为恶心、呕吐、口干、腹痛、胃部不适、头痛、头晕、皮疹、瘙痒、潮红、乏力、过敏及过敏样反应等，未含舌麻；该候选件未经官方现行版本核验）。"未检索到"是对检索结果的如实表述，不等于"不存在"；下文第 4 节起的所有机制分析均为推导而非临床证据。</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角度一：直接临床证据——未检索到</w:t>
      </w:r>
    </w:p>
    <w:p>
      <w:pPr>
        <w:spacing w:after="120" w:before="0" w:line="348" w:lineRule="auto"/>
        <w:ind w:firstLine="420"/>
      </w:pPr>
      <w:r>
        <w:rPr>
          <w:rFonts w:ascii="Times New Roman" w:hAnsi="Times New Roman" w:eastAsia="宋体"/>
          <w:b w:val="0"/>
          <w:color w:val="1A1A1A"/>
          <w:sz w:val="21"/>
        </w:rPr>
        <w:t>这是本问题证据基础的核心事实。检索范围覆盖英文与中文主要生物医学索引、临床试验与全文库，以"速效救心丸+舌麻"、"速效救心丸+麻木"、"冰片+麻木"、"舌下含服+麻木"及对应英文概念组合检索，均未返回直接相关记录；PubMed 检索"Suxiao Jiuxin"仅命中中文索引记录，英文文献中对速效救心丸的安全事件描述未涉及舌部感觉症状。</w:t>
      </w:r>
      <w:r>
        <w:rPr>
          <w:rFonts w:ascii="Times New Roman" w:hAnsi="Times New Roman" w:eastAsia="宋体"/>
          <w:b/>
          <w:color w:val="1A1A1A"/>
          <w:sz w:val="21"/>
        </w:rPr>
        <w:t>该角度只确立了"直接证据缺失"这一文献事实，它不能回答命题 A–D 的任何一项</w:t>
      </w:r>
      <w:r>
        <w:rPr>
          <w:rFonts w:ascii="Times New Roman" w:hAnsi="Times New Roman" w:eastAsia="宋体"/>
          <w:b w:val="0"/>
          <w:color w:val="1A1A1A"/>
          <w:sz w:val="21"/>
        </w:rPr>
        <w:t>，因此必须借助其他角度推进，且任何后续结论都必须保持与这一缺失相称的确定性层级；其中机制层面（角度二至三）只能达到"机制上可解释"的层级，不能升级为临床证据。</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3"/>
        </w:rPr>
        <w:t>角度二：机制——龙脑的 TRPM8、TRPA1 与神经传导作用</w:t>
      </w:r>
    </w:p>
    <w:p>
      <w:pPr>
        <w:spacing w:after="120" w:before="0" w:line="348" w:lineRule="auto"/>
        <w:ind w:firstLine="420"/>
      </w:pPr>
      <w:r>
        <w:rPr>
          <w:rFonts w:ascii="Times New Roman" w:hAnsi="Times New Roman" w:eastAsia="宋体"/>
          <w:b w:val="0"/>
          <w:color w:val="1A1A1A"/>
          <w:sz w:val="21"/>
        </w:rPr>
        <w:t>该角度回答命题 A 的"机制上是否可解释"。三条独立实验证据线：</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TRPM8（冷觉通道）激动</w:t>
      </w:r>
      <w:r>
        <w:rPr>
          <w:rFonts w:ascii="Times New Roman" w:hAnsi="Times New Roman" w:eastAsia="宋体"/>
          <w:b w:val="0"/>
          <w:color w:val="1A1A1A"/>
          <w:sz w:val="21"/>
        </w:rPr>
        <w:t>：龙脑在浓度 10 μmol/L–2 mmol/L 范围内浓度依赖地激活 TRPM8 通道（温度依赖、可被选择性阻断剂抑制），效力低于经典 TRPM8 激动剂薄荷醇；TRPM8 是外周感觉神经元的冷感受器，可被薄荷醇、icilin 等"产生清凉感"的化合物激活，其激活导致神经元去极化与动作电位。</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这为舌部"清凉/凉麻"感提供了直接的通道机制（薄荷醇样效应）。</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TRPA1（刺激性/伤害性化学感受通道）抑制</w:t>
      </w:r>
      <w:r>
        <w:rPr>
          <w:rFonts w:ascii="Times New Roman" w:hAnsi="Times New Roman" w:eastAsia="宋体"/>
          <w:b w:val="0"/>
          <w:color w:val="1A1A1A"/>
          <w:sz w:val="21"/>
        </w:rPr>
        <w:t>：龙脑抑制人 TRPA1 通道，半数抑制浓度 IC50 = 0.20 ± 0.06 mmol/L，效力强于樟脑（1.26 mmol/L）与 1,8-桉叶油素（3.43 mmol/L），且不激活该通道。</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该方向说明龙脑倾向减弱而非增强刺激性感觉，与"麻木/迟钝感"而非"灼痛"的临床描述方向一致。</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神经传导阻断（类局麻药样）</w:t>
      </w:r>
      <w:r>
        <w:rPr>
          <w:rFonts w:ascii="Times New Roman" w:hAnsi="Times New Roman" w:eastAsia="宋体"/>
          <w:b w:val="0"/>
          <w:color w:val="1A1A1A"/>
          <w:sz w:val="21"/>
        </w:rPr>
        <w:t>：(+)-龙脑与(−)-龙脑以浓度依赖方式抑制蛙坐骨神经复合动作电位（半数抑制浓度约 1.5 与 2.3 mmol/L），该作用不被 TRP 通道拮抗剂消除，提示不依赖 TRP 通道的电压门控钠通道水平的神经传导阻断。</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这为"麻木（感觉减退）"而非单纯"清凉"提供了机制：在足够局部浓度下，龙脑可类似弱局麻药地降低舌部感觉神经兴奋性。</w:t>
      </w:r>
    </w:p>
    <w:p>
      <w:pPr>
        <w:spacing w:after="120" w:before="0" w:line="348" w:lineRule="auto"/>
        <w:ind w:firstLine="420"/>
      </w:pPr>
      <w:r>
        <w:rPr>
          <w:rFonts w:ascii="Times New Roman" w:hAnsi="Times New Roman" w:eastAsia="宋体"/>
          <w:b w:val="0"/>
          <w:color w:val="1A1A1A"/>
          <w:sz w:val="21"/>
        </w:rPr>
        <w:t>该角度确立的强度：</w:t>
      </w:r>
      <w:r>
        <w:rPr>
          <w:rFonts w:ascii="Times New Roman" w:hAnsi="Times New Roman" w:eastAsia="宋体"/>
          <w:b/>
          <w:color w:val="1A1A1A"/>
          <w:sz w:val="21"/>
        </w:rPr>
        <w:t>细胞/动物实验层面的机制上可解释</w:t>
      </w:r>
      <w:r>
        <w:rPr>
          <w:rFonts w:ascii="Times New Roman" w:hAnsi="Times New Roman" w:eastAsia="宋体"/>
          <w:b w:val="0"/>
          <w:color w:val="1A1A1A"/>
          <w:sz w:val="21"/>
        </w:rPr>
        <w:t>。它不能确立舌麻在人体中的发生率、程度或个体差异，也不能确立舌麻与疗效的任何关系。</w:t>
      </w:r>
    </w:p>
    <w:p>
      <w:pPr>
        <w:spacing w:after="100" w:before="240" w:line="300" w:lineRule="auto"/>
      </w:pPr>
      <w:r>
        <w:rPr>
          <w:rFonts w:ascii="Times New Roman" w:hAnsi="Times New Roman" w:eastAsia="黑体"/>
          <w:b/>
          <w:color w:val="1A1A1A"/>
          <w:sz w:val="23"/>
        </w:rPr>
        <w:t>角度三：定量界定——舌下局部龙脑浓度〔推导〕</w:t>
      </w:r>
    </w:p>
    <w:p>
      <w:pPr>
        <w:spacing w:after="120" w:before="0" w:line="348" w:lineRule="auto"/>
        <w:ind w:firstLine="420"/>
      </w:pPr>
      <w:r>
        <w:rPr>
          <w:rFonts w:ascii="Times New Roman" w:hAnsi="Times New Roman" w:eastAsia="宋体"/>
          <w:b w:val="0"/>
          <w:color w:val="1A1A1A"/>
          <w:sz w:val="21"/>
        </w:rPr>
        <w:t>机制要落地，需要回答"舌下局部浓度是否达到上述有效浓度"。利用可引证的两个常数进行数量级估算。</w:t>
      </w:r>
    </w:p>
    <w:p>
      <w:pPr>
        <w:spacing w:after="120" w:before="0" w:line="348" w:lineRule="auto"/>
        <w:ind w:firstLine="420"/>
      </w:pPr>
      <w:r>
        <w:rPr>
          <w:rFonts w:ascii="Times New Roman" w:hAnsi="Times New Roman" w:eastAsia="宋体"/>
          <w:b w:val="0"/>
          <w:color w:val="1A1A1A"/>
          <w:sz w:val="21"/>
        </w:rPr>
        <w:t>速效救心丸组成与龙脑含量：速效救心丸由川芎（Ligusticum striatum DC.）与冰片（Borneolum syntheticum，合成龙脑）组成；按《中国药典》，每粒须含冰片（以龙脑计）2.9 mg 至 4.4 mg。</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随机对照试验中的用法为舌下含服、每次 5 粒、每日三次。</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〔推导〕取单次含服 5 粒、冰片 2.9 mg 至 4.4 mg/粒，单次冰片量为 14.5–22 mg；若 22 mg 完全溶入 1 mL 舌下唾液，浓度为 22 mg/mL ÷ 154.25 g/mol ≈ 0.14 mol/L（≈140 mmol/L）；若按低端 14.5 mg 溶入 2 mL，约 7.3 mg/mL ≈ 47 mmol/L。与龙脑有效浓度比较：TRPM8 激活浓度范围 10 μmol/L–2 mmol/L、TRPA1 抑制 IC50 ≈ 0.20 mmol/L、神经传导阻断 IC50 ≈ 1.5–2.3 mmol/L。估算的舌下局部浓度高于三者约 1–3 个数量级。假设与敏感性：假设静息舌下唾液量 1–2 mL、冰片在含服时间窗内基本溶出、溶出后并非立即全部吞入；若仅 10% 溶出且唾液池增至 5 mL，浓度降至约 3 mmol/L，仍高于 TRPA1 IC50 约 14 倍、处于 TRPM8 激活浓度上限附近、低于神经传导阻断 IC50——此时预期"清凉/刺激感为主、麻木较轻微"；完全溶出且唾液 1 mL 时为 140 mmol/L 量级。故"清凉/麻木感机制上可预期"对 TRPM8 与 TRPA1 路径稳健，对完全性神经传导阻断仅在中度稀释假设下稳健。〔推导〕</w:t>
      </w:r>
    </w:p>
    <w:p>
      <w:pPr>
        <w:spacing w:after="120" w:before="0" w:line="348" w:lineRule="auto"/>
        <w:ind w:firstLine="420"/>
      </w:pPr>
      <w:r>
        <w:rPr>
          <w:rFonts w:ascii="Times New Roman" w:hAnsi="Times New Roman" w:eastAsia="宋体"/>
          <w:b w:val="0"/>
          <w:color w:val="1A1A1A"/>
          <w:sz w:val="21"/>
        </w:rPr>
        <w:t>该角度说明：</w:t>
      </w:r>
      <w:r>
        <w:rPr>
          <w:rFonts w:ascii="Times New Roman" w:hAnsi="Times New Roman" w:eastAsia="宋体"/>
          <w:b/>
          <w:color w:val="1A1A1A"/>
          <w:sz w:val="21"/>
        </w:rPr>
        <w:t>舌麻不是难以解释的异常现象，而是局部剂量的可预期药理学结果</w:t>
      </w:r>
      <w:r>
        <w:rPr>
          <w:rFonts w:ascii="Times New Roman" w:hAnsi="Times New Roman" w:eastAsia="宋体"/>
          <w:b w:val="0"/>
          <w:color w:val="1A1A1A"/>
          <w:sz w:val="21"/>
        </w:rPr>
        <w:t>。但它同时揭示一个关键推论——舌麻由"含服时舌下局部暴露量"决定，而疗效由"吸收后的全身暴露与心血管效应"决定，两者由不同的过程支配（详见角度四与第 6 节）。</w:t>
      </w:r>
    </w:p>
    <w:p>
      <w:pPr>
        <w:spacing w:after="100" w:before="240" w:line="300" w:lineRule="auto"/>
      </w:pPr>
      <w:r>
        <w:rPr>
          <w:rFonts w:ascii="Times New Roman" w:hAnsi="Times New Roman" w:eastAsia="黑体"/>
          <w:b/>
          <w:color w:val="1A1A1A"/>
          <w:sz w:val="23"/>
        </w:rPr>
        <w:t>角度四：类比——硝酸甘油含服反应与毒性中药"麻舌感"传统</w:t>
      </w:r>
    </w:p>
    <w:p>
      <w:pPr>
        <w:spacing w:after="120" w:before="0" w:line="348" w:lineRule="auto"/>
      </w:pPr>
      <w:r>
        <w:rPr>
          <w:rFonts w:ascii="Times New Roman" w:hAnsi="Times New Roman" w:eastAsia="宋体"/>
          <w:b/>
          <w:color w:val="1A1A1A"/>
          <w:sz w:val="21"/>
        </w:rPr>
        <w:t>类比他药（硝酸甘油）的含服反应与诊断效用</w:t>
      </w:r>
      <w:r>
        <w:rPr>
          <w:rFonts w:ascii="Times New Roman" w:hAnsi="Times New Roman" w:eastAsia="宋体"/>
          <w:b w:val="0"/>
          <w:color w:val="1A1A1A"/>
          <w:sz w:val="21"/>
        </w:rPr>
        <w:t>：现行胸痛指南明确指出，硝酸甘油含服后胸痛缓解不能区分心源性疼痛与非心源性疼痛（其他病因如食管痉挛亦可被硝酸甘油缓解）。</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即：即使对硝酸甘油这类含服后有明显局部反应（烧灼/麻木感）且确实有效的药物，含服反应也不能作为判别疾病病因的依据。这一类比直接支持命题 C 的反面：舌下含服后的局部反应（含舌麻）不能作为区分心源性/非心源性疼痛或判断药效的依据。可迁移性受限于：硝酸甘油含服反应为血管效应介导，龙脑舌麻为 TRP/神经效应介导，机制不同，但"缓解与否不区分病因"的结论不依赖具体机制。</w:t>
      </w:r>
    </w:p>
    <w:p>
      <w:pPr>
        <w:spacing w:after="120" w:before="0" w:line="348" w:lineRule="auto"/>
      </w:pPr>
      <w:r>
        <w:rPr>
          <w:rFonts w:ascii="Times New Roman" w:hAnsi="Times New Roman" w:eastAsia="宋体"/>
          <w:b/>
          <w:color w:val="1A1A1A"/>
          <w:sz w:val="21"/>
        </w:rPr>
        <w:t>毒性中药的"麻舌感"传统（检索所见背景，未纳入正式引证）</w:t>
      </w:r>
      <w:r>
        <w:rPr>
          <w:rFonts w:ascii="Times New Roman" w:hAnsi="Times New Roman" w:eastAsia="宋体"/>
          <w:b w:val="0"/>
          <w:color w:val="1A1A1A"/>
          <w:sz w:val="21"/>
        </w:rPr>
        <w:t>：中文索引中检索到以"麻舌感"作为草乌、半夏炮制质量/毒性指标的传统记载与现代评价研究（如电子舌量化麻舌感与双酯型生物碱含量相关、半夏"微有麻舌感"作为炮制火候判据）。值得注意的是，该传统把麻舌感当作</w:t>
      </w:r>
      <w:r>
        <w:rPr>
          <w:rFonts w:ascii="Times New Roman" w:hAnsi="Times New Roman" w:eastAsia="宋体"/>
          <w:b/>
          <w:color w:val="1A1A1A"/>
          <w:sz w:val="21"/>
        </w:rPr>
        <w:t>毒性/刺激性物质含量</w:t>
      </w:r>
      <w:r>
        <w:rPr>
          <w:rFonts w:ascii="Times New Roman" w:hAnsi="Times New Roman" w:eastAsia="宋体"/>
          <w:b w:val="0"/>
          <w:color w:val="1A1A1A"/>
          <w:sz w:val="21"/>
        </w:rPr>
        <w:t>的指标，用于毒药炮制终点的判断，而非治疗性疗效的指标。这提示民间"感觉强烈=作用强"的直觉在中药学内部也仅用于毒性评价语境，不能迁移为心绞痛疗效判断。</w:t>
      </w:r>
    </w:p>
    <w:p>
      <w:pPr>
        <w:spacing w:after="100" w:before="240" w:line="300" w:lineRule="auto"/>
      </w:pPr>
      <w:r>
        <w:rPr>
          <w:rFonts w:ascii="Times New Roman" w:hAnsi="Times New Roman" w:eastAsia="黑体"/>
          <w:b/>
          <w:color w:val="1A1A1A"/>
          <w:sz w:val="23"/>
        </w:rPr>
        <w:t>角度五：相邻人群外推——药物性口舌麻木的不良反应分类</w:t>
      </w:r>
    </w:p>
    <w:p>
      <w:pPr>
        <w:spacing w:after="120" w:before="0" w:line="348" w:lineRule="auto"/>
        <w:ind w:firstLine="420"/>
      </w:pPr>
      <w:r>
        <w:rPr>
          <w:rFonts w:ascii="Times New Roman" w:hAnsi="Times New Roman" w:eastAsia="宋体"/>
          <w:b w:val="0"/>
          <w:color w:val="1A1A1A"/>
          <w:sz w:val="21"/>
        </w:rPr>
        <w:t>命题 D 需要"何时是正常现象、何时是不良反应"的界定框架。药物引起的口舌麻木在不良反应分类学上有明确位置：</w:t>
      </w:r>
    </w:p>
    <w:p>
      <w:pPr>
        <w:spacing w:after="60" w:before="0" w:line="336" w:lineRule="auto"/>
        <w:ind w:left="340"/>
      </w:pPr>
      <w:r>
        <w:rPr>
          <w:rFonts w:ascii="Times New Roman" w:hAnsi="Times New Roman" w:eastAsia="宋体"/>
          <w:b w:val="0"/>
          <w:color w:val="1A1A1A"/>
          <w:sz w:val="21"/>
        </w:rPr>
        <w:t>· 个案证据显示，药物相关口舌麻木可为</w:t>
      </w:r>
      <w:r>
        <w:rPr>
          <w:rFonts w:ascii="Times New Roman" w:hAnsi="Times New Roman" w:eastAsia="宋体"/>
          <w:b/>
          <w:color w:val="1A1A1A"/>
          <w:sz w:val="21"/>
        </w:rPr>
        <w:t>严重超敏反应的组成症状</w:t>
      </w:r>
      <w:r>
        <w:rPr>
          <w:rFonts w:ascii="Times New Roman" w:hAnsi="Times New Roman" w:eastAsia="宋体"/>
          <w:b w:val="0"/>
          <w:color w:val="1A1A1A"/>
          <w:sz w:val="21"/>
        </w:rPr>
        <w:t>：哌拉西林/他唑巴坦静脉给药约 4 分钟后出现口舌麻木、呼吸困难与瘙痒，被判定为 I 型超敏反应并紧急处理。</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中文索引中另有华法林致舌麻、头晕、腹痛的个案记载（检索所见，未获得开放获取全文）。</w:t>
      </w:r>
    </w:p>
    <w:p>
      <w:pPr>
        <w:spacing w:after="60" w:before="0" w:line="336" w:lineRule="auto"/>
        <w:ind w:left="340"/>
      </w:pPr>
      <w:r>
        <w:rPr>
          <w:rFonts w:ascii="Times New Roman" w:hAnsi="Times New Roman" w:eastAsia="宋体"/>
          <w:b w:val="0"/>
          <w:color w:val="1A1A1A"/>
          <w:sz w:val="21"/>
        </w:rPr>
        <w:t>· 口舌麻木伴呼吸困难、瘙痒、皮疹、肿胀等症状时，其定位从"局部药理效应"转为"过敏征兆"，需要紧急处置。</w:t>
      </w:r>
    </w:p>
    <w:p>
      <w:pPr>
        <w:spacing w:after="120" w:before="0" w:line="348" w:lineRule="auto"/>
        <w:ind w:firstLine="420"/>
      </w:pPr>
      <w:r>
        <w:rPr>
          <w:rFonts w:ascii="Times New Roman" w:hAnsi="Times New Roman" w:eastAsia="宋体"/>
          <w:b w:val="0"/>
          <w:color w:val="1A1A1A"/>
          <w:sz w:val="21"/>
        </w:rPr>
        <w:t>外推逻辑：速效救心丸舌麻若为龙脑局部效应，应具有"短暂、可复、局限于含服部位、不伴全身症状"的特征；若出现"进行性加重、超出舌部、伴呼吸困难/瘙痒/皮疹/肿胀"等表现，则应按过敏反应处理。该判别框架的外推方向需注明：龙脑的 TRP 效应与免疫性超敏反应机制不同，个案证据来自其他药物。</w:t>
      </w:r>
    </w:p>
    <w:p>
      <w:pPr>
        <w:spacing w:after="100" w:before="240" w:line="300" w:lineRule="auto"/>
      </w:pPr>
      <w:r>
        <w:rPr>
          <w:rFonts w:ascii="Times New Roman" w:hAnsi="Times New Roman" w:eastAsia="黑体"/>
          <w:b/>
          <w:color w:val="1A1A1A"/>
          <w:sz w:val="23"/>
        </w:rPr>
        <w:t>角度六：反向证据——RCT 与系统评价的不良反应记录</w:t>
      </w:r>
    </w:p>
    <w:p>
      <w:pPr>
        <w:spacing w:after="120" w:before="0" w:line="348" w:lineRule="auto"/>
        <w:ind w:firstLine="420"/>
      </w:pPr>
      <w:r>
        <w:rPr>
          <w:rFonts w:ascii="Times New Roman" w:hAnsi="Times New Roman" w:eastAsia="宋体"/>
          <w:b w:val="0"/>
          <w:color w:val="1A1A1A"/>
          <w:sz w:val="21"/>
        </w:rPr>
        <w:t>如果"速效救心丸舌麻是常见且严重的事件"，在现有临床研究中应有报告痕迹；反向检查结果如下：</w:t>
      </w:r>
    </w:p>
    <w:p>
      <w:pPr>
        <w:spacing w:after="60" w:before="0" w:line="336" w:lineRule="auto"/>
        <w:ind w:left="340"/>
      </w:pPr>
      <w:r>
        <w:rPr>
          <w:rFonts w:ascii="Times New Roman" w:hAnsi="Times New Roman" w:eastAsia="宋体"/>
          <w:b w:val="0"/>
          <w:color w:val="1A1A1A"/>
          <w:sz w:val="21"/>
        </w:rPr>
        <w:t>· 2024 年多中心随机双盲安慰剂对照试验（174 例慢性冠脉综合征患者，舌下含服 4 周，每周电话随访主动询问不良事件）</w:t>
      </w:r>
      <w:r>
        <w:rPr>
          <w:rFonts w:ascii="Times New Roman" w:hAnsi="Times New Roman" w:eastAsia="宋体"/>
          <w:b/>
          <w:color w:val="1A1A1A"/>
          <w:sz w:val="21"/>
        </w:rPr>
        <w:t>未报告任何不良事件</w:t>
      </w:r>
      <w:r>
        <w:rPr>
          <w:rFonts w:ascii="Times New Roman" w:hAnsi="Times New Roman" w:eastAsia="宋体"/>
          <w:b w:val="0"/>
          <w:color w:val="1A1A1A"/>
          <w:sz w:val="21"/>
        </w:rPr>
        <w:t>，包括舌部感觉异常。</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 2018 年系统评价/Meta 分析（41 项 RCT、6276 例）汇总的不良反应以轻度头痛、头晕、面部潮红为主，试验组与对照组不良反应率无显著差异（RR 1.12，95%CI 0.50 至 2.51，P=0.785），未报告舌麻等局部感觉症状。</w:t>
      </w:r>
      <w:r>
        <w:rPr>
          <w:rFonts w:ascii="Times New Roman" w:hAnsi="Times New Roman" w:eastAsia="宋体"/>
          <w:b w:val="0"/>
          <w:color w:val="1A1A1A"/>
          <w:sz w:val="21"/>
          <w:vertAlign w:val="superscript"/>
        </w:rPr>
        <w:t>[5]</w:t>
      </w:r>
    </w:p>
    <w:p>
      <w:pPr>
        <w:spacing w:after="120" w:before="0" w:line="348" w:lineRule="auto"/>
        <w:ind w:firstLine="420"/>
      </w:pPr>
      <w:r>
        <w:rPr>
          <w:rFonts w:ascii="Times New Roman" w:hAnsi="Times New Roman" w:eastAsia="宋体"/>
          <w:b w:val="0"/>
          <w:color w:val="1A1A1A"/>
          <w:sz w:val="21"/>
        </w:rPr>
        <w:t>该角度的边界必须明确：</w:t>
      </w:r>
      <w:r>
        <w:rPr>
          <w:rFonts w:ascii="Times New Roman" w:hAnsi="Times New Roman" w:eastAsia="宋体"/>
          <w:b/>
          <w:color w:val="1A1A1A"/>
          <w:sz w:val="21"/>
        </w:rPr>
        <w:t>未报告≠不发生</w:t>
      </w:r>
      <w:r>
        <w:rPr>
          <w:rFonts w:ascii="Times New Roman" w:hAnsi="Times New Roman" w:eastAsia="宋体"/>
          <w:b w:val="0"/>
          <w:color w:val="1A1A1A"/>
          <w:sz w:val="21"/>
        </w:rPr>
        <w:t>。不良事件的捕获依赖主动询问与患者报告意愿；短暂、轻微的舌麻若未被询问或未被患者视为"不良事件"，就不会进入记录。反向证据只能把舌麻的定位约束为"在已发表研究中未见报告的、可能是轻微短暂的事件"，不能证明其不存在或无害。该证据也不能用来否定"舌麻可发生"的机制推断——两者并不冲突（见第 5 节）。</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pPr>
      <w:r>
        <w:rPr>
          <w:rFonts w:ascii="Times New Roman" w:hAnsi="Times New Roman" w:eastAsia="宋体"/>
          <w:b/>
          <w:color w:val="1A1A1A"/>
          <w:sz w:val="21"/>
        </w:rPr>
        <w:t>一致点（有信息量的互证）</w:t>
      </w:r>
      <w:r>
        <w:rPr>
          <w:rFonts w:ascii="Times New Roman" w:hAnsi="Times New Roman" w:eastAsia="宋体"/>
          <w:b w:val="0"/>
          <w:color w:val="1A1A1A"/>
          <w:sz w:val="21"/>
        </w:rPr>
        <w:t>：三条独立机制路径（TRPM8 激动、TRPA1 抑制、不依赖 TRP 的神经传导阻断）与"局部浓度可达有效水平"的定量界定（角度三）在方向上完全一致——都指向舌麻是龙脑在含服部位的局部药理效应。这一互证本身是有信息量的：三条机制证据线彼此独立（不同通道、不同实验体系、不同物种），却一致支持龙脑在舌下含服可达到的局部浓度下可引起清凉/麻木样感觉，故舌麻在机制上可解释。</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且该一致性同时提示"实验系统假阳性"的可能性降低。</w:t>
      </w:r>
    </w:p>
    <w:p>
      <w:pPr>
        <w:spacing w:after="120" w:before="0" w:line="348" w:lineRule="auto"/>
      </w:pPr>
      <w:r>
        <w:rPr>
          <w:rFonts w:ascii="Times New Roman" w:hAnsi="Times New Roman" w:eastAsia="宋体"/>
          <w:b/>
          <w:color w:val="1A1A1A"/>
          <w:sz w:val="21"/>
        </w:rPr>
        <w:t>文献分歧</w:t>
      </w:r>
      <w:r>
        <w:rPr>
          <w:rFonts w:ascii="Times New Roman" w:hAnsi="Times New Roman" w:eastAsia="宋体"/>
          <w:b w:val="0"/>
          <w:color w:val="1A1A1A"/>
          <w:sz w:val="21"/>
        </w:rPr>
        <w:t>：早期文献将龙脑归为 TRPV3 激动剂，个别记录将龙脑描述为 TRPA1 调节剂，与 TRPM8/TRPA1 主路径存在措辞分歧。裁决依据为：本报告引用的 hTRPA1 实验明确显示龙脑</w:t>
      </w:r>
      <w:r>
        <w:rPr>
          <w:rFonts w:ascii="Times New Roman" w:hAnsi="Times New Roman" w:eastAsia="宋体"/>
          <w:b/>
          <w:color w:val="1A1A1A"/>
          <w:sz w:val="21"/>
        </w:rPr>
        <w:t>抑制</w:t>
      </w:r>
      <w:r>
        <w:rPr>
          <w:rFonts w:ascii="Times New Roman" w:hAnsi="Times New Roman" w:eastAsia="宋体"/>
          <w:b w:val="0"/>
          <w:color w:val="1A1A1A"/>
          <w:sz w:val="21"/>
        </w:rPr>
        <w:t>而非激活人 TRPA1，半数抑制浓度 IC50 = 0.20 mmol/L，效力高于樟脑与 1,8-桉叶油素</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；TRPV3 描述未获得开放获取全文，列为未解析记录，且 TRPV3 与 TRPM8/TRPA1 并存于口腔感觉神经，不构成对主结论的否定。</w:t>
      </w:r>
    </w:p>
    <w:p>
      <w:pPr>
        <w:spacing w:after="120" w:before="0" w:line="348" w:lineRule="auto"/>
      </w:pPr>
      <w:r>
        <w:rPr>
          <w:rFonts w:ascii="Times New Roman" w:hAnsi="Times New Roman" w:eastAsia="宋体"/>
          <w:b/>
          <w:color w:val="1A1A1A"/>
          <w:sz w:val="21"/>
        </w:rPr>
        <w:t>反向证据与机制推断的协调</w:t>
      </w:r>
      <w:r>
        <w:rPr>
          <w:rFonts w:ascii="Times New Roman" w:hAnsi="Times New Roman" w:eastAsia="宋体"/>
          <w:b w:val="0"/>
          <w:color w:val="1A1A1A"/>
          <w:sz w:val="21"/>
        </w:rPr>
        <w:t>：RCT 未报告舌麻（角度六）与"舌麻机制上可预期"（角度二、三）看似冲突，实则互补——前者说明该事件在标准不良事件询问下未被捕获（可能因轻微、短暂、未被询问或未被报告），后者说明该事件在药理上可以发生。二者共同支持"舌麻是轻微局部效应"的定位，而</w:t>
      </w:r>
      <w:r>
        <w:rPr>
          <w:rFonts w:ascii="Times New Roman" w:hAnsi="Times New Roman" w:eastAsia="宋体"/>
          <w:b/>
          <w:color w:val="1A1A1A"/>
          <w:sz w:val="21"/>
        </w:rPr>
        <w:t>都不支持</w:t>
      </w:r>
      <w:r>
        <w:rPr>
          <w:rFonts w:ascii="Times New Roman" w:hAnsi="Times New Roman" w:eastAsia="宋体"/>
          <w:b w:val="0"/>
          <w:color w:val="1A1A1A"/>
          <w:sz w:val="21"/>
        </w:rPr>
        <w:t>"舌麻是疗效指标"的命题。</w:t>
      </w:r>
    </w:p>
    <w:p>
      <w:pPr>
        <w:spacing w:after="120" w:before="0" w:line="348" w:lineRule="auto"/>
      </w:pPr>
      <w:r>
        <w:rPr>
          <w:rFonts w:ascii="Times New Roman" w:hAnsi="Times New Roman" w:eastAsia="宋体"/>
          <w:b/>
          <w:color w:val="1A1A1A"/>
          <w:sz w:val="21"/>
        </w:rPr>
        <w:t>冲突裁决结论</w:t>
      </w:r>
      <w:r>
        <w:rPr>
          <w:rFonts w:ascii="Times New Roman" w:hAnsi="Times New Roman" w:eastAsia="宋体"/>
          <w:b w:val="0"/>
          <w:color w:val="1A1A1A"/>
          <w:sz w:val="21"/>
        </w:rPr>
        <w:t>：三角度互证确立"机制上可解释"，反向证据约束其临床严重度，类比证据否定其指标价值。命题 A 的答案确定为"机制上可解释（层级一）"，命题 C 的答案确定为"无相关性证据支持、且与指南立场冲突"。</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本节将上文角度推进为三条明确的推导结论，全部标注〔推导〕。</w:t>
      </w:r>
    </w:p>
    <w:p>
      <w:pPr>
        <w:spacing w:after="120" w:before="0" w:line="348" w:lineRule="auto"/>
      </w:pPr>
      <w:r>
        <w:rPr>
          <w:rFonts w:ascii="Times New Roman" w:hAnsi="Times New Roman" w:eastAsia="宋体"/>
          <w:b/>
          <w:color w:val="1A1A1A"/>
          <w:sz w:val="21"/>
        </w:rPr>
        <w:t>推导一：舌麻是局部剂量的可预期药理学结果〔推导〕</w:t>
      </w:r>
      <w:r>
        <w:rPr>
          <w:rFonts w:ascii="Times New Roman" w:hAnsi="Times New Roman" w:eastAsia="宋体"/>
          <w:b w:val="0"/>
          <w:color w:val="1A1A1A"/>
          <w:sz w:val="21"/>
        </w:rPr>
        <w:t xml:space="preserve"> 。输入：每粒冰片 2.9 mg 至 4.4 mg（CLM-005）、单次 5 粒舌下含服（CLM-006）、龙脑 TRPM8/TRPA1/神经传导有效浓度（CLM-001/003/004）。方法：单次含服冰片量 14.5–22 mg；按 154.25 g/mol 换算，溶入 1–2 mL 唾液得约 47–140 mmol/L 的估算局部浓度；与有效浓度（10 μmol/L–2 mmol/L、0.20 mmol/L、1.5–2.3 mmol/L）比较，超出约 1–3 个数量级。假设：静息舌下唾液量 1–2 mL；冰片在含服时间窗内基本溶出。敏感性：10% 溶出+5 mL 唾液时降至约 3 mmol/L，仍高于 TRPA1 IC50 约 14 倍、处于 TRPM8 激活上限附近、低于神经传导 IC50；完全溶出+1 mL 唾液时为 140 mmol/L 量级。该推导对 TRPM8/TRPA1 路径稳健，对完全性神经阻断在中度稀释假设下不稳健。〔推导〕</w:t>
      </w:r>
    </w:p>
    <w:p>
      <w:pPr>
        <w:spacing w:after="120" w:before="0" w:line="348" w:lineRule="auto"/>
      </w:pPr>
      <w:r>
        <w:rPr>
          <w:rFonts w:ascii="Times New Roman" w:hAnsi="Times New Roman" w:eastAsia="宋体"/>
          <w:b/>
          <w:color w:val="1A1A1A"/>
          <w:sz w:val="21"/>
        </w:rPr>
        <w:t>推导二："舌麻说明药起效了"不成立〔推导〕</w:t>
      </w:r>
      <w:r>
        <w:rPr>
          <w:rFonts w:ascii="Times New Roman" w:hAnsi="Times New Roman" w:eastAsia="宋体"/>
          <w:b w:val="0"/>
          <w:color w:val="1A1A1A"/>
          <w:sz w:val="21"/>
        </w:rPr>
        <w:t xml:space="preserve"> 。输入：舌麻由龙脑局部 TRP/神经效应决定（CLM-001/003/004）；疗效由全身性血管/内皮效应决定并以心绞痛临床终点评价（CLM-007）；试验人群未报告舌麻（CLM-006）；指南不将含服反应作为诊断因素（CLM-009）。方法：将命题拆为三环节——(i) 机制环节（成立，见推导一）、(ii) 疗效环节（以 SAQ 等终点衡量，成立）、(iii) 相关性环节（感觉↔吸收/疗效），检索范围内无任何研究建立 (iii)；由于 (iii) 是"舌麻→起效"的唯一逻辑桥梁，(i) 与 (ii) 的分立说明舌麻最多是龙脑局部效应的指标，不能外推为疗效指标。假设：疗效终点确为临床获益的合理代理（有 RCT 支持）；检索覆盖相关数据库。敏感性：若未来研究证明舌麻强度与血浆龙脑浓度或心绞痛缓解时间强相关，本结论需修订；在现有证据下不成立。〔推导〕</w:t>
      </w:r>
    </w:p>
    <w:p>
      <w:pPr>
        <w:spacing w:after="120" w:before="0" w:line="348" w:lineRule="auto"/>
      </w:pPr>
      <w:r>
        <w:rPr>
          <w:rFonts w:ascii="Times New Roman" w:hAnsi="Times New Roman" w:eastAsia="宋体"/>
          <w:b/>
          <w:color w:val="1A1A1A"/>
          <w:sz w:val="21"/>
        </w:rPr>
        <w:t>推导三：以舌麻作为就医决策规则存在延误风险〔推导〕</w:t>
      </w:r>
      <w:r>
        <w:rPr>
          <w:rFonts w:ascii="Times New Roman" w:hAnsi="Times New Roman" w:eastAsia="宋体"/>
          <w:b w:val="0"/>
          <w:color w:val="1A1A1A"/>
          <w:sz w:val="21"/>
        </w:rPr>
        <w:t xml:space="preserve"> 。输入：指南不认可含服反应的诊断价值（CLM-009）；突发胸痛不缓解须立即呼叫急救（CLM-011）。方法：若患者采用"舌麻=起效"的决策规则，则在胸痛持续时可能得出"药已起效、无需就医"的结论，与急救触发条件（胸痛不缓解→呼叫急救）直接相反；含服反应与诊断无关的指南立场使该规则失去任何证据依托。假设：民间确实存在以含服反应判断病情的做法（本报告题面所反映的流传说法）；以"延误评估"为最坏情形作保守分析。敏感性：若同时存在其他就医触发因素（如家属督促、症状加重），风险降低；若无，风险为患者自主决定延迟评估的全部风险。〔推导〕</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本报告论证的整体结论可概括为三句话：</w:t>
      </w:r>
      <w:r>
        <w:rPr>
          <w:rFonts w:ascii="Times New Roman" w:hAnsi="Times New Roman" w:eastAsia="宋体"/>
          <w:b/>
          <w:color w:val="1A1A1A"/>
          <w:sz w:val="21"/>
        </w:rPr>
        <w:t>舌麻是机制上可解释的局部药理效应；没有任何已发表证据支持其与吸收或疗效的相关性；"舌麻说明药起效了"因此不成立，且将主观局部感受用作药效指标或就医决策依据存在延误急性冠脉综合征评估的实际风险。</w:t>
      </w:r>
    </w:p>
    <w:p>
      <w:pPr>
        <w:spacing w:after="120" w:before="0" w:line="348" w:lineRule="auto"/>
        <w:ind w:firstLine="420"/>
      </w:pPr>
      <w:r>
        <w:rPr>
          <w:rFonts w:ascii="Times New Roman" w:hAnsi="Times New Roman" w:eastAsia="宋体"/>
          <w:b w:val="0"/>
          <w:color w:val="1A1A1A"/>
          <w:sz w:val="21"/>
        </w:rPr>
        <w:t>论证的支撑结构：直接证据角度确立了核心事实（证据空缺），机制与定量角度把空缺推进为"机制上可解释"（这是证据所能承载的最大强度），类比角度从指南立场否定了含服反应的病因判别价值，反向角度约束了事件的临床严重度，三角互证确认各角度不冲突。需要特别区分两类对象：</w:t>
      </w:r>
      <w:r>
        <w:rPr>
          <w:rFonts w:ascii="Times New Roman" w:hAnsi="Times New Roman" w:eastAsia="宋体"/>
          <w:b/>
          <w:color w:val="1A1A1A"/>
          <w:sz w:val="21"/>
        </w:rPr>
        <w:t>急性未分化胸痛</w:t>
      </w:r>
      <w:r>
        <w:rPr>
          <w:rFonts w:ascii="Times New Roman" w:hAnsi="Times New Roman" w:eastAsia="宋体"/>
          <w:b w:val="0"/>
          <w:color w:val="1A1A1A"/>
          <w:sz w:val="21"/>
        </w:rPr>
        <w:t>（舌下含服药物后胸痛缓解不能区分心源性疼痛与非心源性疼痛；突发胸痛不缓解时，含服速效救心丸不应延误急救评估；急性胸痛评估依赖结构化流程——疑似 ACS 患者应接受基于证据的临床决策路径指导，该路径纳入测定法特异的高敏肌钙蛋白结果进行风险分层</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）与</w:t>
      </w:r>
      <w:r>
        <w:rPr>
          <w:rFonts w:ascii="Times New Roman" w:hAnsi="Times New Roman" w:eastAsia="宋体"/>
          <w:b/>
          <w:color w:val="1A1A1A"/>
          <w:sz w:val="21"/>
        </w:rPr>
        <w:t>已诊断的慢性稳定型心绞痛</w:t>
      </w:r>
      <w:r>
        <w:rPr>
          <w:rFonts w:ascii="Times New Roman" w:hAnsi="Times New Roman" w:eastAsia="宋体"/>
          <w:b w:val="0"/>
          <w:color w:val="1A1A1A"/>
          <w:sz w:val="21"/>
        </w:rPr>
        <w:t>（速效救心丸作为辅助治疗的疗效证据来自以 SAQ、心绞痛发作频率、心电图等终点衡量的 RCT 与系统评价</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）；本报告没有任何一处将前者建立于后者之上。同样需要区分</w:t>
      </w:r>
      <w:r>
        <w:rPr>
          <w:rFonts w:ascii="Times New Roman" w:hAnsi="Times New Roman" w:eastAsia="宋体"/>
          <w:b/>
          <w:color w:val="1A1A1A"/>
          <w:sz w:val="21"/>
        </w:rPr>
        <w:t>实测证据</w:t>
      </w:r>
      <w:r>
        <w:rPr>
          <w:rFonts w:ascii="Times New Roman" w:hAnsi="Times New Roman" w:eastAsia="宋体"/>
          <w:b w:val="0"/>
          <w:color w:val="1A1A1A"/>
          <w:sz w:val="21"/>
        </w:rPr>
        <w:t>（机制实验、临床试验安全数据、指南）与</w:t>
      </w:r>
      <w:r>
        <w:rPr>
          <w:rFonts w:ascii="Times New Roman" w:hAnsi="Times New Roman" w:eastAsia="宋体"/>
          <w:b/>
          <w:color w:val="1A1A1A"/>
          <w:sz w:val="21"/>
        </w:rPr>
        <w:t>推导推理</w:t>
      </w:r>
      <w:r>
        <w:rPr>
          <w:rFonts w:ascii="Times New Roman" w:hAnsi="Times New Roman" w:eastAsia="宋体"/>
          <w:b w:val="0"/>
          <w:color w:val="1A1A1A"/>
          <w:sz w:val="21"/>
        </w:rPr>
        <w:t>（推导一至三）：前者决定了舌麻"是什么"，后者决定了舌麻"不是什么指标"。</w:t>
      </w:r>
    </w:p>
    <w:p>
      <w:pPr>
        <w:spacing w:after="120" w:before="0" w:line="348" w:lineRule="auto"/>
        <w:ind w:firstLine="420"/>
      </w:pPr>
      <w:r>
        <w:rPr>
          <w:rFonts w:ascii="Times New Roman" w:hAnsi="Times New Roman" w:eastAsia="宋体"/>
          <w:b w:val="0"/>
          <w:color w:val="1A1A1A"/>
          <w:sz w:val="21"/>
        </w:rPr>
        <w:t>命题 D 的回答依据不良反应分类学与现有记载：短暂、可复、局限于舌部的麻木/清凉感与龙脑局部药理效应相符；进行性加重、超出舌部、伴呼吸困难/瘙痒/皮疹/肿胀等过敏样表现时属不良反应/过敏征兆，应按过敏反应处理。</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说明书层面，NMPA 说明书索引候选件不良反应项未载舌麻，但该候选件未经官方现行版本核验，且"未载明"不等于"不存在"——说明书不良反应项基于监测数据，舌麻这类轻微局部反应可能从未被上报。</w:t>
      </w:r>
    </w:p>
    <w:p>
      <w:pPr>
        <w:spacing w:after="120" w:before="0" w:line="348" w:lineRule="auto"/>
      </w:pPr>
      <w:r>
        <w:rPr>
          <w:rFonts w:ascii="Times New Roman" w:hAnsi="Times New Roman" w:eastAsia="宋体"/>
          <w:b/>
          <w:color w:val="1A1A1A"/>
          <w:sz w:val="21"/>
        </w:rPr>
        <w:t>什么证据能够终结这一问题</w:t>
      </w:r>
      <w:r>
        <w:rPr>
          <w:rFonts w:ascii="Times New Roman" w:hAnsi="Times New Roman" w:eastAsia="宋体"/>
          <w:b w:val="0"/>
          <w:color w:val="1A1A1A"/>
          <w:sz w:val="21"/>
        </w:rPr>
        <w:t>：其一是前瞻性药代-药效研究，在舌下含服速效救心丸的健康受试者或心绞痛患者中同时测量舌麻/清凉感的主观强度、血浆龙脑（及冰片相关成分）浓度-时间曲线与心绞痛缓解时间，直接检验感觉-吸收-疗效三元相关性；其二是速效救心丸 RCT 中以标准化不良事件询问表显式询问舌部/口腔局部感觉，以得到发生率估计；其三是国家药品不良反应监测数据库或上市后安全性研究的舌麻报告检索。三者中前者是唯一能直接判定命题 B/C 的设计。</w:t>
      </w:r>
    </w:p>
    <w:p>
      <w:pPr>
        <w:spacing w:after="100" w:before="240" w:line="300" w:lineRule="auto"/>
      </w:pPr>
      <w:r>
        <w:rPr>
          <w:rFonts w:ascii="Times New Roman" w:hAnsi="Times New Roman" w:eastAsia="黑体"/>
          <w:b/>
          <w:color w:val="1A1A1A"/>
          <w:sz w:val="25"/>
        </w:rPr>
        <w:t>证据局限</w:t>
      </w:r>
    </w:p>
    <w:p>
      <w:pPr>
        <w:spacing w:after="120" w:before="0" w:line="348" w:lineRule="auto"/>
        <w:ind w:firstLine="420"/>
      </w:pPr>
      <w:r>
        <w:rPr>
          <w:rFonts w:ascii="Times New Roman" w:hAnsi="Times New Roman" w:eastAsia="宋体"/>
          <w:b w:val="0"/>
          <w:color w:val="1A1A1A"/>
          <w:sz w:val="21"/>
        </w:rPr>
        <w:t>以下局限实质性影响解释，而非清单式罗列：</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间接性（最大局限）</w:t>
      </w:r>
      <w:r>
        <w:rPr>
          <w:rFonts w:ascii="Times New Roman" w:hAnsi="Times New Roman" w:eastAsia="宋体"/>
          <w:b w:val="0"/>
          <w:color w:val="1A1A1A"/>
          <w:sz w:val="21"/>
        </w:rPr>
        <w:t>：机制证据全部来自细胞与动物实验（HEK 细胞、豚鼠眼表、蛙坐骨神经、小鼠/大鼠），向人体舌部感觉外推存在物种与组织差异；"口腔舌部感觉神经表达 TRPM8/TRPA1"依赖相邻领域知识外推，未获得人舌 TRP 表达的开放获取全文。因此"机制上可解释"的确定性为中等，且</w:t>
      </w:r>
      <w:r>
        <w:rPr>
          <w:rFonts w:ascii="Times New Roman" w:hAnsi="Times New Roman" w:eastAsia="宋体"/>
          <w:b/>
          <w:color w:val="1A1A1A"/>
          <w:sz w:val="21"/>
        </w:rPr>
        <w:t>不能</w:t>
      </w:r>
      <w:r>
        <w:rPr>
          <w:rFonts w:ascii="Times New Roman" w:hAnsi="Times New Roman" w:eastAsia="宋体"/>
          <w:b w:val="0"/>
          <w:color w:val="1A1A1A"/>
          <w:sz w:val="21"/>
        </w:rPr>
        <w:t>升级为"临床证据"。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证据形态与偏倚</w:t>
      </w:r>
      <w:r>
        <w:rPr>
          <w:rFonts w:ascii="Times New Roman" w:hAnsi="Times New Roman" w:eastAsia="宋体"/>
          <w:b w:val="0"/>
          <w:color w:val="1A1A1A"/>
          <w:sz w:val="21"/>
        </w:rPr>
        <w:t>：未检索到直接临床研究，属证据空缺而非阴性结论；反向证据（RCT/meta 未报告舌麻）受不良事件询问方式与报告偏倚限制，只能约束严重度、不能证明不发生。中文文献检索所见的多为摘要级记录与专家意见类文章，无开放获取全文支撑，未纳入正式引证。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监管核验缺口</w:t>
      </w:r>
      <w:r>
        <w:rPr>
          <w:rFonts w:ascii="Times New Roman" w:hAnsi="Times New Roman" w:eastAsia="宋体"/>
          <w:b w:val="0"/>
          <w:color w:val="1A1A1A"/>
          <w:sz w:val="21"/>
        </w:rPr>
        <w:t>：速效救心丸说明书现行版本未能经官方通道核验（索引候选件内容与 2011 年后公开文献记载一致，但修订状态不可核验）；"不良反应项未载舌麻"仅基于索引候选件。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发表与语言偏倚</w:t>
      </w:r>
      <w:r>
        <w:rPr>
          <w:rFonts w:ascii="Times New Roman" w:hAnsi="Times New Roman" w:eastAsia="宋体"/>
          <w:b w:val="0"/>
          <w:color w:val="1A1A1A"/>
          <w:sz w:val="21"/>
        </w:rPr>
        <w:t>：检索以中英文为主，其他语种文献未覆盖；舌麻作为非标准不良事件条目，漏报与漏发表的可能性高。</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人群可迁移性</w:t>
      </w:r>
      <w:r>
        <w:rPr>
          <w:rFonts w:ascii="Times New Roman" w:hAnsi="Times New Roman" w:eastAsia="宋体"/>
          <w:b w:val="0"/>
          <w:color w:val="1A1A1A"/>
          <w:sz w:val="21"/>
        </w:rPr>
        <w:t>：疗效与安全性数据来自中国人群的 RCT 与系统评价，向其他辖区/人群外推需谨慎。</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1. 舌下含服速效救心丸后舌部麻木/清凉感，是组方中冰片（龙脑）在舌下局部的药理学作用的可预期结果：龙脑激动 TRPM8（清凉感）、抑制 TRPA1（减弱刺激感）并具类局麻药样神经传导阻断（麻木感），按药典含量（每粒 2.9 mg 至 4.4 mg 冰片）估算的舌下局部浓度足以达到上述有效浓度。〔推导〕该结论属于</w:t>
      </w:r>
      <w:r>
        <w:rPr>
          <w:rFonts w:ascii="Times New Roman" w:hAnsi="Times New Roman" w:eastAsia="宋体"/>
          <w:b/>
          <w:color w:val="1A1A1A"/>
          <w:sz w:val="21"/>
        </w:rPr>
        <w:t>机制上可解释</w:t>
      </w:r>
      <w:r>
        <w:rPr>
          <w:rFonts w:ascii="Times New Roman" w:hAnsi="Times New Roman" w:eastAsia="宋体"/>
          <w:b w:val="0"/>
          <w:color w:val="1A1A1A"/>
          <w:sz w:val="21"/>
        </w:rPr>
        <w:t>层级，缺乏人体直接临床证据。</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未检索到</w:t>
      </w:r>
      <w:r>
        <w:rPr>
          <w:rFonts w:ascii="Times New Roman" w:hAnsi="Times New Roman" w:eastAsia="宋体"/>
          <w:b w:val="0"/>
          <w:color w:val="1A1A1A"/>
          <w:sz w:val="21"/>
        </w:rPr>
        <w:t>任何将舌麻与吸收程度或临床疗效相关联的已发表研究；"舌麻说明药起效了"无相关性证据支持，其把局部代理感受当作系统疗效指标，属于推理谬误。〔推导〕现有疗效证据以心绞痛临床终点衡量，与舌麻无关联。</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[5]</w:t>
      </w:r>
    </w:p>
    <w:p>
      <w:pPr>
        <w:spacing w:after="60" w:before="0" w:line="336" w:lineRule="auto"/>
        <w:ind w:left="340"/>
      </w:pPr>
      <w:r>
        <w:rPr>
          <w:rFonts w:ascii="Times New Roman" w:hAnsi="Times New Roman" w:eastAsia="宋体"/>
          <w:b w:val="0"/>
          <w:color w:val="1A1A1A"/>
          <w:sz w:val="21"/>
        </w:rPr>
        <w:t>3. 舌下含服药物后胸痛缓解不能区分心源性疼痛与非心源性疼痛（现行指南立场）</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；以舌麻判断是否需要追加剂量或就医，存在延误急性冠脉综合征评估的实际风险〔推导〕。突发胸痛不缓解时应立即呼叫急救（中国 120）。</w:t>
      </w:r>
      <w:r>
        <w:rPr>
          <w:rFonts w:ascii="Times New Roman" w:hAnsi="Times New Roman" w:eastAsia="宋体"/>
          <w:b w:val="0"/>
          <w:color w:val="1A1A1A"/>
          <w:sz w:val="21"/>
          <w:vertAlign w:val="superscript"/>
        </w:rPr>
        <w:t>[8]</w:t>
      </w:r>
    </w:p>
    <w:p>
      <w:pPr>
        <w:spacing w:after="60" w:before="0" w:line="336" w:lineRule="auto"/>
        <w:ind w:left="340"/>
      </w:pPr>
      <w:r>
        <w:rPr>
          <w:rFonts w:ascii="Times New Roman" w:hAnsi="Times New Roman" w:eastAsia="宋体"/>
          <w:b w:val="0"/>
          <w:color w:val="1A1A1A"/>
          <w:sz w:val="21"/>
        </w:rPr>
        <w:t>4. 舌麻在"短暂、可复、局限于舌部、不伴全身症状"时符合局部药理效应；进行性加重、超出舌部或伴呼吸困难、瘙痒、皮疹、肿胀等过敏样表现时，应视为过敏征兆并紧急处理。</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说明书不良反应项未载舌麻（索引候选件，需官方核验），但不能据此排除其发生或上报价值。</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 突发胸部疼痛或不适且不缓解时，立即呼叫急救：中国拨打 120（英国 NHS 源文为 Call 999）。胸痛可能为心肌梗死，需要立即住院治疗；含服速效救心丸不应延误这一呼叫与评估。</w:t>
      </w:r>
      <w:r>
        <w:rPr>
          <w:rFonts w:ascii="Times New Roman" w:hAnsi="Times New Roman" w:eastAsia="宋体"/>
          <w:b w:val="0"/>
          <w:color w:val="1A1A1A"/>
          <w:sz w:val="21"/>
          <w:vertAlign w:val="superscript"/>
        </w:rPr>
        <w:t>[8]</w:t>
      </w:r>
    </w:p>
    <w:p>
      <w:pPr>
        <w:spacing w:after="60" w:before="0" w:line="336" w:lineRule="auto"/>
        <w:ind w:left="340"/>
      </w:pPr>
      <w:r>
        <w:rPr>
          <w:rFonts w:ascii="Times New Roman" w:hAnsi="Times New Roman" w:eastAsia="宋体"/>
          <w:b w:val="0"/>
          <w:color w:val="1A1A1A"/>
          <w:sz w:val="21"/>
        </w:rPr>
        <w:t>· 舌下含服药物后胸痛缓解不能区分心源性疼痛与非心源性疼痛（现行指南立场）</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；症状持续不缓解时，无论是否出现舌麻，均应接受急救评估并立即呼叫急救（中国 120）。</w:t>
      </w:r>
      <w:r>
        <w:rPr>
          <w:rFonts w:ascii="Times New Roman" w:hAnsi="Times New Roman" w:eastAsia="宋体"/>
          <w:b w:val="0"/>
          <w:color w:val="1A1A1A"/>
          <w:sz w:val="21"/>
          <w:vertAlign w:val="superscript"/>
        </w:rPr>
        <w:t>[8]</w:t>
      </w:r>
    </w:p>
    <w:p>
      <w:pPr>
        <w:spacing w:after="60" w:before="0" w:line="336" w:lineRule="auto"/>
        <w:ind w:left="340"/>
      </w:pPr>
      <w:r>
        <w:rPr>
          <w:rFonts w:ascii="Times New Roman" w:hAnsi="Times New Roman" w:eastAsia="宋体"/>
          <w:b w:val="0"/>
          <w:color w:val="1A1A1A"/>
          <w:sz w:val="21"/>
        </w:rPr>
        <w:t>· 含服后若舌部麻木伴呼吸困难、瘙痒、皮疹或口唇/舌肿胀等过敏样表现，立即停药并按过敏反应紧急就医；个案显示口舌麻木可伴随严重 I 型超敏反应发生。</w:t>
      </w:r>
      <w:r>
        <w:rPr>
          <w:rFonts w:ascii="Times New Roman" w:hAnsi="Times New Roman" w:eastAsia="宋体"/>
          <w:b w:val="0"/>
          <w:color w:val="1A1A1A"/>
          <w:sz w:val="21"/>
          <w:vertAlign w:val="superscript"/>
        </w:rPr>
        <w:t>[7]</w:t>
      </w:r>
    </w:p>
    <w:p>
      <w:pPr>
        <w:spacing w:after="60" w:before="0" w:line="336" w:lineRule="auto"/>
        <w:ind w:left="340"/>
      </w:pPr>
      <w:r>
        <w:rPr>
          <w:rFonts w:ascii="Times New Roman" w:hAnsi="Times New Roman" w:eastAsia="宋体"/>
          <w:b w:val="0"/>
          <w:color w:val="1A1A1A"/>
          <w:sz w:val="21"/>
        </w:rPr>
        <w:t>· 用药期间出现任何新发不适（含舌部麻木）应向医师或药师报告。已发表试验中该药未报告舌麻等不良事件，但未报告不等于不存在；标准化的主动询问才可能捕获这类轻微局部反应。</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[5]</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Chen G-L, Lei M, Zhou L-P, Zeng B, Zou F, Xu S-Z. Borneol Is a TRPM8 Agonist that Increases Ocular Surface Wetness. PLoS One. 2016;11(7):e0158868. doi:10.1371/journal.pone.0158868. PMID:27448228. URL: https://europepmc.org/articles/PMC4957794</w:t>
      </w:r>
    </w:p>
    <w:p>
      <w:pPr>
        <w:spacing w:after="60" w:before="0" w:line="336" w:lineRule="auto"/>
        <w:ind w:left="340"/>
      </w:pPr>
      <w:r>
        <w:rPr>
          <w:rFonts w:ascii="Times New Roman" w:hAnsi="Times New Roman" w:eastAsia="宋体"/>
          <w:b w:val="0"/>
          <w:color w:val="1A1A1A"/>
          <w:sz w:val="21"/>
        </w:rPr>
        <w:t>2. Takaishi M, Uchida K, Fujita F, Tominaga M. Inhibitory effects of monoterpenes on human TRPA1 and the structural basis of their activity. J Physiol Sci. 2014;64(1):47-61. doi:10.1007/s12576-013-0289-0. PMID:24122170. URL: https://europepmc.org/articles/PMC3889502</w:t>
      </w:r>
    </w:p>
    <w:p>
      <w:pPr>
        <w:spacing w:after="60" w:before="0" w:line="336" w:lineRule="auto"/>
        <w:ind w:left="340"/>
      </w:pPr>
      <w:r>
        <w:rPr>
          <w:rFonts w:ascii="Times New Roman" w:hAnsi="Times New Roman" w:eastAsia="宋体"/>
          <w:b w:val="0"/>
          <w:color w:val="1A1A1A"/>
          <w:sz w:val="21"/>
        </w:rPr>
        <w:t>3. Ohtsubo S, Fujita T, Matsushita A, Kumamoto E. Inhibition of the compound action potentials of frog sciatic nerves by aroma oil compounds having various chemical structures. Pharmacol Res Perspect. 2015;3(2):e00127. doi:10.1002/prp2.127. PMID:26038703. URL: https://europepmc.org/articles/PMC4448976</w:t>
      </w:r>
    </w:p>
    <w:p>
      <w:pPr>
        <w:spacing w:after="60" w:before="0" w:line="336" w:lineRule="auto"/>
        <w:ind w:left="340"/>
      </w:pPr>
      <w:r>
        <w:rPr>
          <w:rFonts w:ascii="Times New Roman" w:hAnsi="Times New Roman" w:eastAsia="宋体"/>
          <w:b w:val="0"/>
          <w:color w:val="1A1A1A"/>
          <w:sz w:val="21"/>
        </w:rPr>
        <w:t>4. Hu Y, Wang Y, Wang S, Cui X, Feng Y, Li Z, et al. Efficacy and Safety of Suxiao Jiuxin Pills in the Treatment of Chronic Coronary Syndrome with Intolerance to Adverse Effects of Long-acting Nitrates: A Multicenter, Randomized, Double-blind, Placebo-controlled Study. BMC Complement Med Ther. 2024;24:356. doi:10.1186/s12906-024-04661-5. PMID:39367481. URL: https://europepmc.org/articles/PMC11451125</w:t>
      </w:r>
    </w:p>
    <w:p>
      <w:pPr>
        <w:spacing w:after="60" w:before="0" w:line="336" w:lineRule="auto"/>
        <w:ind w:left="340"/>
      </w:pPr>
      <w:r>
        <w:rPr>
          <w:rFonts w:ascii="Times New Roman" w:hAnsi="Times New Roman" w:eastAsia="宋体"/>
          <w:b w:val="0"/>
          <w:color w:val="1A1A1A"/>
          <w:sz w:val="21"/>
        </w:rPr>
        <w:t>5. Ren L, Wang J, Feng L, Wang S, Li J. Efficacy of Suxiao Jiuxin Pill on Coronary Heart Disease: A Meta-Analysis of Randomized Controlled Trials. Evid Based Complement Alternat Med. 2018;2018:9745804. doi:10.1155/2018/9745804. PMID:29770157. URL: https://europepmc.org/articles/PMC5892298</w:t>
      </w:r>
    </w:p>
    <w:p>
      <w:pPr>
        <w:spacing w:after="60" w:before="0" w:line="336" w:lineRule="auto"/>
        <w:ind w:left="340"/>
      </w:pPr>
      <w:r>
        <w:rPr>
          <w:rFonts w:ascii="Times New Roman" w:hAnsi="Times New Roman" w:eastAsia="宋体"/>
          <w:b w:val="0"/>
          <w:color w:val="1A1A1A"/>
          <w:sz w:val="21"/>
        </w:rPr>
        <w:t>6. Twiner MJ, Hennessy J, Wein R, Levy PD. Nitroglycerin Use in the Emergency Department: Current Perspectives. Open Access Emerg Med. 2022;14:327-339. doi:10.2147/OAEM.S340513. PMID:35847764. URL: https://europepmc.org/articles/PMC9278720</w:t>
      </w:r>
    </w:p>
    <w:p>
      <w:pPr>
        <w:spacing w:after="60" w:before="0" w:line="336" w:lineRule="auto"/>
        <w:ind w:left="340"/>
      </w:pPr>
      <w:r>
        <w:rPr>
          <w:rFonts w:ascii="Times New Roman" w:hAnsi="Times New Roman" w:eastAsia="宋体"/>
          <w:b w:val="0"/>
          <w:color w:val="1A1A1A"/>
          <w:sz w:val="21"/>
        </w:rPr>
        <w:t>7. Huang X, Liu W, Tan B, Shi L, Huang Y, Wang S, et al. Severe numbness of the mouth and tongue induced by piperacillin/tazobactam: a rare case report. Future Sci OA. 2026;12(1):2653792. doi:10.1080/20565623.2026.2653792. PMID:42012452. URL: https://europepmc.org/articles/PMC13102034</w:t>
      </w:r>
    </w:p>
    <w:p>
      <w:pPr>
        <w:spacing w:after="60" w:before="0" w:line="336" w:lineRule="auto"/>
        <w:ind w:left="340"/>
      </w:pPr>
      <w:r>
        <w:rPr>
          <w:rFonts w:ascii="Times New Roman" w:hAnsi="Times New Roman" w:eastAsia="宋体"/>
          <w:b w:val="0"/>
          <w:color w:val="1A1A1A"/>
          <w:sz w:val="21"/>
        </w:rPr>
        <w:t>8. National Health Service (NHS). Chest pain [Internet]. Reviewed 2023-08-08. URL: https://www.nhs.uk/symptoms/chest-pain/</w:t>
      </w:r>
    </w:p>
    <w:p>
      <w:pPr>
        <w:spacing w:after="60" w:before="0" w:line="336" w:lineRule="auto"/>
        <w:ind w:left="340"/>
      </w:pPr>
      <w:r>
        <w:rPr>
          <w:rFonts w:ascii="Times New Roman" w:hAnsi="Times New Roman" w:eastAsia="宋体"/>
          <w:b w:val="0"/>
          <w:color w:val="1A1A1A"/>
          <w:sz w:val="21"/>
        </w:rPr>
        <w:t>9. Brieger DB, Cullen LA, Briffa TG, Zaman S, Scott IA, Papendick C, et al. National Heart Foundation of Australia and Cardiac Society of Australia and New Zealand: Australian Clinical Guideline for Diagnosing and Managing Acute Coronary Syndromes 2025. Med J Aust. 2026;224(2):e70127. doi:10.5694/mja2.70127. PMID:41693087. URL: https://europepmc.org/articles/PMC12907536</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