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0" w:line="300" w:lineRule="auto"/>
        <w:jc w:val="center"/>
      </w:pPr>
      <w:r>
        <w:rPr>
          <w:rFonts w:ascii="Times New Roman" w:hAnsi="Times New Roman" w:eastAsia="黑体"/>
          <w:b/>
          <w:color w:val="C15F3C"/>
          <w:sz w:val="30"/>
        </w:rPr>
        <w:t>速效救心丸与抗高血压药物联用的降压叠加效应与症状性低血压风险：说明书适应症边界内的证据强度评价</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结论（先给底线）：</w:t>
      </w:r>
      <w:r>
        <w:rPr>
          <w:rFonts w:ascii="Times New Roman" w:hAnsi="Times New Roman" w:eastAsia="宋体"/>
          <w:b w:val="0"/>
          <w:color w:val="1A1A1A"/>
          <w:sz w:val="21"/>
        </w:rPr>
        <w:t xml:space="preserve"> 在现有可定位证据下，① 速效救心丸用于"高血压合并冠心病心绞痛发作"仅在说明书适应症（气滞血瘀型冠心病、心绞痛）边界内有证据，但该合并人群从未被单独验证——现有最高层级试验均排除未控制高血压，且无一报告血压终点；② "高血压合并冠心病但无心绞痛发作"与"无冠心病诊断的单纯高血压"两人群均落在适应症边界之外，</w:t>
      </w:r>
      <w:r>
        <w:rPr>
          <w:rFonts w:ascii="Times New Roman" w:hAnsi="Times New Roman" w:eastAsia="宋体"/>
          <w:b/>
          <w:color w:val="1A1A1A"/>
          <w:sz w:val="21"/>
        </w:rPr>
        <w:t>均无适应症内证据</w:t>
      </w:r>
      <w:r>
        <w:rPr>
          <w:rFonts w:ascii="Times New Roman" w:hAnsi="Times New Roman" w:eastAsia="宋体"/>
          <w:b w:val="0"/>
          <w:color w:val="1A1A1A"/>
          <w:sz w:val="21"/>
        </w:rPr>
        <w:t>；③ 协同降压的方向同时得到机制证据与人体验证（组分川芎嗪静脉加用于妊娠期高血压时收缩压额外下降约 11.7 mmHg），但</w:t>
      </w:r>
      <w:r>
        <w:rPr>
          <w:rFonts w:ascii="Times New Roman" w:hAnsi="Times New Roman" w:eastAsia="宋体"/>
          <w:b/>
          <w:color w:val="1A1A1A"/>
          <w:sz w:val="21"/>
        </w:rPr>
        <w:t>本品与降压药联用场景的血压变化幅度与低血压事件发生率无任何研究报告，风险量级未知</w:t>
      </w:r>
      <w:r>
        <w:rPr>
          <w:rFonts w:ascii="Times New Roman" w:hAnsi="Times New Roman" w:eastAsia="宋体"/>
          <w:b w:val="0"/>
          <w:color w:val="1A1A1A"/>
          <w:sz w:val="21"/>
        </w:rPr>
        <w:t>——既不得表述为"已证实的相互作用"，也不得反向表述为"无相互作用"；④ "高血压患者应普遍常备本品"无临床结局证据支持；⑤ 安全底线：突发且不缓解的胸痛（含高血压患者）一律立即呼叫 120 并接受急诊评估（心电图＋高敏肌钙蛋白），任何含服自救均不得替代或推迟呼叫。</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证据强度总体为</w:t>
      </w:r>
      <w:r>
        <w:rPr>
          <w:rFonts w:ascii="Times New Roman" w:hAnsi="Times New Roman" w:eastAsia="宋体"/>
          <w:b/>
          <w:color w:val="1A1A1A"/>
          <w:sz w:val="21"/>
        </w:rPr>
        <w:t>中等且不对称</w:t>
      </w:r>
      <w:r>
        <w:rPr>
          <w:rFonts w:ascii="Times New Roman" w:hAnsi="Times New Roman" w:eastAsia="宋体"/>
          <w:b w:val="0"/>
          <w:color w:val="1A1A1A"/>
          <w:sz w:val="21"/>
        </w:rPr>
        <w:t>：疗效与安全性的主干证据为 1 项 2024 年多中心双盲安慰剂对照试验（174 例慢性冠脉综合征、4 周）</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、1 项 41 项 RCT 的 2018 年 meta 分析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、2023 年中国老年高血压管理指南全文 </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；但核心问题（合并人群验证、联用血压终点）的证据缺失是结构性的，非样本量问题。</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[4]</w:t>
      </w:r>
    </w:p>
    <w:p>
      <w:pPr>
        <w:spacing w:after="100" w:before="240" w:line="300" w:lineRule="auto"/>
      </w:pPr>
      <w:r>
        <w:rPr>
          <w:rFonts w:ascii="Times New Roman" w:hAnsi="Times New Roman" w:eastAsia="黑体"/>
          <w:b/>
          <w:color w:val="1A1A1A"/>
          <w:sz w:val="25"/>
        </w:rPr>
        <w:t>临床问题、论点与判定条件</w:t>
      </w:r>
    </w:p>
    <w:p>
      <w:pPr>
        <w:spacing w:after="120" w:before="0" w:line="348" w:lineRule="auto"/>
        <w:ind w:firstLine="420"/>
      </w:pPr>
      <w:r>
        <w:rPr>
          <w:rFonts w:ascii="Times New Roman" w:hAnsi="Times New Roman" w:eastAsia="宋体"/>
          <w:b w:val="0"/>
          <w:color w:val="1A1A1A"/>
          <w:sz w:val="21"/>
        </w:rPr>
        <w:t>本报告检验的待检验命题（题库目标答案原文："可用于高血压合并冠心病患者的心绞痛急救，但需警惕协同降压作用"）仅作为命题记录，不作为论证起点。按任务书判定条件拆分为三条命题：</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A（本品可用于高血压合并冠心病者的心绞痛发作）</w:t>
      </w:r>
      <w:r>
        <w:rPr>
          <w:rFonts w:ascii="Times New Roman" w:hAnsi="Times New Roman" w:eastAsia="宋体"/>
          <w:b w:val="0"/>
          <w:color w:val="1A1A1A"/>
          <w:sz w:val="21"/>
        </w:rPr>
        <w:t>：成立需同时满足——该人群落在说明书适应症边界之内且符合气滞血瘀型辨证；并在合并高血压、接受抗高血压治疗人群中以心绞痛为终点开展过对照研究。若仅有未区分合并高血压亚组的一般冠心病试验，判定降级为"适应症内有证据，该合并人群未被单独验证"。</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B（与降压药存在协同降压风险）</w:t>
      </w:r>
      <w:r>
        <w:rPr>
          <w:rFonts w:ascii="Times New Roman" w:hAnsi="Times New Roman" w:eastAsia="宋体"/>
          <w:b w:val="0"/>
          <w:color w:val="1A1A1A"/>
          <w:sz w:val="21"/>
        </w:rPr>
        <w:t>：成立需有人体药效学或临床研究报告联用后的血压变化幅度与低血压事件发生率。若仅有离体或动物层面的血管舒张证据，结论只能写到"机制上可致血压下降，联用风险量级未知"；检索为阴性时写"未检索到直接研究该联用的证据"，不得升级为"已证实的相互作用"，也不得反向表述为"无相互作用"。</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C（高血压患者应普遍常备本品）</w:t>
      </w:r>
      <w:r>
        <w:rPr>
          <w:rFonts w:ascii="Times New Roman" w:hAnsi="Times New Roman" w:eastAsia="宋体"/>
          <w:b w:val="0"/>
          <w:color w:val="1A1A1A"/>
          <w:sz w:val="21"/>
        </w:rPr>
        <w:t>：成立需同时满足——适用人群落在说明书适应症之内；且有以临床结局为终点、检验常备策略的研究。任一条不满足即判"无证据支持"，并对无冠心病诊断的单纯高血压人群直接写出"无适应症内证据"。</w:t>
      </w:r>
    </w:p>
    <w:p>
      <w:pPr>
        <w:spacing w:after="120" w:before="0" w:line="348" w:lineRule="auto"/>
        <w:ind w:firstLine="420"/>
      </w:pPr>
      <w:r>
        <w:rPr>
          <w:rFonts w:ascii="Times New Roman" w:hAnsi="Times New Roman" w:eastAsia="宋体"/>
          <w:b w:val="0"/>
          <w:color w:val="1A1A1A"/>
          <w:sz w:val="21"/>
        </w:rPr>
        <w:t>三类人群的定义与判定边界：</w:t>
      </w:r>
      <w:r>
        <w:rPr>
          <w:rFonts w:ascii="Times New Roman" w:hAnsi="Times New Roman" w:eastAsia="宋体"/>
          <w:b/>
          <w:color w:val="1A1A1A"/>
          <w:sz w:val="21"/>
        </w:rPr>
        <w:t>人群一</w:t>
      </w:r>
      <w:r>
        <w:rPr>
          <w:rFonts w:ascii="Times New Roman" w:hAnsi="Times New Roman" w:eastAsia="宋体"/>
          <w:b w:val="0"/>
          <w:color w:val="1A1A1A"/>
          <w:sz w:val="21"/>
        </w:rPr>
        <w:t>＝高血压合并冠心病、正有心绞痛发作（胸闷胸痛）；</w:t>
      </w:r>
      <w:r>
        <w:rPr>
          <w:rFonts w:ascii="Times New Roman" w:hAnsi="Times New Roman" w:eastAsia="宋体"/>
          <w:b/>
          <w:color w:val="1A1A1A"/>
          <w:sz w:val="21"/>
        </w:rPr>
        <w:t>人群二</w:t>
      </w:r>
      <w:r>
        <w:rPr>
          <w:rFonts w:ascii="Times New Roman" w:hAnsi="Times New Roman" w:eastAsia="宋体"/>
          <w:b w:val="0"/>
          <w:color w:val="1A1A1A"/>
          <w:sz w:val="21"/>
        </w:rPr>
        <w:t>＝高血压合并冠心病、无发作（无症状随访期）；</w:t>
      </w:r>
      <w:r>
        <w:rPr>
          <w:rFonts w:ascii="Times New Roman" w:hAnsi="Times New Roman" w:eastAsia="宋体"/>
          <w:b/>
          <w:color w:val="1A1A1A"/>
          <w:sz w:val="21"/>
        </w:rPr>
        <w:t>人群三</w:t>
      </w:r>
      <w:r>
        <w:rPr>
          <w:rFonts w:ascii="Times New Roman" w:hAnsi="Times New Roman" w:eastAsia="宋体"/>
          <w:b w:val="0"/>
          <w:color w:val="1A1A1A"/>
          <w:sz w:val="21"/>
        </w:rPr>
        <w:t>＝无冠心病诊断的单纯高血压。判定须逐类给出，不得以"扩冠、活血化瘀"等机制推理代替适应症内临床证据，也不得以"合并症综合管理"模糊边界。</w:t>
      </w:r>
    </w:p>
    <w:p>
      <w:pPr>
        <w:spacing w:after="120" w:before="0" w:line="348" w:lineRule="auto"/>
        <w:ind w:firstLine="420"/>
      </w:pPr>
      <w:r>
        <w:rPr>
          <w:rFonts w:ascii="Times New Roman" w:hAnsi="Times New Roman" w:eastAsia="宋体"/>
          <w:b w:val="0"/>
          <w:color w:val="1A1A1A"/>
          <w:sz w:val="21"/>
        </w:rPr>
        <w:t>三级命题严格区分，不得互相替代或由前一级推出后一级：</w:t>
      </w:r>
      <w:r>
        <w:rPr>
          <w:rFonts w:ascii="Times New Roman" w:hAnsi="Times New Roman" w:eastAsia="宋体"/>
          <w:b/>
          <w:color w:val="1A1A1A"/>
          <w:sz w:val="21"/>
        </w:rPr>
        <w:t>一级＝机制上可解释</w:t>
      </w:r>
      <w:r>
        <w:rPr>
          <w:rFonts w:ascii="Times New Roman" w:hAnsi="Times New Roman" w:eastAsia="宋体"/>
          <w:b w:val="0"/>
          <w:color w:val="1A1A1A"/>
          <w:sz w:val="21"/>
        </w:rPr>
        <w:t>（离体血管、动物、受体/通路水平）；</w:t>
      </w:r>
      <w:r>
        <w:rPr>
          <w:rFonts w:ascii="Times New Roman" w:hAnsi="Times New Roman" w:eastAsia="宋体"/>
          <w:b/>
          <w:color w:val="1A1A1A"/>
          <w:sz w:val="21"/>
        </w:rPr>
        <w:t>二级＝有人体药效学证据支持</w:t>
      </w:r>
      <w:r>
        <w:rPr>
          <w:rFonts w:ascii="Times New Roman" w:hAnsi="Times New Roman" w:eastAsia="宋体"/>
          <w:b w:val="0"/>
          <w:color w:val="1A1A1A"/>
          <w:sz w:val="21"/>
        </w:rPr>
        <w:t>（健康受试者或患者层级的血压/血流动力学实测）；</w:t>
      </w:r>
      <w:r>
        <w:rPr>
          <w:rFonts w:ascii="Times New Roman" w:hAnsi="Times New Roman" w:eastAsia="宋体"/>
          <w:b/>
          <w:color w:val="1A1A1A"/>
          <w:sz w:val="21"/>
        </w:rPr>
        <w:t>三级＝有临床终点证据支持</w:t>
      </w:r>
      <w:r>
        <w:rPr>
          <w:rFonts w:ascii="Times New Roman" w:hAnsi="Times New Roman" w:eastAsia="宋体"/>
          <w:b w:val="0"/>
          <w:color w:val="1A1A1A"/>
          <w:sz w:val="21"/>
        </w:rPr>
        <w:t>（心绞痛发作、事件率、低血压事件等终点）。</w:t>
      </w:r>
    </w:p>
    <w:p>
      <w:pPr>
        <w:spacing w:after="100" w:before="240" w:line="300" w:lineRule="auto"/>
      </w:pPr>
      <w:r>
        <w:rPr>
          <w:rFonts w:ascii="Times New Roman" w:hAnsi="Times New Roman" w:eastAsia="黑体"/>
          <w:b/>
          <w:color w:val="1A1A1A"/>
          <w:sz w:val="25"/>
        </w:rPr>
        <w:t>证据基础与检索方法</w:t>
      </w:r>
    </w:p>
    <w:p>
      <w:pPr>
        <w:spacing w:after="120" w:before="0" w:line="348" w:lineRule="auto"/>
        <w:ind w:firstLine="420"/>
      </w:pPr>
      <w:r>
        <w:rPr>
          <w:rFonts w:ascii="Times New Roman" w:hAnsi="Times New Roman" w:eastAsia="宋体"/>
          <w:b w:val="0"/>
          <w:color w:val="1A1A1A"/>
          <w:sz w:val="21"/>
        </w:rPr>
        <w:t>检索于 2026-08-12 完成，覆盖以下来源类别：PubMed、Europe PMC、Crossref（经可追溯的文献检索接口）；中文文献索引（SinoMed/CNKI/万方索引记录）；指南索引（AHA/ACC、ESC、中华医学会系列指南与专家共识）；临床试验注册库（ClinicalTrials.gov、ChiCTR）；NMPA 说明书索引（索引副本）；公开网页（仅作说明书公开转载核对）。共执行 25 项成功检索，原始题录 310 条；去重与筛选后纳入 28 个来源（其中 15 个为已保藏全文/官方页面工件，13 个为摘要层或索引层记录，均在正文中明确标注层级）。中英文检索式并举，英文以"Suxiao Jiuxin pill""tetramethylpyrazine/ligustrazine""borneol""chronic coronary syndrome""chest pain guideline""nitroglycerin hypotension"等为主干，中文以"速效救心丸 高血压""速效救心丸 血压""高血压急症""急性胸痛急诊诊疗专家共识"等为主干；对"联用降压药""常备策略结局"等关键概念按技能规程以两个以上更短检索式复核后再作阴性判断。</w:t>
      </w:r>
    </w:p>
    <w:p>
      <w:pPr>
        <w:spacing w:after="120" w:before="0" w:line="348" w:lineRule="auto"/>
        <w:ind w:firstLine="420"/>
      </w:pPr>
      <w:r>
        <w:rPr>
          <w:rFonts w:ascii="Times New Roman" w:hAnsi="Times New Roman" w:eastAsia="宋体"/>
          <w:b w:val="0"/>
          <w:color w:val="1A1A1A"/>
          <w:sz w:val="21"/>
        </w:rPr>
        <w:t>纳入标准：与三类人群判定、组分血压效应、联用临床证据、胸痛处置路径或常备策略直接相关的原始研究、系统评价、指南、说明书或注册记录。排除标准：与血压或心绞痛无关的中成药泛用文献、个案通讯、仅题录而无摘要或出处不可定位的记录。筛选与去重记录、每个检索式的结果数与访问层级见 `clinical-evidence-search.json` 与 `citation-audit.md`。</w:t>
      </w:r>
    </w:p>
    <w:p>
      <w:pPr>
        <w:spacing w:after="120" w:before="0" w:line="348" w:lineRule="auto"/>
        <w:ind w:firstLine="420"/>
      </w:pPr>
      <w:r>
        <w:rPr>
          <w:rFonts w:ascii="Times New Roman" w:hAnsi="Times New Roman" w:eastAsia="宋体"/>
          <w:b w:val="0"/>
          <w:color w:val="1A1A1A"/>
          <w:sz w:val="21"/>
        </w:rPr>
        <w:t xml:space="preserve">关键访问限制须如实声明：① NMPA 现行说明书原文未能经本环境可用官方通道取得，说明书字段以 EviMed NMPA 索引副本为准并另附公开转载页核对，官方现行版本待人工核验 </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；② 2024 年《中国高血压防治指南（2024 年修订版）》《中国高血压急症诊治规范》、ESC 2024 慢性冠脉综合征指南、2019《急性胸痛急诊诊疗专家共识》在本环境仅取得指南索引记录，全文未及，相关论点以已获取全文的 2023 中国老年高血压管理指南及 2021 AHA/ACC 胸痛指南解读件、2025 巴西急诊胸痛指南承接；③ 中文直接证据（1995、2016 年等联用观察）全部为摘要层，效应量不进入正式判定。</w:t>
      </w:r>
    </w:p>
    <w:p>
      <w:pPr>
        <w:spacing w:after="100" w:before="240" w:line="300" w:lineRule="auto"/>
      </w:pPr>
      <w:r>
        <w:rPr>
          <w:rFonts w:ascii="Times New Roman" w:hAnsi="Times New Roman" w:eastAsia="黑体"/>
          <w:b/>
          <w:color w:val="1A1A1A"/>
          <w:sz w:val="25"/>
        </w:rPr>
        <w:t>逐角度论证与结果</w:t>
      </w:r>
    </w:p>
    <w:p>
      <w:pPr>
        <w:spacing w:after="100" w:before="240" w:line="300" w:lineRule="auto"/>
      </w:pPr>
      <w:r>
        <w:rPr>
          <w:rFonts w:ascii="Times New Roman" w:hAnsi="Times New Roman" w:eastAsia="黑体"/>
          <w:b/>
          <w:color w:val="1A1A1A"/>
          <w:sz w:val="23"/>
        </w:rPr>
        <w:t>角度一：说明书边界与三类人群的逐类判定</w:t>
      </w:r>
    </w:p>
    <w:p>
      <w:pPr>
        <w:spacing w:after="120" w:before="0" w:line="348" w:lineRule="auto"/>
        <w:ind w:firstLine="420"/>
      </w:pPr>
      <w:r>
        <w:rPr>
          <w:rFonts w:ascii="Times New Roman" w:hAnsi="Times New Roman" w:eastAsia="宋体"/>
          <w:b w:val="0"/>
          <w:color w:val="1A1A1A"/>
          <w:sz w:val="21"/>
        </w:rPr>
        <w:t>可核验的说明书索引副本（NMPA 索引，津药达仁堂集团股份有限公司第六中药厂，每丸重 40 mg，国药准字 Z12020025）记载：适应症"行气活血，祛瘀止痛，增加冠脉血流量，缓解心绞痛。用于气滞血瘀型冠心病，心绞痛"；禁忌"1. 孕妇禁用"；注意事项"寒凝血瘀、阴虚血瘀胸痹心痛不宜单用。有过敏史者、过敏体质者慎用。伴有中重度心力衰竭的心肌缺血者慎用。在治疗期间，心绞痛持续发作，宜加用硝酸酯类药"；不良反应监测数据"恶心、呕吐、口干、腹痛、胃部不适、头痛、</w:t>
      </w:r>
      <w:r>
        <w:rPr>
          <w:rFonts w:ascii="Times New Roman" w:hAnsi="Times New Roman" w:eastAsia="宋体"/>
          <w:b/>
          <w:color w:val="1A1A1A"/>
          <w:sz w:val="21"/>
        </w:rPr>
        <w:t>头晕</w:t>
      </w:r>
      <w:r>
        <w:rPr>
          <w:rFonts w:ascii="Times New Roman" w:hAnsi="Times New Roman" w:eastAsia="宋体"/>
          <w:b w:val="0"/>
          <w:color w:val="1A1A1A"/>
          <w:sz w:val="21"/>
        </w:rPr>
        <w:t xml:space="preserve">、皮疹、瘙痒、潮红、乏力、过敏及过敏样反应等"；索引工件未返回"用法用量"与"药物相互作用"栏目字段，官方现行版本（含血压相关条款的有无）待核验 </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。公开转载的说明书副本与索引字段一致，急性发作用法为"一次 10-15 粒"舌下含服（公开转载版，属次级来源）</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 xml:space="preserve">。注册与组方信息另有独立交叉确认：本品 1982 年经 CFDA 批准上市，组方为川芎（Ligusticum 类）与冰片，按《中国药典》每丸含川芎以阿魏酸计不少于 15.0 μg、含冰片 2.9–4.4 mg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。依此对三类人群逐类判定如下：</w:t>
      </w:r>
    </w:p>
    <w:p>
      <w:pPr>
        <w:spacing w:after="120" w:before="0" w:line="348" w:lineRule="auto"/>
      </w:pPr>
      <w:r>
        <w:rPr>
          <w:rFonts w:ascii="Times New Roman" w:hAnsi="Times New Roman" w:eastAsia="宋体"/>
          <w:b/>
          <w:color w:val="1A1A1A"/>
          <w:sz w:val="21"/>
        </w:rPr>
        <w:t>人群一（高血压＋冠心病＋心绞痛发作）：落在适应症边界内。</w:t>
      </w:r>
      <w:r>
        <w:rPr>
          <w:rFonts w:ascii="Times New Roman" w:hAnsi="Times New Roman" w:eastAsia="宋体"/>
          <w:b w:val="0"/>
          <w:color w:val="1A1A1A"/>
          <w:sz w:val="21"/>
        </w:rPr>
        <w:t xml:space="preserve"> 边界文字"气滞血瘀型冠心病、心绞痛"直接覆盖"冠心病心绞痛发作"这一状态；进入该边界内的最高层级研究以确诊冠心病/慢性冠脉综合征且有心绞痛发作（含气滞血瘀证）为入组条件，与边界一致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。2024 年试验人群为慢性冠脉综合征合并硝酸酯不耐受者，基线抗心绞痛治疗含阿司匹林 73.6%、他汀 71.3%、β 阻滞剂 54.0%（β 阻滞剂即常规降压药之一），4 周加用本品后 SAQ 改善率 60.9% vs 39.1%（OR 2.43，95%CI 1.32–4.47，P=0.004）</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；但该试验明确排除未控制高血压，且预设亚组分析虽含高血压、仅报告"各亚组方向与总体一致"而未给出高血压亚组的独立效应量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。2018 年 meta 分析（41 项 RCT、6276 例）纳入人群为冠心病，未报告高血压亚组与血压终点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。2021 年方案（324 例、24 周）同样排除未控制高血压（SBP≥180 或 DBP≥100 mmHg）</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。2023 年中国老年高血压管理指南在"高血压合并冠心病"章节明确写入"心绞痛发作时，硝酸甘油、速效救心丸与复方丹参滴丸可舌下含服" </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。故本类人群判定为：</w:t>
      </w:r>
      <w:r>
        <w:rPr>
          <w:rFonts w:ascii="Times New Roman" w:hAnsi="Times New Roman" w:eastAsia="宋体"/>
          <w:b/>
          <w:color w:val="1A1A1A"/>
          <w:sz w:val="21"/>
        </w:rPr>
        <w:t>适应症内有证据（含一项老年高血压指南推荐与短期 RCT），但"合并高血压、接受抗高血压治疗"这一具体亚组从未被单独验证，无血压终点与低血压事件终点</w:t>
      </w:r>
      <w:r>
        <w:rPr>
          <w:rFonts w:ascii="Times New Roman" w:hAnsi="Times New Roman" w:eastAsia="宋体"/>
          <w:b w:val="0"/>
          <w:color w:val="1A1A1A"/>
          <w:sz w:val="21"/>
        </w:rPr>
        <w:t>。</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[15]</w:t>
      </w:r>
    </w:p>
    <w:p>
      <w:pPr>
        <w:spacing w:after="120" w:before="0" w:line="348" w:lineRule="auto"/>
      </w:pPr>
      <w:r>
        <w:rPr>
          <w:rFonts w:ascii="Times New Roman" w:hAnsi="Times New Roman" w:eastAsia="宋体"/>
          <w:b/>
          <w:color w:val="1A1A1A"/>
          <w:sz w:val="21"/>
        </w:rPr>
        <w:t>人群二（高血压＋冠心病、无心绞痛发作）：不在适应症边界内。</w:t>
      </w:r>
      <w:r>
        <w:rPr>
          <w:rFonts w:ascii="Times New Roman" w:hAnsi="Times New Roman" w:eastAsia="宋体"/>
          <w:b w:val="0"/>
          <w:color w:val="1A1A1A"/>
          <w:sz w:val="21"/>
        </w:rPr>
        <w:t xml:space="preserve"> 说明书适应症以"心绞痛"为触发条件；进入该边界内研究的人群均以发作性心绞痛（每周≥2 次）为入组要件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，无症状随访期不属于适应症覆盖状态，未检索到任何以该状态为人群的本品研究（见角度三、五）。判定：</w:t>
      </w:r>
      <w:r>
        <w:rPr>
          <w:rFonts w:ascii="Times New Roman" w:hAnsi="Times New Roman" w:eastAsia="宋体"/>
          <w:b/>
          <w:color w:val="1A1A1A"/>
          <w:sz w:val="21"/>
        </w:rPr>
        <w:t>该人群无适应症内证据</w:t>
      </w:r>
      <w:r>
        <w:rPr>
          <w:rFonts w:ascii="Times New Roman" w:hAnsi="Times New Roman" w:eastAsia="宋体"/>
          <w:b w:val="0"/>
          <w:color w:val="1A1A1A"/>
          <w:sz w:val="21"/>
        </w:rPr>
        <w:t>。</w:t>
      </w:r>
      <w:r>
        <w:rPr>
          <w:rFonts w:ascii="Times New Roman" w:hAnsi="Times New Roman" w:eastAsia="宋体"/>
          <w:b w:val="0"/>
          <w:color w:val="1A1A1A"/>
          <w:sz w:val="21"/>
          <w:vertAlign w:val="superscript"/>
        </w:rPr>
        <w:t>[3]</w:t>
      </w:r>
    </w:p>
    <w:p>
      <w:pPr>
        <w:spacing w:after="120" w:before="0" w:line="348" w:lineRule="auto"/>
      </w:pPr>
      <w:r>
        <w:rPr>
          <w:rFonts w:ascii="Times New Roman" w:hAnsi="Times New Roman" w:eastAsia="宋体"/>
          <w:b/>
          <w:color w:val="1A1A1A"/>
          <w:sz w:val="21"/>
        </w:rPr>
        <w:t>人群三（无冠心病诊断的单纯高血压）：不在适应症边界内。</w:t>
      </w:r>
      <w:r>
        <w:rPr>
          <w:rFonts w:ascii="Times New Roman" w:hAnsi="Times New Roman" w:eastAsia="宋体"/>
          <w:b w:val="0"/>
          <w:color w:val="1A1A1A"/>
          <w:sz w:val="21"/>
        </w:rPr>
        <w:t xml:space="preserve"> 适应症限定"冠心病"；现有最高层级研究的入组条件均为确诊冠心病（心梗史、冠脉造影&gt;50% 狭窄或负荷试验阳性）</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，无一项纳入无冠心病诊断者。判定：</w:t>
      </w:r>
      <w:r>
        <w:rPr>
          <w:rFonts w:ascii="Times New Roman" w:hAnsi="Times New Roman" w:eastAsia="宋体"/>
          <w:b/>
          <w:color w:val="1A1A1A"/>
          <w:sz w:val="21"/>
        </w:rPr>
        <w:t>该人群无适应症内证据</w:t>
      </w:r>
      <w:r>
        <w:rPr>
          <w:rFonts w:ascii="Times New Roman" w:hAnsi="Times New Roman" w:eastAsia="宋体"/>
          <w:b w:val="0"/>
          <w:color w:val="1A1A1A"/>
          <w:sz w:val="21"/>
        </w:rPr>
        <w:t>；以胸闷胸痛自行含服属于说明书外应用，任何关于"常备"的建议均不受适应症内证据支持。</w:t>
      </w:r>
      <w:r>
        <w:rPr>
          <w:rFonts w:ascii="Times New Roman" w:hAnsi="Times New Roman" w:eastAsia="宋体"/>
          <w:b w:val="0"/>
          <w:color w:val="1A1A1A"/>
          <w:sz w:val="21"/>
          <w:vertAlign w:val="superscript"/>
        </w:rPr>
        <w:t>[3]</w:t>
      </w:r>
    </w:p>
    <w:p>
      <w:pPr>
        <w:spacing w:after="100" w:before="240" w:line="300" w:lineRule="auto"/>
      </w:pPr>
      <w:r>
        <w:rPr>
          <w:rFonts w:ascii="Times New Roman" w:hAnsi="Times New Roman" w:eastAsia="黑体"/>
          <w:b/>
          <w:color w:val="1A1A1A"/>
          <w:sz w:val="23"/>
        </w:rPr>
        <w:t>角度二：组分对人体血压、外周血管阻力与心率的实测效应及其证据层级</w:t>
      </w:r>
    </w:p>
    <w:p>
      <w:pPr>
        <w:spacing w:after="120" w:before="0" w:line="348" w:lineRule="auto"/>
      </w:pPr>
      <w:r>
        <w:rPr>
          <w:rFonts w:ascii="Times New Roman" w:hAnsi="Times New Roman" w:eastAsia="宋体"/>
          <w:b/>
          <w:color w:val="1A1A1A"/>
          <w:sz w:val="21"/>
        </w:rPr>
        <w:t>一级（机制）证据充分。</w:t>
      </w:r>
      <w:r>
        <w:rPr>
          <w:rFonts w:ascii="Times New Roman" w:hAnsi="Times New Roman" w:eastAsia="宋体"/>
          <w:b w:val="0"/>
          <w:color w:val="1A1A1A"/>
          <w:sz w:val="21"/>
        </w:rPr>
        <w:t xml:space="preserve"> 人离体内乳动脉（冠状动脉旁路移植术取材，n=78）上，速效救心丸使 KCl 预收缩血管完全舒张（99.4%±10.5%）、使血栓素类似物 U46619 预收缩血管完全舒张（99.9%±5.6%），并显著抑制后续收缩，机制兼含内皮依赖（eNOS）与非内皮依赖两条通路 </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。动物与分子层面，本品经 eNOS-NO 通路舒张冠脉，冰片本身经钾通道介导内皮非依赖的冠脉血管舒张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；川芎有效成分川芎嗪（四甲基吡嗪）早在 1996 年即被判定为钙拮抗样物质（题录级）</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。人动脉的完全舒张能力提示其对血管张力的影响是系统性的，不限于冠脉床。</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[10]</w:t>
      </w:r>
    </w:p>
    <w:p>
      <w:pPr>
        <w:spacing w:after="120" w:before="0" w:line="348" w:lineRule="auto"/>
      </w:pPr>
      <w:r>
        <w:rPr>
          <w:rFonts w:ascii="Times New Roman" w:hAnsi="Times New Roman" w:eastAsia="宋体"/>
          <w:b/>
          <w:color w:val="1A1A1A"/>
          <w:sz w:val="21"/>
        </w:rPr>
        <w:t>二级（人体药效学）证据存在，但属"组分—邻近人群"层级。</w:t>
      </w:r>
      <w:r>
        <w:rPr>
          <w:rFonts w:ascii="Times New Roman" w:hAnsi="Times New Roman" w:eastAsia="宋体"/>
          <w:b w:val="0"/>
          <w:color w:val="1A1A1A"/>
          <w:sz w:val="21"/>
        </w:rPr>
        <w:t xml:space="preserve"> 系统评价与 meta 分析（患者层级）证实：在妊娠期高血压患者中，川芎嗪注射液联合常规治疗（对照组含硝苯地平、拉贝洛尔、硫酸镁等降压药物）较常规治疗进一步降低收缩压（WMD −11.73 mmHg，95%CI −14.12~−9.34）与舒张压（WMD −8.25 mmHg，95%CI −9.66~−6.84）</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该证据说明"川芎类组分的降压作用在人体、且在合并降压治疗的背景下可被实测"，但人群为妊娠期高血压、给药为静脉单方注射液，与舌下含服复方滴丸的成人高血压人群存在双重间接性。川芎嗪注射液作为心绞痛辅助治疗的 11 项 RCT（870 例）meta 分析显示症状改善 OR 3.59（95%CI 2.39–5.40），不良事件为头痛与胃部不适，未报告血压相关事件 </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。冰片在肾血管性高血压大鼠中降低交感血管运动亢进并恢复压力反射敏感性（题录级）</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。中文摘要层记录另有：1995 年 36 例高血压患者观察报告本品使收缩压/舒张压分别下降 16.4%/17.4%、76% 患者心率变缓（均无症状）（摘要层，未获全文）</w:t>
      </w:r>
      <w:r>
        <w:rPr>
          <w:rFonts w:ascii="Times New Roman" w:hAnsi="Times New Roman" w:eastAsia="宋体"/>
          <w:b w:val="0"/>
          <w:color w:val="1A1A1A"/>
          <w:sz w:val="21"/>
          <w:vertAlign w:val="superscript"/>
        </w:rPr>
        <w:t>[25]</w:t>
      </w:r>
      <w:r>
        <w:rPr>
          <w:rFonts w:ascii="Times New Roman" w:hAnsi="Times New Roman" w:eastAsia="宋体"/>
          <w:b w:val="0"/>
          <w:color w:val="1A1A1A"/>
          <w:sz w:val="21"/>
        </w:rPr>
        <w:t>；2016 年缬沙坦＋本品 8 周观察报告血压改善优于单用缬沙坦（摘要层）</w:t>
      </w:r>
      <w:r>
        <w:rPr>
          <w:rFonts w:ascii="Times New Roman" w:hAnsi="Times New Roman" w:eastAsia="宋体"/>
          <w:b w:val="0"/>
          <w:color w:val="1A1A1A"/>
          <w:sz w:val="21"/>
          <w:vertAlign w:val="superscript"/>
        </w:rPr>
        <w:t>[26]</w:t>
      </w:r>
      <w:r>
        <w:rPr>
          <w:rFonts w:ascii="Times New Roman" w:hAnsi="Times New Roman" w:eastAsia="宋体"/>
          <w:b w:val="0"/>
          <w:color w:val="1A1A1A"/>
          <w:sz w:val="21"/>
        </w:rPr>
        <w:t>；2014 年内皮功能观察（摘要层）</w:t>
      </w:r>
      <w:r>
        <w:rPr>
          <w:rFonts w:ascii="Times New Roman" w:hAnsi="Times New Roman" w:eastAsia="宋体"/>
          <w:b w:val="0"/>
          <w:color w:val="1A1A1A"/>
          <w:sz w:val="21"/>
          <w:vertAlign w:val="superscript"/>
        </w:rPr>
        <w:t>[27]</w:t>
      </w:r>
      <w:r>
        <w:rPr>
          <w:rFonts w:ascii="Times New Roman" w:hAnsi="Times New Roman" w:eastAsia="宋体"/>
          <w:b w:val="0"/>
          <w:color w:val="1A1A1A"/>
          <w:sz w:val="21"/>
        </w:rPr>
        <w:t>。上述中文记录效应量均未进入正式判定。</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[12]</w:t>
      </w:r>
    </w:p>
    <w:p>
      <w:pPr>
        <w:spacing w:after="120" w:before="0" w:line="348" w:lineRule="auto"/>
      </w:pPr>
      <w:r>
        <w:rPr>
          <w:rFonts w:ascii="Times New Roman" w:hAnsi="Times New Roman" w:eastAsia="宋体"/>
          <w:b/>
          <w:color w:val="1A1A1A"/>
          <w:sz w:val="21"/>
        </w:rPr>
        <w:t>三级（临床终点）证据仅限心绞痛症状终点，无血压终点。</w:t>
      </w:r>
      <w:r>
        <w:rPr>
          <w:rFonts w:ascii="Times New Roman" w:hAnsi="Times New Roman" w:eastAsia="宋体"/>
          <w:b w:val="0"/>
          <w:color w:val="1A1A1A"/>
          <w:sz w:val="21"/>
        </w:rPr>
        <w:t xml:space="preserve"> 见角度三。</w:t>
      </w:r>
    </w:p>
    <w:p>
      <w:pPr>
        <w:spacing w:after="100" w:before="240" w:line="300" w:lineRule="auto"/>
      </w:pPr>
      <w:r>
        <w:rPr>
          <w:rFonts w:ascii="Times New Roman" w:hAnsi="Times New Roman" w:eastAsia="黑体"/>
          <w:b/>
          <w:color w:val="1A1A1A"/>
          <w:sz w:val="23"/>
        </w:rPr>
        <w:t>角度三：高血压合并冠心病人群加用本品的对照研究、血压终点与注册库现状</w:t>
      </w:r>
    </w:p>
    <w:p>
      <w:pPr>
        <w:spacing w:after="120" w:before="0" w:line="348" w:lineRule="auto"/>
        <w:ind w:firstLine="420"/>
      </w:pPr>
      <w:r>
        <w:rPr>
          <w:rFonts w:ascii="Times New Roman" w:hAnsi="Times New Roman" w:eastAsia="宋体"/>
          <w:b w:val="0"/>
          <w:color w:val="1A1A1A"/>
          <w:sz w:val="21"/>
        </w:rPr>
        <w:t>以"速效救心丸＋规范抗高血压治疗、以心绞痛为终点"为完整入组条件的随机对照试验：</w:t>
      </w:r>
      <w:r>
        <w:rPr>
          <w:rFonts w:ascii="Times New Roman" w:hAnsi="Times New Roman" w:eastAsia="宋体"/>
          <w:b/>
          <w:color w:val="1A1A1A"/>
          <w:sz w:val="21"/>
        </w:rPr>
        <w:t>未检索到</w:t>
      </w:r>
      <w:r>
        <w:rPr>
          <w:rFonts w:ascii="Times New Roman" w:hAnsi="Times New Roman" w:eastAsia="宋体"/>
          <w:b w:val="0"/>
          <w:color w:val="1A1A1A"/>
          <w:sz w:val="21"/>
        </w:rPr>
        <w:t>。现有对照证据按人群由近及远排列：① 2024 年多中心双盲安慰剂对照试验（174 例，4 周，慢性冠脉综合征＋长效硝酸酯不耐受）：加用于常规抗心绞痛治疗（含 β 阻滞剂 54.0%），主终点 SAQ 改善率 60.9% vs 39.1%（OR 2.43），4 周内无参与者报告不良事件；</w:t>
      </w:r>
      <w:r>
        <w:rPr>
          <w:rFonts w:ascii="Times New Roman" w:hAnsi="Times New Roman" w:eastAsia="宋体"/>
          <w:b/>
          <w:color w:val="1A1A1A"/>
          <w:sz w:val="21"/>
        </w:rPr>
        <w:t>未设置血压终点</w:t>
      </w:r>
      <w:r>
        <w:rPr>
          <w:rFonts w:ascii="Times New Roman" w:hAnsi="Times New Roman" w:eastAsia="宋体"/>
          <w:b w:val="0"/>
          <w:color w:val="1A1A1A"/>
          <w:sz w:val="21"/>
        </w:rPr>
        <w:t xml:space="preserve">，次级终点为中医主症积分与血脂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。② 2024 年 24 周试验（324 例，13 家医院）：第 4/12/24 周症状有效率与中医证候积分改善均显著（摘要层，全文未取得）</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。③ 2020 年 ACS 早期 PCI 试验（200 例，6 个月）：MACE 发生率相对较低（摘要层）</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。④ 2020 年 ACS 系统评价（摘要层）：有效性结论受纳入研究质量限制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。⑤ 2018 年 meta 分析（41 项 RCT、6276 例）：ECG 改善 RR 1.32（95%CI 1.26–1.38），不良反应 RR 1.12（95%CI 0.50–2.51），最常见为轻度头痛、头晕、面部潮红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。上述研究无一报告"本品＋降压药"联用后的血压变化幅度或低血压/头晕/黑矇类事件发生率。</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[4]</w:t>
      </w:r>
    </w:p>
    <w:p>
      <w:pPr>
        <w:spacing w:after="120" w:before="0" w:line="348" w:lineRule="auto"/>
        <w:ind w:firstLine="420"/>
      </w:pPr>
      <w:r>
        <w:rPr>
          <w:rFonts w:ascii="Times New Roman" w:hAnsi="Times New Roman" w:eastAsia="宋体"/>
          <w:b w:val="0"/>
          <w:color w:val="1A1A1A"/>
          <w:sz w:val="21"/>
        </w:rPr>
        <w:t>临床试验注册库：ClinicalTrials.gov 与 ChiCTR 中检索"速效救心丸/Suxiao Jiuxin"得 2 项注册（NCT06531161 高原病预防、NCT05466968 急性心梗易损斑块，均与高血压联用无关）；以本品为干预的已发表试验注册号可溯至 ChiCTR2100050066（2024 年试验）</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、ChiCTR1900021876（2024 年 24 周试验）</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与 ChiCTR-TRC-13003053（2020 年试验）</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w:t>
      </w:r>
      <w:r>
        <w:rPr>
          <w:rFonts w:ascii="Times New Roman" w:hAnsi="Times New Roman" w:eastAsia="宋体"/>
          <w:b/>
          <w:color w:val="1A1A1A"/>
          <w:sz w:val="21"/>
        </w:rPr>
        <w:t>注册库中不存在以"高血压＋冠心病＋规范降压治疗＋本品"为研究对象的登记记录及其结果。</w:t>
      </w:r>
      <w:r>
        <w:rPr>
          <w:rFonts w:ascii="Times New Roman" w:hAnsi="Times New Roman" w:eastAsia="宋体"/>
          <w:b w:val="0"/>
          <w:color w:val="1A1A1A"/>
          <w:sz w:val="21"/>
        </w:rPr>
        <w:t xml:space="preserve"> 真实世界数据显示联用普遍但无血压结局：37 家三甲医院 16,856 例 65 岁以上使用本品的住院患者中，47.97% 西医诊断为冠心病，常见联用为硝酸异山梨酯（61.15%）、阿司匹林（50.77%），常用西药类别为血管扩张药（78.39%）（摘要层）</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——即"与降压药联用"在真实世界中广泛存在，恰使联用血压终点的缺失更具临床意义。</w:t>
      </w:r>
    </w:p>
    <w:p>
      <w:pPr>
        <w:spacing w:after="120" w:before="0" w:line="348" w:lineRule="auto"/>
        <w:ind w:firstLine="420"/>
      </w:pPr>
      <w:r>
        <w:rPr>
          <w:rFonts w:ascii="Times New Roman" w:hAnsi="Times New Roman" w:eastAsia="宋体"/>
          <w:b w:val="0"/>
          <w:color w:val="1A1A1A"/>
          <w:sz w:val="21"/>
        </w:rPr>
        <w:t xml:space="preserve">体外药代动力学线索（摘要层）：离体人肝细胞/微粒体实验显示本品可抑制 CYP1A2、2B6、2C19、3A4 与人 OATP1B1 转运体（IC50 分别为 189.7–805.7 μg/mL 与 21.9 μg/mL），作者结论为"与相关常规药物联用时需考虑潜在草药-药物相互作用"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。该证据层级为离体实验，不构成人体相互作用的证实，但提示不能以"无相互作用"表述。</w:t>
      </w:r>
    </w:p>
    <w:p>
      <w:pPr>
        <w:spacing w:after="120" w:before="0" w:line="348" w:lineRule="auto"/>
      </w:pPr>
      <w:r>
        <w:rPr>
          <w:rFonts w:ascii="Times New Roman" w:hAnsi="Times New Roman" w:eastAsia="宋体"/>
          <w:b/>
          <w:color w:val="1A1A1A"/>
          <w:sz w:val="21"/>
        </w:rPr>
        <w:t>命题 B 判定：部分支持（方向成立、量级未知）。</w:t>
      </w:r>
      <w:r>
        <w:rPr>
          <w:rFonts w:ascii="Times New Roman" w:hAnsi="Times New Roman" w:eastAsia="宋体"/>
          <w:b w:val="0"/>
          <w:color w:val="1A1A1A"/>
          <w:sz w:val="21"/>
        </w:rPr>
        <w:t xml:space="preserve"> 人体药效学证据（川芎嗪加用于妊娠高血压的实测降压 </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）与本品的离体人动脉舒张证据 </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共同支持"本品可致血压下降、与降压药方向叠加"的推论；但</w:t>
      </w:r>
      <w:r>
        <w:rPr>
          <w:rFonts w:ascii="Times New Roman" w:hAnsi="Times New Roman" w:eastAsia="宋体"/>
          <w:b/>
          <w:color w:val="1A1A1A"/>
          <w:sz w:val="21"/>
        </w:rPr>
        <w:t>未检索到直接研究"本品＋降压药"联用的血压变化幅度与低血压事件发生率的报告</w:t>
      </w:r>
      <w:r>
        <w:rPr>
          <w:rFonts w:ascii="Times New Roman" w:hAnsi="Times New Roman" w:eastAsia="宋体"/>
          <w:b w:val="0"/>
          <w:color w:val="1A1A1A"/>
          <w:sz w:val="21"/>
        </w:rPr>
        <w:t>，故风险量级未知；同时存在体外 CYP/转运体抑制的潜在相互作用线索（离体、摘要层）</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。不得升级为"已证实"，亦不得反向表述为"无相互作用"。</w:t>
      </w:r>
      <w:r>
        <w:rPr>
          <w:rFonts w:ascii="Times New Roman" w:hAnsi="Times New Roman" w:eastAsia="宋体"/>
          <w:b w:val="0"/>
          <w:color w:val="1A1A1A"/>
          <w:sz w:val="21"/>
          <w:vertAlign w:val="superscript"/>
        </w:rPr>
        <w:t>[11]</w:t>
      </w:r>
    </w:p>
    <w:p>
      <w:pPr>
        <w:spacing w:after="100" w:before="240" w:line="300" w:lineRule="auto"/>
      </w:pPr>
      <w:r>
        <w:rPr>
          <w:rFonts w:ascii="Times New Roman" w:hAnsi="Times New Roman" w:eastAsia="黑体"/>
          <w:b/>
          <w:color w:val="1A1A1A"/>
          <w:sz w:val="23"/>
        </w:rPr>
        <w:t>角度四：高血压患者胸痛时的指南处置路径与含服在其中的位置</w:t>
      </w:r>
    </w:p>
    <w:p>
      <w:pPr>
        <w:spacing w:after="120" w:before="0" w:line="348" w:lineRule="auto"/>
      </w:pPr>
      <w:r>
        <w:rPr>
          <w:rFonts w:ascii="Times New Roman" w:hAnsi="Times New Roman" w:eastAsia="宋体"/>
          <w:b/>
          <w:color w:val="1A1A1A"/>
          <w:sz w:val="21"/>
        </w:rPr>
        <w:t>急性未分化胸痛的处置路径（2021 AHA/ACC 胸痛评估与诊断指南主题，经同行解读件核验）：</w:t>
      </w:r>
      <w:r>
        <w:rPr>
          <w:rFonts w:ascii="Times New Roman" w:hAnsi="Times New Roman" w:eastAsia="宋体"/>
          <w:b w:val="0"/>
          <w:color w:val="1A1A1A"/>
          <w:sz w:val="21"/>
        </w:rPr>
        <w:t xml:space="preserve"> 约 80% 的男女 ACS 患者以胸痛或压迫感为首要就诊症状（2023 ESC ACS 指南，经解读件转述）</w:t>
      </w:r>
      <w:r>
        <w:rPr>
          <w:rFonts w:ascii="Times New Roman" w:hAnsi="Times New Roman" w:eastAsia="宋体"/>
          <w:b w:val="0"/>
          <w:color w:val="1A1A1A"/>
          <w:sz w:val="21"/>
          <w:vertAlign w:val="superscript"/>
        </w:rPr>
        <w:t>[22]</w:t>
      </w:r>
      <w:r>
        <w:rPr>
          <w:rFonts w:ascii="Times New Roman" w:hAnsi="Times New Roman" w:eastAsia="宋体"/>
          <w:b w:val="0"/>
          <w:color w:val="1A1A1A"/>
          <w:sz w:val="21"/>
        </w:rPr>
        <w:t xml:space="preserve">。患者一方需立即激活急救系统（拨打 9-1-1；中国为 120）；急诊一方以 12 导联心电图与首选高敏肌钙蛋白实现心肌损伤的快速识别，并依据结构化风险分层（低/中/高危）决定进一步检查，血流动力学不稳定或高危者行冠脉造影 </w:t>
      </w:r>
      <w:r>
        <w:rPr>
          <w:rFonts w:ascii="Times New Roman" w:hAnsi="Times New Roman" w:eastAsia="宋体"/>
          <w:b w:val="0"/>
          <w:color w:val="1A1A1A"/>
          <w:sz w:val="21"/>
          <w:vertAlign w:val="superscript"/>
        </w:rPr>
        <w:t>[19]</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。急诊院前窗口的量化要求：疑似缺血患者应在首个 10 分钟内完成心电图；高敏肌钙蛋白按 ESC 0/1 小时（或 0/2 小时）算法快速排除/确诊（2025 巴西急诊胸痛指南，SBC）</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[21]</w:t>
      </w:r>
    </w:p>
    <w:p>
      <w:pPr>
        <w:spacing w:after="120" w:before="0" w:line="348" w:lineRule="auto"/>
      </w:pPr>
      <w:r>
        <w:rPr>
          <w:rFonts w:ascii="Times New Roman" w:hAnsi="Times New Roman" w:eastAsia="宋体"/>
          <w:b/>
          <w:color w:val="1A1A1A"/>
          <w:sz w:val="21"/>
        </w:rPr>
        <w:t>高血压急症与 ACS 的鉴别分流：</w:t>
      </w:r>
      <w:r>
        <w:rPr>
          <w:rFonts w:ascii="Times New Roman" w:hAnsi="Times New Roman" w:eastAsia="宋体"/>
          <w:b w:val="0"/>
          <w:color w:val="1A1A1A"/>
          <w:sz w:val="21"/>
        </w:rPr>
        <w:t xml:space="preserve"> 高血压急症的判别标准不是血压数值，而是</w:t>
      </w:r>
      <w:r>
        <w:rPr>
          <w:rFonts w:ascii="Times New Roman" w:hAnsi="Times New Roman" w:eastAsia="宋体"/>
          <w:b/>
          <w:color w:val="1A1A1A"/>
          <w:sz w:val="21"/>
        </w:rPr>
        <w:t>新发急性进行性严重靶器官损害</w:t>
      </w:r>
      <w:r>
        <w:rPr>
          <w:rFonts w:ascii="Times New Roman" w:hAnsi="Times New Roman" w:eastAsia="宋体"/>
          <w:b w:val="0"/>
          <w:color w:val="1A1A1A"/>
          <w:sz w:val="21"/>
        </w:rPr>
        <w:t>（老年高血压急症含高血压脑病、颅内出血、脑梗死、急性心衰、急性冠脉综合征、主动脉夹层等）；其第一目标是 30–60 分钟内将血压降至安全水平、1–2 小时内平均动脉压下降不超过 25%（卒中与夹层除外）</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。急性冠脉综合征作为高血压急症之一，院内处置目标为降压并降低心肌耗氧，但</w:t>
      </w:r>
      <w:r>
        <w:rPr>
          <w:rFonts w:ascii="Times New Roman" w:hAnsi="Times New Roman" w:eastAsia="宋体"/>
          <w:b/>
          <w:color w:val="1A1A1A"/>
          <w:sz w:val="21"/>
        </w:rPr>
        <w:t>不得影响冠脉灌注压与冠脉血流</w:t>
      </w:r>
      <w:r>
        <w:rPr>
          <w:rFonts w:ascii="Times New Roman" w:hAnsi="Times New Roman" w:eastAsia="宋体"/>
          <w:b w:val="0"/>
          <w:color w:val="1A1A1A"/>
          <w:sz w:val="21"/>
        </w:rPr>
        <w:t>、防止反射性心动过速，目标 &lt;130/80 mmHg 且舒张压 &gt;60 mmHg，用药为硝酸甘油、艾司洛尔、乌拉地尔或地尔硫䓬（院内静脉用药）</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。这意味着：高血压合并胸痛患者先于血压数值的，是靶器官损害的判定与急诊评估，而不是自行含服。指南或说明书</w:t>
      </w:r>
      <w:r>
        <w:rPr>
          <w:rFonts w:ascii="Times New Roman" w:hAnsi="Times New Roman" w:eastAsia="宋体"/>
          <w:b/>
          <w:color w:val="1A1A1A"/>
          <w:sz w:val="21"/>
        </w:rPr>
        <w:t>均未给出本品含服前的血压下限或"含服后观察多久再就医"的时间阈值</w:t>
      </w:r>
      <w:r>
        <w:rPr>
          <w:rFonts w:ascii="Times New Roman" w:hAnsi="Times New Roman" w:eastAsia="宋体"/>
          <w:b w:val="0"/>
          <w:color w:val="1A1A1A"/>
          <w:sz w:val="21"/>
        </w:rPr>
        <w:t xml:space="preserve">；硝酸酯类的既有阈值（收缩压 &lt;90 mmHg 或较基线下降 &gt;30 mmHg、心率 &lt;50 次/分时不推荐使用舌下硝酸甘油 </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）可作为联用场景下的保守参照，但其推荐强度与适用对象为硝酸酯类，不能直接赋予本品。</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[18]</w:t>
      </w:r>
    </w:p>
    <w:p>
      <w:pPr>
        <w:spacing w:after="120" w:before="0" w:line="348" w:lineRule="auto"/>
      </w:pPr>
      <w:r>
        <w:rPr>
          <w:rFonts w:ascii="Times New Roman" w:hAnsi="Times New Roman" w:eastAsia="宋体"/>
          <w:b/>
          <w:color w:val="1A1A1A"/>
          <w:sz w:val="21"/>
        </w:rPr>
        <w:t>含服（自救用药）在路径中的位置：</w:t>
      </w:r>
      <w:r>
        <w:rPr>
          <w:rFonts w:ascii="Times New Roman" w:hAnsi="Times New Roman" w:eastAsia="宋体"/>
          <w:b w:val="0"/>
          <w:color w:val="1A1A1A"/>
          <w:sz w:val="21"/>
        </w:rPr>
        <w:t xml:space="preserve"> 2023 中国老年高血压管理指南将硝酸甘油、速效救心丸、复方丹参滴丸的舌下含服置于"心绞痛发作时"这一已诊断冠心病场景；对未确诊人群的未分化胸痛，指南路径以急诊评估为先 </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。指南层面不存在"高血压伴胸闷先含服本品观察、无效再就医"的升级路径；现有指南亦未将含服反应作为诊断或分流依据——硝酸甘油含服缓解对心源性胸痛的灵敏度仅 72%（64%–80%）、特异度 37%（34%–41%）、阳性似然比 1.1（0.96–1.34），研究结论为"含服缓解不能可靠区分心源性与非心源性胸痛" </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；2021 AHA/ACC 指南明确指出不应以硝酸甘油缓解作为诊断因素（经 ED 硝酸甘油综述转述）</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。上述判别效能数据针对硝酸甘油，本品无同类数据；在缺乏本品判别效能数据的情况下，不得以"含服缓解"判断病因。</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[18]</w:t>
      </w:r>
    </w:p>
    <w:p>
      <w:pPr>
        <w:spacing w:after="100" w:before="240" w:line="300" w:lineRule="auto"/>
      </w:pPr>
      <w:r>
        <w:rPr>
          <w:rFonts w:ascii="Times New Roman" w:hAnsi="Times New Roman" w:eastAsia="黑体"/>
          <w:b/>
          <w:color w:val="1A1A1A"/>
          <w:sz w:val="23"/>
        </w:rPr>
        <w:t>角度五：常备策略的结局证据与对无冠心病人群的潜在危害</w:t>
      </w:r>
    </w:p>
    <w:p>
      <w:pPr>
        <w:spacing w:after="120" w:before="0" w:line="348" w:lineRule="auto"/>
      </w:pPr>
      <w:r>
        <w:rPr>
          <w:rFonts w:ascii="Times New Roman" w:hAnsi="Times New Roman" w:eastAsia="宋体"/>
          <w:b/>
          <w:color w:val="1A1A1A"/>
          <w:sz w:val="21"/>
        </w:rPr>
        <w:t>以临床结局（事件发生率、就医延迟时间、病死率）为终点检验"高血压患者常备心血管急救中成药"策略的研究：未检索到。</w:t>
      </w:r>
      <w:r>
        <w:rPr>
          <w:rFonts w:ascii="Times New Roman" w:hAnsi="Times New Roman" w:eastAsia="宋体"/>
          <w:b w:val="0"/>
          <w:color w:val="1A1A1A"/>
          <w:sz w:val="21"/>
        </w:rPr>
        <w:t xml:space="preserve"> 针对硝酸酯的同类研究亦止于调查层面（对医师与患者自行含服硝酸甘油角色的调查，1991，摘要层）</w:t>
      </w:r>
      <w:r>
        <w:rPr>
          <w:rFonts w:ascii="Times New Roman" w:hAnsi="Times New Roman" w:eastAsia="宋体"/>
          <w:b w:val="0"/>
          <w:color w:val="1A1A1A"/>
          <w:sz w:val="21"/>
          <w:vertAlign w:val="superscript"/>
        </w:rPr>
        <w:t>[28]</w:t>
      </w:r>
      <w:r>
        <w:rPr>
          <w:rFonts w:ascii="Times New Roman" w:hAnsi="Times New Roman" w:eastAsia="宋体"/>
          <w:b w:val="0"/>
          <w:color w:val="1A1A1A"/>
          <w:sz w:val="21"/>
        </w:rPr>
        <w:t>，未上升到结局终点。相反，患者导向的权威指南给出的是即时呼叫指令：突发且不缓解的胸痛或不适（挤压样/压迫感、放射至手臂/颈/颌/背、伴出汗/恶心/头晕/气短）应立即呼叫急救（英国 999；中国为 120）</w:t>
      </w:r>
      <w:r>
        <w:rPr>
          <w:rFonts w:ascii="Times New Roman" w:hAnsi="Times New Roman" w:eastAsia="宋体"/>
          <w:b w:val="0"/>
          <w:color w:val="1A1A1A"/>
          <w:sz w:val="21"/>
          <w:vertAlign w:val="superscript"/>
        </w:rPr>
        <w:t>[24]</w:t>
      </w:r>
      <w:r>
        <w:rPr>
          <w:rFonts w:ascii="Times New Roman" w:hAnsi="Times New Roman" w:eastAsia="宋体"/>
          <w:b w:val="0"/>
          <w:color w:val="1A1A1A"/>
          <w:sz w:val="21"/>
        </w:rPr>
        <w:t>。</w:t>
      </w:r>
    </w:p>
    <w:p>
      <w:pPr>
        <w:spacing w:after="120" w:before="0" w:line="348" w:lineRule="auto"/>
        <w:ind w:firstLine="420"/>
      </w:pPr>
      <w:r>
        <w:rPr>
          <w:rFonts w:ascii="Times New Roman" w:hAnsi="Times New Roman" w:eastAsia="宋体"/>
          <w:b w:val="0"/>
          <w:color w:val="1A1A1A"/>
          <w:sz w:val="21"/>
        </w:rPr>
        <w:t xml:space="preserve">对无冠心病诊断的单纯高血压人群，自行含服的潜在危害可由两部分已测量证据链拼接：其一，含服缓解不具判别价值——硝酸甘油缓解判别心源性胸痛的灵敏度 72%、特异度 37%、阳性似然比 1.1，特异度不足意味着约 63% 的非心源性胸痛也会缓解、约 28% 的心源性胸痛不缓解（据灵敏度反推），以含服反应决定是否就医必然产生误判 </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 xml:space="preserve">；其二，就医延迟与结局直接相关——20,005 例直接 PCI 治疗的 STEMI 患者中，症状-首次医疗接触 ≤1 小时者从 90 分钟内再灌注获益最大（院内死亡 OR 0.27，95%CI 0.23–0.31），但即使延迟至 6–24 小时及时再灌注仍有生存获益 </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 xml:space="preserve">。两段证据拼接的结论是：以"含服后观察"取代即时呼叫，在以小时计的时间窗内消耗时间是净风险；该风险链条对本品的适用性同样成立，因为本品同样缺乏含服反应的判别效能数据，且任何自行观察都推迟心电图与肌钙蛋白这两个唯一确定心肌损伤的手段 </w:t>
      </w:r>
      <w:r>
        <w:rPr>
          <w:rFonts w:ascii="Times New Roman" w:hAnsi="Times New Roman" w:eastAsia="宋体"/>
          <w:b w:val="0"/>
          <w:color w:val="1A1A1A"/>
          <w:sz w:val="21"/>
          <w:vertAlign w:val="superscript"/>
        </w:rPr>
        <w:t>[17]</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[24]</w:t>
      </w:r>
    </w:p>
    <w:p>
      <w:pPr>
        <w:spacing w:after="120" w:before="0" w:line="348" w:lineRule="auto"/>
      </w:pPr>
      <w:r>
        <w:rPr>
          <w:rFonts w:ascii="Times New Roman" w:hAnsi="Times New Roman" w:eastAsia="宋体"/>
          <w:b/>
          <w:color w:val="1A1A1A"/>
          <w:sz w:val="21"/>
        </w:rPr>
        <w:t>命题 C 判定：无证据支持。</w:t>
      </w:r>
      <w:r>
        <w:rPr>
          <w:rFonts w:ascii="Times New Roman" w:hAnsi="Times New Roman" w:eastAsia="宋体"/>
          <w:b w:val="0"/>
          <w:color w:val="1A1A1A"/>
          <w:sz w:val="21"/>
        </w:rPr>
        <w:t xml:space="preserve"> 常备策略既缺乏结局研究，又对无冠心病诊断者无适应症内证据（见人群三），故"高血压患者应普遍常备本品"判定为无证据支持；对无冠心病诊断的单纯高血压人群，直接写出"该人群无适应症内证据"。</w:t>
      </w:r>
    </w:p>
    <w:p>
      <w:pPr>
        <w:spacing w:after="100" w:before="240" w:line="300" w:lineRule="auto"/>
      </w:pPr>
      <w:r>
        <w:rPr>
          <w:rFonts w:ascii="Times New Roman" w:hAnsi="Times New Roman" w:eastAsia="黑体"/>
          <w:b/>
          <w:color w:val="1A1A1A"/>
          <w:sz w:val="23"/>
        </w:rPr>
        <w:t>角度的合并要点（人群二、人群三的额外一层论证）</w:t>
      </w:r>
    </w:p>
    <w:p>
      <w:pPr>
        <w:spacing w:after="120" w:before="0" w:line="348" w:lineRule="auto"/>
        <w:ind w:firstLine="420"/>
      </w:pPr>
      <w:r>
        <w:rPr>
          <w:rFonts w:ascii="Times New Roman" w:hAnsi="Times New Roman" w:eastAsia="宋体"/>
          <w:b w:val="0"/>
          <w:color w:val="1A1A1A"/>
          <w:sz w:val="21"/>
        </w:rPr>
        <w:t xml:space="preserve">对人群二（冠心病稳定期无发作）与人群三（单纯高血压），除适应症边界外，还需指出反证：现有研究无一采用"无症状期预防性含服"设计，预防性使用在机制上亦无立足点——本品效应为发作时血管舒张与症状缓解 </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，无任何证据表明其降低无症状期事件率；对单纯高血压，血压管理的主体是规范化降压治疗（低剂量起始、逐步达标）</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，而非发作时含服。两方向均不满足命题 C 的"结局研究"要件。</w:t>
      </w:r>
    </w:p>
    <w:p>
      <w:pPr>
        <w:spacing w:after="100" w:before="240" w:line="300" w:lineRule="auto"/>
      </w:pPr>
      <w:r>
        <w:rPr>
          <w:rFonts w:ascii="Times New Roman" w:hAnsi="Times New Roman" w:eastAsia="黑体"/>
          <w:b/>
          <w:color w:val="1A1A1A"/>
          <w:sz w:val="25"/>
        </w:rPr>
        <w:t>三角互证与冲突处理</w:t>
      </w:r>
    </w:p>
    <w:p>
      <w:pPr>
        <w:spacing w:after="120" w:before="0" w:line="348" w:lineRule="auto"/>
        <w:ind w:firstLine="420"/>
      </w:pPr>
      <w:r>
        <w:rPr>
          <w:rFonts w:ascii="Times New Roman" w:hAnsi="Times New Roman" w:eastAsia="宋体"/>
          <w:b w:val="0"/>
          <w:color w:val="1A1A1A"/>
          <w:sz w:val="21"/>
        </w:rPr>
        <w:t>三个独立角度在"方向"上互证、在"量级"上互不交叉：</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机制角度</w:t>
      </w:r>
      <w:r>
        <w:rPr>
          <w:rFonts w:ascii="Times New Roman" w:hAnsi="Times New Roman" w:eastAsia="宋体"/>
          <w:b w:val="0"/>
          <w:color w:val="1A1A1A"/>
          <w:sz w:val="21"/>
        </w:rPr>
        <w:t xml:space="preserve">（人动脉完全舒张 </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、eNOS-NO 与冰片钾通道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、川芎嗪钙拮抗样 </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）与</w:t>
      </w:r>
      <w:r>
        <w:rPr>
          <w:rFonts w:ascii="Times New Roman" w:hAnsi="Times New Roman" w:eastAsia="宋体"/>
          <w:b/>
          <w:color w:val="1A1A1A"/>
          <w:sz w:val="21"/>
        </w:rPr>
        <w:t>人体药效学角度</w:t>
      </w:r>
      <w:r>
        <w:rPr>
          <w:rFonts w:ascii="Times New Roman" w:hAnsi="Times New Roman" w:eastAsia="宋体"/>
          <w:b w:val="0"/>
          <w:color w:val="1A1A1A"/>
          <w:sz w:val="21"/>
        </w:rPr>
        <w:t xml:space="preserve">（川芎嗪静脉加用于妊娠高血压收缩压 −11.73 mmHg </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）方向一致：组分的血管舒张—降压效应是真实存在的，不是理论猜测。这是命题 B"方向成立"的载荷来源。</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临床安全性角度</w:t>
      </w:r>
      <w:r>
        <w:rPr>
          <w:rFonts w:ascii="Times New Roman" w:hAnsi="Times New Roman" w:eastAsia="宋体"/>
          <w:b w:val="0"/>
          <w:color w:val="1A1A1A"/>
          <w:sz w:val="21"/>
        </w:rPr>
        <w:t xml:space="preserve">存在表面张力：2024 年试验 4 周无不良事件报告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与 2018 年 meta 不良反应 RR 1.12（无显著差异）</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指向"短期常规剂量下不良事件不突出"，但两者均未设置血压终点、未针对联用场景计数低血压事件；中文摘要层证据（1995 年本品单用即降血压 16.4%/17.4% </w:t>
      </w:r>
      <w:r>
        <w:rPr>
          <w:rFonts w:ascii="Times New Roman" w:hAnsi="Times New Roman" w:eastAsia="宋体"/>
          <w:b w:val="0"/>
          <w:color w:val="1A1A1A"/>
          <w:sz w:val="21"/>
          <w:vertAlign w:val="superscript"/>
        </w:rPr>
        <w:t>[25]</w:t>
      </w:r>
      <w:r>
        <w:rPr>
          <w:rFonts w:ascii="Times New Roman" w:hAnsi="Times New Roman" w:eastAsia="宋体"/>
          <w:b w:val="0"/>
          <w:color w:val="1A1A1A"/>
          <w:sz w:val="21"/>
        </w:rPr>
        <w:t>）提示血压效应可能非零。</w:t>
      </w:r>
      <w:r>
        <w:rPr>
          <w:rFonts w:ascii="Times New Roman" w:hAnsi="Times New Roman" w:eastAsia="宋体"/>
          <w:b/>
          <w:color w:val="1A1A1A"/>
          <w:sz w:val="21"/>
        </w:rPr>
        <w:t>冲突裁决：无血压终点的"无不良事件"不能外推为"联用无低血压风险"，安全表述必须回到"量级未知"。</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指南角度</w:t>
      </w:r>
      <w:r>
        <w:rPr>
          <w:rFonts w:ascii="Times New Roman" w:hAnsi="Times New Roman" w:eastAsia="宋体"/>
          <w:b w:val="0"/>
          <w:color w:val="1A1A1A"/>
          <w:sz w:val="21"/>
        </w:rPr>
        <w:t xml:space="preserve">（老年高血压指南推荐心绞痛发作含服 </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）与</w:t>
      </w:r>
      <w:r>
        <w:rPr>
          <w:rFonts w:ascii="Times New Roman" w:hAnsi="Times New Roman" w:eastAsia="宋体"/>
          <w:b/>
          <w:color w:val="1A1A1A"/>
          <w:sz w:val="21"/>
        </w:rPr>
        <w:t>急诊路径角度</w:t>
      </w:r>
      <w:r>
        <w:rPr>
          <w:rFonts w:ascii="Times New Roman" w:hAnsi="Times New Roman" w:eastAsia="宋体"/>
          <w:b w:val="0"/>
          <w:color w:val="1A1A1A"/>
          <w:sz w:val="21"/>
        </w:rPr>
        <w:t xml:space="preserve">（立即呼叫＋10 分钟心电图＋肌钙蛋白算法 </w:t>
      </w:r>
      <w:r>
        <w:rPr>
          <w:rFonts w:ascii="Times New Roman" w:hAnsi="Times New Roman" w:eastAsia="宋体"/>
          <w:b w:val="0"/>
          <w:color w:val="1A1A1A"/>
          <w:sz w:val="21"/>
          <w:vertAlign w:val="superscript"/>
        </w:rPr>
        <w:t>[20]</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并不冲突：前者限定于已诊断冠心病的发作场景，后者覆盖未分化的急性胸痛；两者的衔接边界是"诊断状态"——已确诊冠心病且症状符合既往心绞痛特征者，含服推荐成立；任何新发、持续、恶化或伴警示特征的胸痛，一律进入急诊路径。</w:t>
      </w:r>
    </w:p>
    <w:p>
      <w:pPr>
        <w:spacing w:after="100" w:before="240" w:line="300" w:lineRule="auto"/>
      </w:pPr>
      <w:r>
        <w:rPr>
          <w:rFonts w:ascii="Times New Roman" w:hAnsi="Times New Roman" w:eastAsia="黑体"/>
          <w:b/>
          <w:color w:val="1A1A1A"/>
          <w:sz w:val="25"/>
        </w:rPr>
        <w:t>推导与外推</w:t>
      </w:r>
    </w:p>
    <w:p>
      <w:pPr>
        <w:spacing w:after="120" w:before="0" w:line="348" w:lineRule="auto"/>
        <w:ind w:firstLine="420"/>
      </w:pPr>
      <w:r>
        <w:rPr>
          <w:rFonts w:ascii="Times New Roman" w:hAnsi="Times New Roman" w:eastAsia="宋体"/>
          <w:b w:val="0"/>
          <w:color w:val="1A1A1A"/>
          <w:sz w:val="21"/>
        </w:rPr>
        <w:t>〔推导〕</w:t>
      </w:r>
      <w:r>
        <w:rPr>
          <w:rFonts w:ascii="Times New Roman" w:hAnsi="Times New Roman" w:eastAsia="宋体"/>
          <w:b/>
          <w:color w:val="1A1A1A"/>
          <w:sz w:val="21"/>
        </w:rPr>
        <w:t>静脉川芎嗪的降压量级不可外推至舌下含服本品联用场景。</w:t>
      </w:r>
      <w:r>
        <w:rPr>
          <w:rFonts w:ascii="Times New Roman" w:hAnsi="Times New Roman" w:eastAsia="宋体"/>
          <w:b w:val="0"/>
          <w:color w:val="1A1A1A"/>
          <w:sz w:val="21"/>
        </w:rPr>
        <w:t xml:space="preserve"> 若将妊娠期高血压 meta 分析中静脉川芎嗪的收缩压 WMD −11.73 mmHg（95%CI −14.12~−9.34）</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直接用作"本品＋降压药"联用的预期额外降压幅度，需同时满足三项条件：(1) 给药途径等效（实为静脉注射单方注射液 vs 舌下/口服复方滴丸）；(2) 暴露剂量等效（川芎嗪单方注射剂量 vs 本品每丸含川芎以阿魏酸计 ≥15 μg、冰片 2.9–4.4 mg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）；(3) 目标人群等效（妊娠期高血压 vs 成人/老年高血压合并冠心病）。三项均不成立，故该数值只支持"方向"，不支持"量级"；联用后的实际额外降压幅度可能显著小于 −11.73 mmHg，但无药代数据支撑任何下限假设。敏感性分析：若未来舌下/口服途径达到与静脉等效的活性成分暴露（目前无证据），量级可向 −11.7 mmHg 逼近；该结论随"本品川芎嗪生物利用度"数据出现而可更新。该推导不进入安全处置建议，安全处置仅使用已测量证据。</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〔推导〕</w:t>
      </w:r>
      <w:r>
        <w:rPr>
          <w:rFonts w:ascii="Times New Roman" w:hAnsi="Times New Roman" w:eastAsia="宋体"/>
          <w:b/>
          <w:color w:val="1A1A1A"/>
          <w:sz w:val="21"/>
        </w:rPr>
        <w:t>含服反应的判别代价可量化。</w:t>
      </w:r>
      <w:r>
        <w:rPr>
          <w:rFonts w:ascii="Times New Roman" w:hAnsi="Times New Roman" w:eastAsia="宋体"/>
          <w:b w:val="0"/>
          <w:color w:val="1A1A1A"/>
          <w:sz w:val="21"/>
        </w:rPr>
        <w:t xml:space="preserve"> 以硝酸甘油判别数据（灵敏度 72%、特异度 37% </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 xml:space="preserve">）代入：100 例真实心源性胸痛中约 28 例含服不缓解（若以此放弃就医则为漏判），100 例非心源性中约 63 例含服缓解（若以此推迟就医则为误判）；对"胸闷自行含服、不缓解再就医"策略，其净效应是同时引入漏判与延迟两个方向的风险，而急诊路径（心电图＋肌钙蛋白）在 10 分钟至 1–2 小时内即可消除该不确定性 </w:t>
      </w:r>
      <w:r>
        <w:rPr>
          <w:rFonts w:ascii="Times New Roman" w:hAnsi="Times New Roman" w:eastAsia="宋体"/>
          <w:b w:val="0"/>
          <w:color w:val="1A1A1A"/>
          <w:sz w:val="21"/>
          <w:vertAlign w:val="superscript"/>
        </w:rPr>
        <w:t>[20]</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。该推算基于硝酸酯数据，本品无同类实测，仅用于说明策略的代价结构。</w:t>
      </w:r>
      <w:r>
        <w:rPr>
          <w:rFonts w:ascii="Times New Roman" w:hAnsi="Times New Roman" w:eastAsia="宋体"/>
          <w:b w:val="0"/>
          <w:color w:val="1A1A1A"/>
          <w:sz w:val="21"/>
          <w:vertAlign w:val="superscript"/>
        </w:rPr>
        <w:t>[17]</w:t>
      </w:r>
    </w:p>
    <w:p>
      <w:pPr>
        <w:spacing w:after="100" w:before="240" w:line="300" w:lineRule="auto"/>
      </w:pPr>
      <w:r>
        <w:rPr>
          <w:rFonts w:ascii="Times New Roman" w:hAnsi="Times New Roman" w:eastAsia="黑体"/>
          <w:b/>
          <w:color w:val="1A1A1A"/>
          <w:sz w:val="25"/>
        </w:rPr>
        <w:t>讨论</w:t>
      </w:r>
    </w:p>
    <w:p>
      <w:pPr>
        <w:spacing w:after="120" w:before="0" w:line="348" w:lineRule="auto"/>
        <w:ind w:firstLine="420"/>
      </w:pPr>
      <w:r>
        <w:rPr>
          <w:rFonts w:ascii="Times New Roman" w:hAnsi="Times New Roman" w:eastAsia="宋体"/>
          <w:b w:val="0"/>
          <w:color w:val="1A1A1A"/>
          <w:sz w:val="21"/>
        </w:rPr>
        <w:t>本论证整体确立的命题是：</w:t>
      </w:r>
      <w:r>
        <w:rPr>
          <w:rFonts w:ascii="Times New Roman" w:hAnsi="Times New Roman" w:eastAsia="宋体"/>
          <w:b/>
          <w:color w:val="1A1A1A"/>
          <w:sz w:val="21"/>
        </w:rPr>
        <w:t>速效救心丸对"高血压合并冠心病心绞痛发作"的短期症状获益方向明确但合并人群未被单独验证；协同降压是真实存在的人体药理学效应（组分层级），其联用量级与低血压事件率是当前证据结构性的空白；常备策略无结局证据。</w:t>
      </w:r>
      <w:r>
        <w:rPr>
          <w:rFonts w:ascii="Times New Roman" w:hAnsi="Times New Roman" w:eastAsia="宋体"/>
          <w:b w:val="0"/>
          <w:color w:val="1A1A1A"/>
          <w:sz w:val="21"/>
        </w:rPr>
        <w:t xml:space="preserve"> 三个命题中，命题 B 是最脆弱也最需要临床注意的一环——它的方向由机制与人体数据支撑，它的量级由"无研究"支撑，而真实世界中本品与降压药（含 β 阻滞剂、硝酸异山梨酯、血管扩张药等）联用普遍存在 </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w:t>
      </w:r>
    </w:p>
    <w:p>
      <w:pPr>
        <w:spacing w:after="120" w:before="0" w:line="348" w:lineRule="auto"/>
        <w:ind w:firstLine="420"/>
      </w:pPr>
      <w:r>
        <w:rPr>
          <w:rFonts w:ascii="Times New Roman" w:hAnsi="Times New Roman" w:eastAsia="宋体"/>
          <w:b w:val="0"/>
          <w:color w:val="1A1A1A"/>
          <w:sz w:val="21"/>
        </w:rPr>
        <w:t>必须区分急性未分化症状与已诊断慢性病：2024 年试验等全部疗效证据针对的是</w:t>
      </w:r>
      <w:r>
        <w:rPr>
          <w:rFonts w:ascii="Times New Roman" w:hAnsi="Times New Roman" w:eastAsia="宋体"/>
          <w:b/>
          <w:color w:val="1A1A1A"/>
          <w:sz w:val="21"/>
        </w:rPr>
        <w:t>已诊断</w:t>
      </w:r>
      <w:r>
        <w:rPr>
          <w:rFonts w:ascii="Times New Roman" w:hAnsi="Times New Roman" w:eastAsia="宋体"/>
          <w:b w:val="0"/>
          <w:color w:val="1A1A1A"/>
          <w:sz w:val="21"/>
        </w:rPr>
        <w:t xml:space="preserve">慢性冠脉综合征的发作性心绞痛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；对</w:t>
      </w:r>
      <w:r>
        <w:rPr>
          <w:rFonts w:ascii="Times New Roman" w:hAnsi="Times New Roman" w:eastAsia="宋体"/>
          <w:b/>
          <w:color w:val="1A1A1A"/>
          <w:sz w:val="21"/>
        </w:rPr>
        <w:t>未分化</w:t>
      </w:r>
      <w:r>
        <w:rPr>
          <w:rFonts w:ascii="Times New Roman" w:hAnsi="Times New Roman" w:eastAsia="宋体"/>
          <w:b w:val="0"/>
          <w:color w:val="1A1A1A"/>
          <w:sz w:val="21"/>
        </w:rPr>
        <w:t xml:space="preserve">的急性胸痛（尤其高血压急症背景下的胸痛），指南路径是血压外的靶器官损害判别、10 分钟心电图与肌钙蛋白算法 </w:t>
      </w:r>
      <w:r>
        <w:rPr>
          <w:rFonts w:ascii="Times New Roman" w:hAnsi="Times New Roman" w:eastAsia="宋体"/>
          <w:b w:val="0"/>
          <w:color w:val="1A1A1A"/>
          <w:sz w:val="21"/>
          <w:vertAlign w:val="superscript"/>
        </w:rPr>
        <w:t>[20]</w:t>
      </w:r>
      <w:r>
        <w:rPr>
          <w:rFonts w:ascii="Times New Roman" w:hAnsi="Times New Roman" w:eastAsia="宋体"/>
          <w:b w:val="0"/>
          <w:color w:val="1A1A1A"/>
          <w:sz w:val="21"/>
          <w:vertAlign w:val="superscript"/>
        </w:rPr>
        <w:t>[21]</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，含服自救不位于该路径中，且含服反应不具判别价值 </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w:t>
      </w:r>
    </w:p>
    <w:p>
      <w:pPr>
        <w:spacing w:after="120" w:before="0" w:line="348" w:lineRule="auto"/>
        <w:ind w:firstLine="420"/>
      </w:pPr>
      <w:r>
        <w:rPr>
          <w:rFonts w:ascii="Times New Roman" w:hAnsi="Times New Roman" w:eastAsia="宋体"/>
          <w:b w:val="0"/>
          <w:color w:val="1A1A1A"/>
          <w:sz w:val="21"/>
        </w:rPr>
        <w:t>能定案本研究问题的最小研究设计：以高血压合并冠心病、接受稳定规范降压治疗（药物与剂量固定 ≥4 周）的患者为人群，本品 vs 安慰剂加用于标准治疗，随访 ≥12 周，主终点为心绞痛发作频率/SAQ 变化，</w:t>
      </w:r>
      <w:r>
        <w:rPr>
          <w:rFonts w:ascii="Times New Roman" w:hAnsi="Times New Roman" w:eastAsia="宋体"/>
          <w:b/>
          <w:color w:val="1A1A1A"/>
          <w:sz w:val="21"/>
        </w:rPr>
        <w:t>安全终点为 24 小时动态血压变化、症状性低血压（含头晕/黑矇/晕厥）事件率</w:t>
      </w:r>
      <w:r>
        <w:rPr>
          <w:rFonts w:ascii="Times New Roman" w:hAnsi="Times New Roman" w:eastAsia="宋体"/>
          <w:b w:val="0"/>
          <w:color w:val="1A1A1A"/>
          <w:sz w:val="21"/>
        </w:rPr>
        <w:t>，并预设血压达标与否的分层；同时需一份本品与 CCB/ACEI/ARB/β 阻滞剂/利尿剂/硝酸酯的人体药代或药效相互作用研究。在上述数据出现前，"联用血压变化幅度与低血压事件发生率"只能如实表述为未检索到。</w:t>
      </w:r>
    </w:p>
    <w:p>
      <w:pPr>
        <w:spacing w:after="100" w:before="240" w:line="300" w:lineRule="auto"/>
      </w:pPr>
      <w:r>
        <w:rPr>
          <w:rFonts w:ascii="Times New Roman" w:hAnsi="Times New Roman" w:eastAsia="黑体"/>
          <w:b/>
          <w:color w:val="1A1A1A"/>
          <w:sz w:val="25"/>
        </w:rPr>
        <w:t>证据局限</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说明书原文核验缺口（首要局限）</w:t>
      </w:r>
      <w:r>
        <w:rPr>
          <w:rFonts w:ascii="Times New Roman" w:hAnsi="Times New Roman" w:eastAsia="宋体"/>
          <w:b w:val="0"/>
          <w:color w:val="1A1A1A"/>
          <w:sz w:val="21"/>
        </w:rPr>
        <w:t xml:space="preserve">：NMPA 现行说明书未能经本环境可用官方通道取得，字段以索引副本＋公开转载页为准，禁忌/注意事项/相互作用/用法用量的现行完整性待人工核验 </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；"相互作用栏有无记载"本身不可核验，这直接限制边界判定的完备性。</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中文直接证据全部为摘要层</w:t>
      </w:r>
      <w:r>
        <w:rPr>
          <w:rFonts w:ascii="Times New Roman" w:hAnsi="Times New Roman" w:eastAsia="宋体"/>
          <w:b w:val="0"/>
          <w:color w:val="1A1A1A"/>
          <w:sz w:val="21"/>
        </w:rPr>
        <w:t xml:space="preserve">：1995 年（36 例，降压 16.4%/17.4%、心率变缓 76%）、2016 年（缬沙坦联用 68 例，8 周）、2014 年（内皮功能）等联用观察仅具摘要，效应量未进入判定，须获取全文复核 </w:t>
      </w:r>
      <w:r>
        <w:rPr>
          <w:rFonts w:ascii="Times New Roman" w:hAnsi="Times New Roman" w:eastAsia="宋体"/>
          <w:b w:val="0"/>
          <w:color w:val="1A1A1A"/>
          <w:sz w:val="21"/>
          <w:vertAlign w:val="superscript"/>
        </w:rPr>
        <w:t>[25]</w:t>
      </w:r>
      <w:r>
        <w:rPr>
          <w:rFonts w:ascii="Times New Roman" w:hAnsi="Times New Roman" w:eastAsia="宋体"/>
          <w:b w:val="0"/>
          <w:color w:val="1A1A1A"/>
          <w:sz w:val="21"/>
          <w:vertAlign w:val="superscript"/>
        </w:rPr>
        <w:t>[26]</w:t>
      </w:r>
      <w:r>
        <w:rPr>
          <w:rFonts w:ascii="Times New Roman" w:hAnsi="Times New Roman" w:eastAsia="宋体"/>
          <w:b w:val="0"/>
          <w:color w:val="1A1A1A"/>
          <w:sz w:val="21"/>
          <w:vertAlign w:val="superscript"/>
        </w:rPr>
        <w:t>[27]</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关键全文不可得</w:t>
      </w:r>
      <w:r>
        <w:rPr>
          <w:rFonts w:ascii="Times New Roman" w:hAnsi="Times New Roman" w:eastAsia="宋体"/>
          <w:b w:val="0"/>
          <w:color w:val="1A1A1A"/>
          <w:sz w:val="21"/>
        </w:rPr>
        <w:t>：2024 年 24 周试验（324 例）</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、2020 年 ACS-PCI 试验（200 例）</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、2020 年 ACS 系统评价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、CYP/转运体相互作用研究（离体）</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均为摘要层；2024 中国高血压防治指南、中国高血压急症诊治规范、ESC 2024 CCS 指南、2019 急性胸痛急诊诊疗专家共识仅得索引记录。</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间接性</w:t>
      </w:r>
      <w:r>
        <w:rPr>
          <w:rFonts w:ascii="Times New Roman" w:hAnsi="Times New Roman" w:eastAsia="宋体"/>
          <w:b w:val="0"/>
          <w:color w:val="1A1A1A"/>
          <w:sz w:val="21"/>
        </w:rPr>
        <w:t>：川芎嗪人体降压证据来自妊娠期高血压（人群间接）、静脉给药（途径间接）</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；冰片降压证据来自大鼠（种属间接）</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；含服判别数据来自硝酸甘油（药物间接）</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5. </w:t>
      </w:r>
      <w:r>
        <w:rPr>
          <w:rFonts w:ascii="Times New Roman" w:hAnsi="Times New Roman" w:eastAsia="宋体"/>
          <w:b/>
          <w:color w:val="1A1A1A"/>
          <w:sz w:val="21"/>
        </w:rPr>
        <w:t>证据形式与质量</w:t>
      </w:r>
      <w:r>
        <w:rPr>
          <w:rFonts w:ascii="Times New Roman" w:hAnsi="Times New Roman" w:eastAsia="宋体"/>
          <w:b w:val="0"/>
          <w:color w:val="1A1A1A"/>
          <w:sz w:val="21"/>
        </w:rPr>
        <w:t>：2018 年 meta 纳入研究以 Jadad 评分普遍偏低（缺乏双盲）</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；2024 年试验为 4 周短期研究、未设血压终点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；所有英文 RCT 均在中国开展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6. </w:t>
      </w:r>
      <w:r>
        <w:rPr>
          <w:rFonts w:ascii="Times New Roman" w:hAnsi="Times New Roman" w:eastAsia="宋体"/>
          <w:b/>
          <w:color w:val="1A1A1A"/>
          <w:sz w:val="21"/>
        </w:rPr>
        <w:t>阴性表述边界</w:t>
      </w:r>
      <w:r>
        <w:rPr>
          <w:rFonts w:ascii="Times New Roman" w:hAnsi="Times New Roman" w:eastAsia="宋体"/>
          <w:b w:val="0"/>
          <w:color w:val="1A1A1A"/>
          <w:sz w:val="21"/>
        </w:rPr>
        <w:t>：本报告所有"未检索到"均指本检索覆盖范围（PubMed、Europe PMC、Crossref、中文索引、指南索引、注册库、说明书索引），不构成对"不存在"的证明。</w:t>
      </w:r>
    </w:p>
    <w:p>
      <w:pPr>
        <w:spacing w:after="100" w:before="240" w:line="300" w:lineRule="auto"/>
      </w:pPr>
      <w:r>
        <w:rPr>
          <w:rFonts w:ascii="Times New Roman" w:hAnsi="Times New Roman" w:eastAsia="黑体"/>
          <w:b/>
          <w:color w:val="1A1A1A"/>
          <w:sz w:val="25"/>
        </w:rPr>
        <w:t>结论</w:t>
      </w:r>
    </w:p>
    <w:p>
      <w:pPr>
        <w:spacing w:after="120" w:before="0" w:line="348" w:lineRule="auto"/>
        <w:ind w:firstLine="420"/>
      </w:pPr>
      <w:r>
        <w:rPr>
          <w:rFonts w:ascii="Times New Roman" w:hAnsi="Times New Roman" w:eastAsia="宋体"/>
          <w:b w:val="0"/>
          <w:color w:val="1A1A1A"/>
          <w:sz w:val="21"/>
        </w:rPr>
        <w:t>按任务书判定条件，汇总判定如下：</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3097"/>
        <w:gridCol w:w="3097"/>
        <w:gridCol w:w="3097"/>
      </w:tblGrid>
      <w:tr>
        <w:tc>
          <w:tcPr>
            <w:tcW w:type="dxa" w:w="3097"/>
            <w:tcBorders>
              <w:bottom w:val="single" w:sz="6" w:color="1A1A1A"/>
            </w:tcBorders>
          </w:tcPr>
          <w:p>
            <w:pPr>
              <w:jc w:val="center"/>
            </w:pPr>
            <w:r>
              <w:rPr>
                <w:rFonts w:ascii="Times New Roman" w:hAnsi="Times New Roman" w:eastAsia="宋体"/>
                <w:b/>
                <w:color w:val="1A1A1A"/>
                <w:sz w:val="17"/>
              </w:rPr>
              <w:t>命题</w:t>
            </w:r>
          </w:p>
        </w:tc>
        <w:tc>
          <w:tcPr>
            <w:tcW w:type="dxa" w:w="3097"/>
            <w:tcBorders>
              <w:bottom w:val="single" w:sz="6" w:color="1A1A1A"/>
            </w:tcBorders>
          </w:tcPr>
          <w:p>
            <w:pPr>
              <w:jc w:val="center"/>
            </w:pPr>
            <w:r>
              <w:rPr>
                <w:rFonts w:ascii="Times New Roman" w:hAnsi="Times New Roman" w:eastAsia="宋体"/>
                <w:b/>
                <w:color w:val="1A1A1A"/>
                <w:sz w:val="17"/>
              </w:rPr>
              <w:t>判定</w:t>
            </w:r>
          </w:p>
        </w:tc>
        <w:tc>
          <w:tcPr>
            <w:tcW w:type="dxa" w:w="3097"/>
            <w:tcBorders>
              <w:bottom w:val="single" w:sz="6" w:color="1A1A1A"/>
            </w:tcBorders>
          </w:tcPr>
          <w:p>
            <w:pPr>
              <w:jc w:val="center"/>
            </w:pPr>
            <w:r>
              <w:rPr>
                <w:rFonts w:ascii="Times New Roman" w:hAnsi="Times New Roman" w:eastAsia="宋体"/>
                <w:b/>
                <w:color w:val="1A1A1A"/>
                <w:sz w:val="17"/>
              </w:rPr>
              <w:t>依据与合规改写</w:t>
            </w:r>
          </w:p>
        </w:tc>
      </w:tr>
      <w:tr>
        <w:tc>
          <w:tcPr>
            <w:tcW w:type="dxa" w:w="3097"/>
          </w:tcPr>
          <w:p>
            <w:r>
              <w:rPr>
                <w:rFonts w:ascii="Times New Roman" w:hAnsi="Times New Roman" w:eastAsia="宋体"/>
                <w:b w:val="0"/>
                <w:color w:val="1A1A1A"/>
                <w:sz w:val="17"/>
              </w:rPr>
              <w:t>A：本品可用于高血压合并冠心病者的心绞痛发作</w:t>
            </w:r>
          </w:p>
        </w:tc>
        <w:tc>
          <w:tcPr>
            <w:tcW w:type="dxa" w:w="3097"/>
          </w:tcPr>
          <w:p>
            <w:r>
              <w:rPr>
                <w:rFonts w:ascii="Times New Roman" w:hAnsi="Times New Roman" w:eastAsia="宋体"/>
                <w:b/>
                <w:color w:val="1A1A1A"/>
                <w:sz w:val="17"/>
              </w:rPr>
              <w:t>部分支持（降级）</w:t>
            </w:r>
          </w:p>
        </w:tc>
        <w:tc>
          <w:tcPr>
            <w:tcW w:type="dxa" w:w="3097"/>
          </w:tcPr>
          <w:p>
            <w:r>
              <w:rPr>
                <w:rFonts w:ascii="Times New Roman" w:hAnsi="Times New Roman" w:eastAsia="宋体"/>
                <w:b w:val="0"/>
                <w:color w:val="1A1A1A"/>
                <w:sz w:val="17"/>
              </w:rPr>
              <w:t>人群一落在适应症边界内且有短期 RCT 与指南推荐；但"合并高血压、接受抗高血压治疗"亚组未单独验证、无血压终点 → 合规表述："适应症内有证据，该合并人群未被单独验证；含服限于确诊冠心病（气滞血瘀型）的心绞痛发作，正在规律降压者含服后需警惕头晕等低血压先兆"</w:t>
            </w:r>
          </w:p>
        </w:tc>
      </w:tr>
      <w:tr>
        <w:tc>
          <w:tcPr>
            <w:tcW w:type="dxa" w:w="3097"/>
          </w:tcPr>
          <w:p>
            <w:r>
              <w:rPr>
                <w:rFonts w:ascii="Times New Roman" w:hAnsi="Times New Roman" w:eastAsia="宋体"/>
                <w:b w:val="0"/>
                <w:color w:val="1A1A1A"/>
                <w:sz w:val="17"/>
              </w:rPr>
              <w:t>B：与降压药存在协同降压风险</w:t>
            </w:r>
          </w:p>
        </w:tc>
        <w:tc>
          <w:tcPr>
            <w:tcW w:type="dxa" w:w="3097"/>
          </w:tcPr>
          <w:p>
            <w:r>
              <w:rPr>
                <w:rFonts w:ascii="Times New Roman" w:hAnsi="Times New Roman" w:eastAsia="宋体"/>
                <w:b/>
                <w:color w:val="1A1A1A"/>
                <w:sz w:val="17"/>
              </w:rPr>
              <w:t>部分支持（方向成立、量级未知）</w:t>
            </w:r>
          </w:p>
        </w:tc>
        <w:tc>
          <w:tcPr>
            <w:tcW w:type="dxa" w:w="3097"/>
          </w:tcPr>
          <w:p>
            <w:r>
              <w:rPr>
                <w:rFonts w:ascii="Times New Roman" w:hAnsi="Times New Roman" w:eastAsia="宋体"/>
                <w:b w:val="0"/>
                <w:color w:val="1A1A1A"/>
                <w:sz w:val="17"/>
              </w:rPr>
              <w:t>有机制证据（人动脉完全舒张、川芎嗪钙拮抗样）与人体药效学证据（川芎嗪静脉加用降收缩压约 11.7 mmHg）；但未检索到直接研究本品＋降压药联用的血压幅度与低血压事件率的证据，且存在离体 CYP/转运体相互作用线索 → 合规表述："机制上可致血压下降；联用风险量级未知；未检索到直接研究该联用的证据"</w:t>
            </w:r>
          </w:p>
        </w:tc>
      </w:tr>
      <w:tr>
        <w:tc>
          <w:tcPr>
            <w:tcW w:type="dxa" w:w="3097"/>
          </w:tcPr>
          <w:p>
            <w:r>
              <w:rPr>
                <w:rFonts w:ascii="Times New Roman" w:hAnsi="Times New Roman" w:eastAsia="宋体"/>
                <w:b w:val="0"/>
                <w:color w:val="1A1A1A"/>
                <w:sz w:val="17"/>
              </w:rPr>
              <w:t>C：高血压患者应普遍常备本品</w:t>
            </w:r>
          </w:p>
        </w:tc>
        <w:tc>
          <w:tcPr>
            <w:tcW w:type="dxa" w:w="3097"/>
          </w:tcPr>
          <w:p>
            <w:r>
              <w:rPr>
                <w:rFonts w:ascii="Times New Roman" w:hAnsi="Times New Roman" w:eastAsia="宋体"/>
                <w:b/>
                <w:color w:val="1A1A1A"/>
                <w:sz w:val="17"/>
              </w:rPr>
              <w:t>无证据支持</w:t>
            </w:r>
          </w:p>
        </w:tc>
        <w:tc>
          <w:tcPr>
            <w:tcW w:type="dxa" w:w="3097"/>
          </w:tcPr>
          <w:p>
            <w:r>
              <w:rPr>
                <w:rFonts w:ascii="Times New Roman" w:hAnsi="Times New Roman" w:eastAsia="宋体"/>
                <w:b w:val="0"/>
                <w:color w:val="1A1A1A"/>
                <w:sz w:val="17"/>
              </w:rPr>
              <w:t>无结局终点检验常备策略的研究；对无冠心病诊断的单纯高血压人群直接写出"无适应症内证据"</w:t>
            </w:r>
          </w:p>
        </w:tc>
      </w:tr>
    </w:tbl>
    <w:p>
      <w:pPr>
        <w:spacing w:after="80" w:before="0" w:line="348" w:lineRule="auto"/>
      </w:pPr>
    </w:p>
    <w:p>
      <w:pPr>
        <w:spacing w:after="120" w:before="0" w:line="348" w:lineRule="auto"/>
        <w:ind w:firstLine="420"/>
      </w:pPr>
      <w:r>
        <w:rPr>
          <w:rFonts w:ascii="Times New Roman" w:hAnsi="Times New Roman" w:eastAsia="宋体"/>
          <w:b w:val="0"/>
          <w:color w:val="1A1A1A"/>
          <w:sz w:val="21"/>
        </w:rPr>
        <w:t>三类人群最终判定：</w:t>
      </w:r>
      <w:r>
        <w:rPr>
          <w:rFonts w:ascii="Times New Roman" w:hAnsi="Times New Roman" w:eastAsia="宋体"/>
          <w:b/>
          <w:color w:val="1A1A1A"/>
          <w:sz w:val="21"/>
        </w:rPr>
        <w:t>人群一（高血压＋冠心病＋心绞痛发作）＝适应症边界内，有证据但合并人群未单独验证；人群二（高血压＋冠心病、无发作）＝无适应症内证据；人群三（无冠心病诊断的单纯高血压）＝无适应症内证据。</w:t>
      </w:r>
      <w:r>
        <w:rPr>
          <w:rFonts w:ascii="Times New Roman" w:hAnsi="Times New Roman" w:eastAsia="宋体"/>
          <w:b w:val="0"/>
          <w:color w:val="1A1A1A"/>
          <w:sz w:val="21"/>
        </w:rPr>
        <w:t xml:space="preserve"> 题库目标答案仅"可用于高血压合并冠心病患者的心绞痛急救"方向与边界内证据相容，"但需警惕协同降压作用"成立但须补足"量级未知、未检索到联用直接证据"的限定；目标答案不得被解读为对人群二、人群三或常备策略的背书。</w:t>
      </w:r>
    </w:p>
    <w:p>
      <w:pPr>
        <w:spacing w:after="100" w:before="240" w:line="300" w:lineRule="auto"/>
      </w:pPr>
      <w:r>
        <w:rPr>
          <w:rFonts w:ascii="Times New Roman" w:hAnsi="Times New Roman" w:eastAsia="黑体"/>
          <w:b/>
          <w:color w:val="1A1A1A"/>
          <w:sz w:val="25"/>
        </w:rPr>
        <w:t>安全优先的实际处置</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任何突发、持续且不缓解的胸痛或不适（含高血压患者），立即呼叫 120，不得先自行含服药物观察</w:t>
      </w:r>
      <w:r>
        <w:rPr>
          <w:rFonts w:ascii="Times New Roman" w:hAnsi="Times New Roman" w:eastAsia="宋体"/>
          <w:b w:val="0"/>
          <w:color w:val="1A1A1A"/>
          <w:sz w:val="21"/>
        </w:rPr>
        <w:t>——含服任何药物都不得成为推迟呼叫与急诊评估的理由。</w:t>
      </w:r>
      <w:r>
        <w:rPr>
          <w:rFonts w:ascii="Times New Roman" w:hAnsi="Times New Roman" w:eastAsia="宋体"/>
          <w:b w:val="0"/>
          <w:color w:val="1A1A1A"/>
          <w:sz w:val="21"/>
          <w:vertAlign w:val="superscript"/>
        </w:rPr>
        <w:t>[24]</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含服后缓解不能用于判断或排除心源性疾病</w:t>
      </w:r>
      <w:r>
        <w:rPr>
          <w:rFonts w:ascii="Times New Roman" w:hAnsi="Times New Roman" w:eastAsia="宋体"/>
          <w:b w:val="0"/>
          <w:color w:val="1A1A1A"/>
          <w:sz w:val="21"/>
        </w:rPr>
        <w:t>：硝酸甘油缓解对心源性胸痛灵敏度 72%、特异度 37%、阳性似然比 1.1；本品无判别数据，缓解与否均不改变急诊评估的必要性。</w:t>
      </w:r>
      <w:r>
        <w:rPr>
          <w:rFonts w:ascii="Times New Roman" w:hAnsi="Times New Roman" w:eastAsia="宋体"/>
          <w:b w:val="0"/>
          <w:color w:val="1A1A1A"/>
          <w:sz w:val="21"/>
          <w:vertAlign w:val="superscript"/>
        </w:rPr>
        <w:t>[17]</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急诊评估以心电图与肌钙蛋白为准</w:t>
      </w:r>
      <w:r>
        <w:rPr>
          <w:rFonts w:ascii="Times New Roman" w:hAnsi="Times New Roman" w:eastAsia="宋体"/>
          <w:b w:val="0"/>
          <w:color w:val="1A1A1A"/>
          <w:sz w:val="21"/>
        </w:rPr>
        <w:t>：疑似缺血患者 10 分钟内完成心电图，高敏肌钙蛋白按 0/1 小时（或 0/2 小时）算法快速排除/确诊，并以结构化风险分层分流。</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[20]</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已确诊冠心病（气滞血瘀型）的高血压患者，心绞痛发作时可按说明书舌下含服本品</w:t>
      </w:r>
      <w:r>
        <w:rPr>
          <w:rFonts w:ascii="Times New Roman" w:hAnsi="Times New Roman" w:eastAsia="宋体"/>
          <w:b w:val="0"/>
          <w:color w:val="1A1A1A"/>
          <w:sz w:val="21"/>
        </w:rPr>
        <w:t xml:space="preserve">；但若含服后不缓解、或伴出汗、放射痛、气短、恶心等警示特征，或发作特征与既往不同，立即呼叫 120 并急诊评估；本品的急性发作用法为 10–15 粒舌下含服（公开转载版说明书 </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，官方现行版待核验）。</w:t>
      </w:r>
      <w:r>
        <w:rPr>
          <w:rFonts w:ascii="Times New Roman" w:hAnsi="Times New Roman" w:eastAsia="宋体"/>
          <w:b w:val="0"/>
          <w:color w:val="1A1A1A"/>
          <w:sz w:val="21"/>
          <w:vertAlign w:val="superscript"/>
        </w:rPr>
        <w:t>[15]</w:t>
      </w:r>
    </w:p>
    <w:p>
      <w:pPr>
        <w:spacing w:after="60" w:before="0" w:line="336" w:lineRule="auto"/>
        <w:ind w:left="340"/>
      </w:pPr>
      <w:r>
        <w:rPr>
          <w:rFonts w:ascii="Times New Roman" w:hAnsi="Times New Roman" w:eastAsia="宋体"/>
          <w:b w:val="0"/>
          <w:color w:val="1A1A1A"/>
          <w:sz w:val="21"/>
        </w:rPr>
        <w:t xml:space="preserve">5. </w:t>
      </w:r>
      <w:r>
        <w:rPr>
          <w:rFonts w:ascii="Times New Roman" w:hAnsi="Times New Roman" w:eastAsia="宋体"/>
          <w:b/>
          <w:color w:val="1A1A1A"/>
          <w:sz w:val="21"/>
        </w:rPr>
        <w:t>正在规律服用降压药者含服后监测血压与症状</w:t>
      </w:r>
      <w:r>
        <w:rPr>
          <w:rFonts w:ascii="Times New Roman" w:hAnsi="Times New Roman" w:eastAsia="宋体"/>
          <w:b w:val="0"/>
          <w:color w:val="1A1A1A"/>
          <w:sz w:val="21"/>
        </w:rPr>
        <w:t>：出现头晕、乏力、黑矇、晕厥前兆，或测得收缩压明显下降（如 &lt;90 mmHg 或较平时下降 &gt;30 mmHg）时，立即平卧并呼叫 120（此阈值为硝酸酯类既有参照，本品无自身阈值，属保守套用）。</w:t>
      </w:r>
      <w:r>
        <w:rPr>
          <w:rFonts w:ascii="Times New Roman" w:hAnsi="Times New Roman" w:eastAsia="宋体"/>
          <w:b w:val="0"/>
          <w:color w:val="1A1A1A"/>
          <w:sz w:val="21"/>
          <w:vertAlign w:val="superscript"/>
        </w:rPr>
        <w:t>[18]</w:t>
      </w:r>
    </w:p>
    <w:p>
      <w:pPr>
        <w:spacing w:after="60" w:before="0" w:line="336" w:lineRule="auto"/>
        <w:ind w:left="340"/>
      </w:pPr>
      <w:r>
        <w:rPr>
          <w:rFonts w:ascii="Times New Roman" w:hAnsi="Times New Roman" w:eastAsia="宋体"/>
          <w:b w:val="0"/>
          <w:color w:val="1A1A1A"/>
          <w:sz w:val="21"/>
        </w:rPr>
        <w:t xml:space="preserve">6. </w:t>
      </w:r>
      <w:r>
        <w:rPr>
          <w:rFonts w:ascii="Times New Roman" w:hAnsi="Times New Roman" w:eastAsia="宋体"/>
          <w:b/>
          <w:color w:val="1A1A1A"/>
          <w:sz w:val="21"/>
        </w:rPr>
        <w:t>无冠心病诊断的单纯高血压者，胸闷胸痛一律按未分化急性胸痛走急诊评估路径</w:t>
      </w:r>
      <w:r>
        <w:rPr>
          <w:rFonts w:ascii="Times New Roman" w:hAnsi="Times New Roman" w:eastAsia="宋体"/>
          <w:b w:val="0"/>
          <w:color w:val="1A1A1A"/>
          <w:sz w:val="21"/>
        </w:rPr>
        <w:t>，本品含服无适应症内证据，不得作为常规自救；本品不得替代任何已处方的抗高血压与二级预防治疗。</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[15]</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Hu Y, Wang Y, Wang S, et al. Efficacy and Safety of Suxiao Jiuxin Pills in the Treatment of Chronic Coronary Syndrome with Intolerance to Adverse Effects of Long-acting Nitrates: A Multicenter, Randomized, Double-blind, Placebo-controlled Study. BMC Complement Med Ther. 2024;24:356. doi:10.1186/s12906-024-04661-5. PMID:39367481. PMCID:PMC11451125. URL:https://europepmc.org/articles/PMC11451125</w:t>
      </w:r>
    </w:p>
    <w:p>
      <w:pPr>
        <w:spacing w:after="60" w:before="0" w:line="336" w:lineRule="auto"/>
        <w:ind w:left="340"/>
      </w:pPr>
      <w:r>
        <w:rPr>
          <w:rFonts w:ascii="Times New Roman" w:hAnsi="Times New Roman" w:eastAsia="宋体"/>
          <w:b w:val="0"/>
          <w:color w:val="1A1A1A"/>
          <w:sz w:val="21"/>
        </w:rPr>
        <w:t>2. Sun YL, Yao YL, Jia MJ, et al. Evaluation of the efficacy and safety of Suxiao Jiuxin Pill in the treatment of stable angina: a randomized, double-blind, placebo-controlled, multi-center clinical trial. J Ethnopharmacol. 2024;318 Pt A:116959. doi:10.1016/j.jep.2023.116959. PMID:37487965. (摘要层)</w:t>
      </w:r>
    </w:p>
    <w:p>
      <w:pPr>
        <w:spacing w:after="60" w:before="0" w:line="336" w:lineRule="auto"/>
        <w:ind w:left="340"/>
      </w:pPr>
      <w:r>
        <w:rPr>
          <w:rFonts w:ascii="Times New Roman" w:hAnsi="Times New Roman" w:eastAsia="宋体"/>
          <w:b w:val="0"/>
          <w:color w:val="1A1A1A"/>
          <w:sz w:val="21"/>
        </w:rPr>
        <w:t>3. Ruan X, Li Y, Sun Y, et al. Efficacy and safety of Suxiao Jiuxin Pill in the treatment of stable angina (Qi stagnation and blood stasis syndrome): study protocol of a randomized, double-blind, placebo-controlled, multi-center clinical trial. Trials. 2021;22:466. doi:10.1186/s13063-021-05448-6. PMCID:PMC8287819. URL:https://europepmc.org/articles/PMC8287819</w:t>
      </w:r>
    </w:p>
    <w:p>
      <w:pPr>
        <w:spacing w:after="60" w:before="0" w:line="336" w:lineRule="auto"/>
        <w:ind w:left="340"/>
      </w:pPr>
      <w:r>
        <w:rPr>
          <w:rFonts w:ascii="Times New Roman" w:hAnsi="Times New Roman" w:eastAsia="宋体"/>
          <w:b w:val="0"/>
          <w:color w:val="1A1A1A"/>
          <w:sz w:val="21"/>
        </w:rPr>
        <w:t>4. Ren Y, Feng Y, Wang Y, Li X. Efficacy of Suxiao Jiuxin Pill on Coronary Heart Disease: A Meta-Analysis of Randomized Controlled Trials. Evid Based Complement Alternat Med. 2018;2018:9745804. doi:10.1155/2018/9745804. PMID:29770157. PMCID:PMC5892298. URL:https://europepmc.org/articles/PMC5892298</w:t>
      </w:r>
    </w:p>
    <w:p>
      <w:pPr>
        <w:spacing w:after="60" w:before="0" w:line="336" w:lineRule="auto"/>
        <w:ind w:left="340"/>
      </w:pPr>
      <w:r>
        <w:rPr>
          <w:rFonts w:ascii="Times New Roman" w:hAnsi="Times New Roman" w:eastAsia="宋体"/>
          <w:b w:val="0"/>
          <w:color w:val="1A1A1A"/>
          <w:sz w:val="21"/>
        </w:rPr>
        <w:t>5. Shen Z, Chen T, Deng B, et al. Effects on Suxiao Jiuxin Pills in the Treatment of Patients with Acute Coronary Syndrome Undergoing Early Percutaneous Coronary Intervention: A Multicenter Randomized Double-Blind Placebo-Controlled Trial. J Altern Complement Med. 2020;26(11):1055-1063. doi:10.1089/acm.2020.0014. PMID:32716206. (摘要层)</w:t>
      </w:r>
    </w:p>
    <w:p>
      <w:pPr>
        <w:spacing w:after="60" w:before="0" w:line="336" w:lineRule="auto"/>
        <w:ind w:left="340"/>
      </w:pPr>
      <w:r>
        <w:rPr>
          <w:rFonts w:ascii="Times New Roman" w:hAnsi="Times New Roman" w:eastAsia="宋体"/>
          <w:b w:val="0"/>
          <w:color w:val="1A1A1A"/>
          <w:sz w:val="21"/>
        </w:rPr>
        <w:t>6. Liu C, Duan L, Huang M, et al. Effectiveness and safety of Suxiao Jiuxin pill in treating acute coronary syndrome: a systematic review and meta-analysis. J Tradit Chin Med. 2020;40(4):518-529. doi:10.19852/j.cnki.jtcm.2020.04.002. PMID:32744020. (摘要层)</w:t>
      </w:r>
    </w:p>
    <w:p>
      <w:pPr>
        <w:spacing w:after="60" w:before="0" w:line="336" w:lineRule="auto"/>
        <w:ind w:left="340"/>
      </w:pPr>
      <w:r>
        <w:rPr>
          <w:rFonts w:ascii="Times New Roman" w:hAnsi="Times New Roman" w:eastAsia="宋体"/>
          <w:b w:val="0"/>
          <w:color w:val="1A1A1A"/>
          <w:sz w:val="21"/>
        </w:rPr>
        <w:t>7. Evaluation of potential herb-drug interactions based on the effect of Suxiao Jiuxin Pill on CYP450 enzymes and transporters. J Ethnopharmacol. 2021;279:114408. doi:10.1016/j.jep.2021.114408. PMID:34252529. (摘要层)</w:t>
      </w:r>
    </w:p>
    <w:p>
      <w:pPr>
        <w:spacing w:after="60" w:before="0" w:line="336" w:lineRule="auto"/>
        <w:ind w:left="340"/>
      </w:pPr>
      <w:r>
        <w:rPr>
          <w:rFonts w:ascii="Times New Roman" w:hAnsi="Times New Roman" w:eastAsia="宋体"/>
          <w:b w:val="0"/>
          <w:color w:val="1A1A1A"/>
          <w:sz w:val="21"/>
        </w:rPr>
        <w:t>8. [Clinical characteristics and combined medication of Suxiao Jiuxin Pills in 16 856 elderly patients in real world study]. Zhongguo Zhong Yao Za Zhi. 2020;45. doi:10.19540/j.cnki.cjcmm.20200302.501. PMID:32495590. (摘要层)</w:t>
      </w:r>
    </w:p>
    <w:p>
      <w:pPr>
        <w:spacing w:after="60" w:before="0" w:line="336" w:lineRule="auto"/>
        <w:ind w:left="340"/>
      </w:pPr>
      <w:r>
        <w:rPr>
          <w:rFonts w:ascii="Times New Roman" w:hAnsi="Times New Roman" w:eastAsia="宋体"/>
          <w:b w:val="0"/>
          <w:color w:val="1A1A1A"/>
          <w:sz w:val="21"/>
        </w:rPr>
        <w:t>9. Bai XY, Zhang P, Yang Q, et al. Suxiao Jiuxin Pill Induces Potent Relaxation and Inhibition on Contraction in Human Artery and the Mechanism. Evid Based Complement Alternat Med. 2014;2014:956924. doi:10.1155/2014/956924. PMID:24808920. PMCID:PMC3997901. URL:https://europepmc.org/articles/PMC3997901</w:t>
      </w:r>
    </w:p>
    <w:p>
      <w:pPr>
        <w:spacing w:after="60" w:before="0" w:line="336" w:lineRule="auto"/>
        <w:ind w:left="340"/>
      </w:pPr>
      <w:r>
        <w:rPr>
          <w:rFonts w:ascii="Times New Roman" w:hAnsi="Times New Roman" w:eastAsia="宋体"/>
          <w:b w:val="0"/>
          <w:color w:val="1A1A1A"/>
          <w:sz w:val="21"/>
        </w:rPr>
        <w:t>10. Li S, Zhan J, Wang Y, et al. Suxiao Jiuxin Pill attenuates acute myocardial ischemia via regulation of coronary artery tone. Front Pharmacol. 2023;14:1104243. doi:10.3389/fphar.2023.1104243. PMCID:PMC10206061. URL:https://europepmc.org/articles/PMC10206061</w:t>
      </w:r>
    </w:p>
    <w:p>
      <w:pPr>
        <w:spacing w:after="60" w:before="0" w:line="336" w:lineRule="auto"/>
        <w:ind w:left="340"/>
      </w:pPr>
      <w:r>
        <w:rPr>
          <w:rFonts w:ascii="Times New Roman" w:hAnsi="Times New Roman" w:eastAsia="宋体"/>
          <w:b w:val="0"/>
          <w:color w:val="1A1A1A"/>
          <w:sz w:val="21"/>
        </w:rPr>
        <w:t>11. Ji R, Gan Q, Shu X, Xu R, Huang X, Shen T. The efficacy of Salvia-ligustrazine and Ligustrazine in treating gestational hypertension: a systematic review and meta-analysis. Biomol Biomed. 2024;24(6):1517-1531. doi:10.17305/bb.2024.10743. PMID:39115338. PMCID:PMC11496844. URL:https://europepmc.org/articles/PMC11496844</w:t>
      </w:r>
    </w:p>
    <w:p>
      <w:pPr>
        <w:spacing w:after="60" w:before="0" w:line="336" w:lineRule="auto"/>
        <w:ind w:left="340"/>
      </w:pPr>
      <w:r>
        <w:rPr>
          <w:rFonts w:ascii="Times New Roman" w:hAnsi="Times New Roman" w:eastAsia="宋体"/>
          <w:b w:val="0"/>
          <w:color w:val="1A1A1A"/>
          <w:sz w:val="21"/>
        </w:rPr>
        <w:t>12. Shao H, Zhao L, Chen F, et al. Efficacy of Ligustrazine Injection as Adjunctive Therapy for Angina Pectoris: A Systematic Review and Meta-Analysis. Med Sci Monit. 2015;21:3704. doi:10.12659/msm.895362. PMCID:PMC4671452. URL:https://europepmc.org/articles/PMC4671452</w:t>
      </w:r>
    </w:p>
    <w:p>
      <w:pPr>
        <w:spacing w:after="60" w:before="0" w:line="336" w:lineRule="auto"/>
        <w:ind w:left="340"/>
      </w:pPr>
      <w:r>
        <w:rPr>
          <w:rFonts w:ascii="Times New Roman" w:hAnsi="Times New Roman" w:eastAsia="宋体"/>
          <w:b w:val="0"/>
          <w:color w:val="1A1A1A"/>
          <w:sz w:val="21"/>
        </w:rPr>
        <w:t>13. Pang PK, Shan JJ, Chiu KW. Tetramethylpyrazine, a calcium antagonist. Planta Med. 1996;62(5). doi:10.1055/s-2006-957933. PMID:8923809. (摘要层)</w:t>
      </w:r>
    </w:p>
    <w:p>
      <w:pPr>
        <w:spacing w:after="60" w:before="0" w:line="336" w:lineRule="auto"/>
        <w:ind w:left="340"/>
      </w:pPr>
      <w:r>
        <w:rPr>
          <w:rFonts w:ascii="Times New Roman" w:hAnsi="Times New Roman" w:eastAsia="宋体"/>
          <w:b w:val="0"/>
          <w:color w:val="1A1A1A"/>
          <w:sz w:val="21"/>
        </w:rPr>
        <w:t>14. Luz MS, Gadelha DDA, Andrade KJS, et al. Borneol reduces sympathetic vasomotor hyperactivity and restores depressed baroreflex sensitivity in rats with renovascular hypertension. Hypertens Res. 2022;45(5). doi:10.1038/s41440-022-00868-6. PMID:35194168. (摘要层)</w:t>
      </w:r>
    </w:p>
    <w:p>
      <w:pPr>
        <w:spacing w:after="60" w:before="0" w:line="336" w:lineRule="auto"/>
        <w:ind w:left="340"/>
      </w:pPr>
      <w:r>
        <w:rPr>
          <w:rFonts w:ascii="Times New Roman" w:hAnsi="Times New Roman" w:eastAsia="宋体"/>
          <w:b w:val="0"/>
          <w:color w:val="1A1A1A"/>
          <w:sz w:val="21"/>
        </w:rPr>
        <w:t>15. Hypertension Branch of Chinese Geriatrics Society, Beijing Hypertension Association, National Clinical Research Center of the Geriatric Diseases, Hua Q, Fan L, Wang ZW, Li J. 2023 Guideline for the management of hypertension in the elderly population in China. J Geriatr Cardiol. 2024;21(6):589-643. doi:10.26599/1671-5411.2024.06.001. URL:https://doi.org/10.26599/1671-5411.2024.06.001</w:t>
      </w:r>
    </w:p>
    <w:p>
      <w:pPr>
        <w:spacing w:after="60" w:before="0" w:line="336" w:lineRule="auto"/>
        <w:ind w:left="340"/>
      </w:pPr>
      <w:r>
        <w:rPr>
          <w:rFonts w:ascii="Times New Roman" w:hAnsi="Times New Roman" w:eastAsia="宋体"/>
          <w:b w:val="0"/>
          <w:color w:val="1A1A1A"/>
          <w:sz w:val="21"/>
        </w:rPr>
        <w:t>16. 津药达仁堂集团股份有限公司第六中药厂. 速效救心丸药品说明书（国药准字 Z12020025，每丸重 40 mg）[NMPA 说明书索引副本；公开转载版]. 39药品通: https://ypk.39.net/510025/manual/；99药品库: https://ypk.99.com.cn/DrugInstructions/10208.html. (索引/转载副本，官方现行版本待核验)</w:t>
      </w:r>
    </w:p>
    <w:p>
      <w:pPr>
        <w:spacing w:after="60" w:before="0" w:line="336" w:lineRule="auto"/>
        <w:ind w:left="340"/>
      </w:pPr>
      <w:r>
        <w:rPr>
          <w:rFonts w:ascii="Times New Roman" w:hAnsi="Times New Roman" w:eastAsia="宋体"/>
          <w:b w:val="0"/>
          <w:color w:val="1A1A1A"/>
          <w:sz w:val="21"/>
        </w:rPr>
        <w:t>17. Steele R, McNaughton T, McConahy M, Lam J. Chest pain in emergency department patients: if the pain is relieved by nitroglycerin, is it more likely to be cardiac chest pain? CJEM. 2006;8(3):164-169. doi:10.1017/S1481803500013671.</w:t>
      </w:r>
    </w:p>
    <w:p>
      <w:pPr>
        <w:spacing w:after="60" w:before="0" w:line="336" w:lineRule="auto"/>
        <w:ind w:left="340"/>
      </w:pPr>
      <w:r>
        <w:rPr>
          <w:rFonts w:ascii="Times New Roman" w:hAnsi="Times New Roman" w:eastAsia="宋体"/>
          <w:b w:val="0"/>
          <w:color w:val="1A1A1A"/>
          <w:sz w:val="21"/>
        </w:rPr>
        <w:t>18. Nitroglycerin Use in the Emergency Department: Current Perspectives. Open Access Emerg Med. 2022;14. doi:10.2147/OAEM.S340513. PMCID:PMC9278720. URL:https://europepmc.org/articles/PMC9278720</w:t>
      </w:r>
    </w:p>
    <w:p>
      <w:pPr>
        <w:spacing w:after="60" w:before="0" w:line="336" w:lineRule="auto"/>
        <w:ind w:left="340"/>
      </w:pPr>
      <w:r>
        <w:rPr>
          <w:rFonts w:ascii="Times New Roman" w:hAnsi="Times New Roman" w:eastAsia="宋体"/>
          <w:b w:val="0"/>
          <w:color w:val="1A1A1A"/>
          <w:sz w:val="21"/>
        </w:rPr>
        <w:t xml:space="preserve">19. Gulati M, Levy PD, Mukherjee D, et al. 2021 AHA/ACC/ASE/CHEST/SAEM/SCCT/SCMR Guideline for the Evaluation and Diagnosis of Chest Pain: A Report of the American College of Cardiology/American Heart Association Joint Committee on Clinical Practice Guidelines. Circulation. 2021;144(22):e368-e454. doi:10.1161/CIR.0000000000001029. (全文未在本环境保藏，内容经 </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 xml:space="preserve"> 解读件核验)</w:t>
      </w:r>
    </w:p>
    <w:p>
      <w:pPr>
        <w:spacing w:after="60" w:before="0" w:line="336" w:lineRule="auto"/>
        <w:ind w:left="340"/>
      </w:pPr>
      <w:r>
        <w:rPr>
          <w:rFonts w:ascii="Times New Roman" w:hAnsi="Times New Roman" w:eastAsia="宋体"/>
          <w:b w:val="0"/>
          <w:color w:val="1A1A1A"/>
          <w:sz w:val="21"/>
        </w:rPr>
        <w:t>20. Riley RF, Jaffer FA, Tremmel J, et al. The 2021 AHA/ACC Guideline for the Evaluation and Diagnosis of Chest Pain: An Interventionalist's Viewpoint. J Soc Cardiovasc Angiogr Interv. 2022;1(3):100305. doi:10.1016/j.jscai.2022.100305. PMCID:PMC11308083. URL:https://europepmc.org/articles/PMC11308083</w:t>
      </w:r>
    </w:p>
    <w:p>
      <w:pPr>
        <w:spacing w:after="60" w:before="0" w:line="336" w:lineRule="auto"/>
        <w:ind w:left="340"/>
      </w:pPr>
      <w:r>
        <w:rPr>
          <w:rFonts w:ascii="Times New Roman" w:hAnsi="Times New Roman" w:eastAsia="宋体"/>
          <w:b w:val="0"/>
          <w:color w:val="1A1A1A"/>
          <w:sz w:val="21"/>
        </w:rPr>
        <w:t>21. Sociedade Brasileira de Cardiologia. Diretriz Brasileira de Atendimento à Dor Torácica na Unidade de Emergência – 2025. Arq Bras Cardiol. 2025;122(9). doi:10.36660/abc.20250620. PMCID:PMC12981354. URL:https://europepmc.org/articles/PMC12981354</w:t>
      </w:r>
    </w:p>
    <w:p>
      <w:pPr>
        <w:spacing w:after="60" w:before="0" w:line="336" w:lineRule="auto"/>
        <w:ind w:left="340"/>
      </w:pPr>
      <w:r>
        <w:rPr>
          <w:rFonts w:ascii="Times New Roman" w:hAnsi="Times New Roman" w:eastAsia="宋体"/>
          <w:b w:val="0"/>
          <w:color w:val="1A1A1A"/>
          <w:sz w:val="21"/>
        </w:rPr>
        <w:t>22. What US Cardiology Can Learn From the 2023 ESC Guidelines for the Management of Acute Coronary Syndromes. Clin Cardiol. 2024;47. doi:10.1002/clc.24329. PMCID:PMC11317809. URL:https://europepmc.org/articles/PMC11317809</w:t>
      </w:r>
    </w:p>
    <w:p>
      <w:pPr>
        <w:spacing w:after="60" w:before="0" w:line="336" w:lineRule="auto"/>
        <w:ind w:left="340"/>
      </w:pPr>
      <w:r>
        <w:rPr>
          <w:rFonts w:ascii="Times New Roman" w:hAnsi="Times New Roman" w:eastAsia="宋体"/>
          <w:b w:val="0"/>
          <w:color w:val="1A1A1A"/>
          <w:sz w:val="21"/>
        </w:rPr>
        <w:t>23. Scholz KH, Maier SKG, Maier LS, et al. Patient delay and benefit of timely reperfusion in ST-segment elevation myocardial infarction. Open Heart. 2021;8(1):e001650. doi:10.1136/openhrt-2021-001650. PMCID:PMC8103948. URL:https://europepmc.org/articles/PMC8103948</w:t>
      </w:r>
    </w:p>
    <w:p>
      <w:pPr>
        <w:spacing w:after="60" w:before="0" w:line="336" w:lineRule="auto"/>
        <w:ind w:left="340"/>
      </w:pPr>
      <w:r>
        <w:rPr>
          <w:rFonts w:ascii="Times New Roman" w:hAnsi="Times New Roman" w:eastAsia="宋体"/>
          <w:b w:val="0"/>
          <w:color w:val="1A1A1A"/>
          <w:sz w:val="21"/>
        </w:rPr>
        <w:t>24. National Health Service (NHS). Chest pain [patient information page]. 2023 (reviewed 2023-08-08). URL:https://www.nhs.uk/symptoms/chest-pain/</w:t>
      </w:r>
    </w:p>
    <w:p>
      <w:pPr>
        <w:spacing w:after="60" w:before="0" w:line="336" w:lineRule="auto"/>
        <w:ind w:left="340"/>
      </w:pPr>
      <w:r>
        <w:rPr>
          <w:rFonts w:ascii="Times New Roman" w:hAnsi="Times New Roman" w:eastAsia="宋体"/>
          <w:b w:val="0"/>
          <w:color w:val="1A1A1A"/>
          <w:sz w:val="21"/>
        </w:rPr>
        <w:t>25. 姬元花, 樊耀林. 速效救心丸对冠心病高血压患者血压及心率的影响. 实用医技杂志. 1995. (摘要层) URL:https://chkdx.cnki.net/kcms/detail/detail.aspx?FileName=SYYJ199505034&amp;DbName=CHKJ1995</w:t>
      </w:r>
    </w:p>
    <w:p>
      <w:pPr>
        <w:spacing w:after="60" w:before="0" w:line="336" w:lineRule="auto"/>
        <w:ind w:left="340"/>
      </w:pPr>
      <w:r>
        <w:rPr>
          <w:rFonts w:ascii="Times New Roman" w:hAnsi="Times New Roman" w:eastAsia="宋体"/>
          <w:b w:val="0"/>
          <w:color w:val="1A1A1A"/>
          <w:sz w:val="21"/>
        </w:rPr>
        <w:t>26. 钟红燕, 汪锦飘. 速效救心丸治疗老年高血压病伴抑郁症的临床观察. 大家健康（下旬版）. 2016;10(12). (摘要层) URL:https://d.wanfangdata.com.cn/periodical/djjk-x201612056</w:t>
      </w:r>
    </w:p>
    <w:p>
      <w:pPr>
        <w:spacing w:after="60" w:before="0" w:line="336" w:lineRule="auto"/>
        <w:ind w:left="340"/>
      </w:pPr>
      <w:r>
        <w:rPr>
          <w:rFonts w:ascii="Times New Roman" w:hAnsi="Times New Roman" w:eastAsia="宋体"/>
          <w:b w:val="0"/>
          <w:color w:val="1A1A1A"/>
          <w:sz w:val="21"/>
        </w:rPr>
        <w:t>27. 速效救心丸对老年高血压伴抑郁患者内皮功能的观察. 云南中医中药杂志. 2014. (摘要层) URL:https://www.sinomed.ac.cn/zh/detail.do?ui=2014285695</w:t>
      </w:r>
    </w:p>
    <w:p>
      <w:pPr>
        <w:spacing w:after="60" w:before="0" w:line="336" w:lineRule="auto"/>
        <w:ind w:left="340"/>
      </w:pPr>
      <w:r>
        <w:rPr>
          <w:rFonts w:ascii="Times New Roman" w:hAnsi="Times New Roman" w:eastAsia="宋体"/>
          <w:b w:val="0"/>
          <w:color w:val="1A1A1A"/>
          <w:sz w:val="21"/>
        </w:rPr>
        <w:t>28. Bassan M. Defining the proper role for self-administered sublingual nitroglycerin. A survey of physicians and patients. Chest. 1991;100(1). doi:10.1378/chest.100.1.34. PMID:1905618. (摘要层)</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