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before="0" w:line="300" w:lineRule="auto"/>
        <w:jc w:val="center"/>
      </w:pPr>
      <w:r>
        <w:rPr>
          <w:rFonts w:ascii="Times New Roman" w:hAnsi="Times New Roman" w:eastAsia="黑体"/>
          <w:b/>
          <w:color w:val="C15F3C"/>
          <w:sz w:val="30"/>
        </w:rPr>
        <w:t>《"不含硝酸酯故无耐药性"能否成立：速效救心丸长期用药的效应衰减、剂量递增与停药反应的证据评价》</w:t>
      </w:r>
    </w:p>
    <w:p>
      <w:pPr>
        <w:spacing w:after="120" w:before="0" w:line="348" w:lineRule="auto"/>
      </w:pPr>
      <w:r>
        <w:rPr>
          <w:rFonts w:ascii="Times New Roman" w:hAnsi="Times New Roman" w:eastAsia="宋体"/>
          <w:b/>
          <w:color w:val="1A1A1A"/>
          <w:sz w:val="21"/>
        </w:rPr>
        <w:t>药物安全性研究报告 · 交付物编号 RQ-13</w:t>
      </w:r>
    </w:p>
    <w:p>
      <w:pPr>
        <w:spacing w:after="120" w:before="0" w:line="348" w:lineRule="auto"/>
      </w:pPr>
      <w:r>
        <w:rPr>
          <w:rFonts w:ascii="Times New Roman" w:hAnsi="Times New Roman" w:eastAsia="宋体"/>
          <w:b/>
          <w:color w:val="1A1A1A"/>
          <w:sz w:val="21"/>
        </w:rPr>
        <w:t>检索与评价日期：2026-08-12</w:t>
      </w:r>
    </w:p>
    <w:p>
      <w:pPr>
        <w:spacing w:after="120" w:before="0" w:line="348" w:lineRule="auto"/>
      </w:pPr>
      <w:r>
        <w:rPr>
          <w:rFonts w:ascii="Times New Roman" w:hAnsi="Times New Roman" w:eastAsia="宋体"/>
          <w:b/>
          <w:color w:val="1A1A1A"/>
          <w:sz w:val="21"/>
        </w:rPr>
        <w:t>检索范围：PubMed、Europe PMC（含 2 篇开放获取全文落盘）、Crossref、EviMed 中文文献适配器（CNKI/万方/维普/SinoMed）、NMPA 说明书索引、EviMed 指南索引、ClinicalTrials.gov、ChiCTR（经注册号核验）、NHS 官方页面</w:t>
      </w:r>
    </w:p>
    <w:p>
      <w:pPr>
        <w:spacing w:after="120" w:before="0" w:line="348" w:lineRule="auto"/>
      </w:pPr>
      <w:r>
        <w:rPr>
          <w:rFonts w:ascii="Times New Roman" w:hAnsi="Times New Roman" w:eastAsia="宋体"/>
          <w:b/>
          <w:color w:val="1A1A1A"/>
          <w:sz w:val="21"/>
        </w:rPr>
        <w:t>报告判定标准：以"内容是否正确"为唯一交付判据；"耐药性澄清率""长期用药规范率"仅作为被评价对象出现，不进入结论，不作为质量达标判据</w:t>
      </w:r>
    </w:p>
    <w:p>
      <w:pPr>
        <w:spacing w:after="120" w:before="0" w:line="348" w:lineRule="auto"/>
        <w:ind w:firstLine="420"/>
      </w:pP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5"/>
        </w:rPr>
        <w:t>摘要</w:t>
      </w:r>
    </w:p>
    <w:p>
      <w:pPr>
        <w:spacing w:after="120" w:before="0" w:line="348" w:lineRule="auto"/>
      </w:pPr>
      <w:r>
        <w:rPr>
          <w:rFonts w:ascii="Times New Roman" w:hAnsi="Times New Roman" w:eastAsia="宋体"/>
          <w:b/>
          <w:color w:val="1A1A1A"/>
          <w:sz w:val="21"/>
        </w:rPr>
        <w:t>背景与问题。</w:t>
      </w:r>
      <w:r>
        <w:rPr>
          <w:rFonts w:ascii="Times New Roman" w:hAnsi="Times New Roman" w:eastAsia="宋体"/>
          <w:b w:val="0"/>
          <w:color w:val="1A1A1A"/>
          <w:sz w:val="21"/>
        </w:rPr>
        <w:t xml:space="preserve"> 题库语义问题③"长期使用是否会产生依赖或耐药"（涉及命题 P9）将交付目标定义为两项百分比指标——"耐药性澄清率"（明确解释"不含硝酸酯，无经典耐药性"的比例）与"长期用药规范率"（强调"长期使用需医生评估指导"的比例）。本报告检验五级命题：(A) 由"组方不含硝酸酯"能否推出"无任何形式的效应衰减"；(B) 是否存在直接检验本品长期用药（≥3 个月、同一终点重复测量、报告后期与早期差值及区间估计）效应随时间变化的研究；(C) 是否存在停药反跳、戒断样表现或使用障碍的报告；(D) "长期使用需医生评估指导"能否追溯到说明书、专家共识或指南的具体条款；(E) 两项百分比指标作为交付判据是否有效。</w:t>
      </w:r>
    </w:p>
    <w:p>
      <w:pPr>
        <w:spacing w:after="120" w:before="0" w:line="348" w:lineRule="auto"/>
      </w:pPr>
      <w:r>
        <w:rPr>
          <w:rFonts w:ascii="Times New Roman" w:hAnsi="Times New Roman" w:eastAsia="宋体"/>
          <w:b/>
          <w:color w:val="1A1A1A"/>
          <w:sz w:val="21"/>
        </w:rPr>
        <w:t>方法。</w:t>
      </w:r>
      <w:r>
        <w:rPr>
          <w:rFonts w:ascii="Times New Roman" w:hAnsi="Times New Roman" w:eastAsia="宋体"/>
          <w:b w:val="0"/>
          <w:color w:val="1A1A1A"/>
          <w:sz w:val="21"/>
        </w:rPr>
        <w:t xml:space="preserve"> 按 Q1–Q5 系统检索 PubMed、Europe PMC、Crossref、中文数据库（CNKI/万方/维普/SinoMed）、NMPA 说明书索引、指南索引与临床试验注册库；对 2024 年慢性冠脉综合征（硝酸酯不耐受人群）双盲安慰剂对照试验（PMC11451125）与 2021 年 24 周试验方案（PMC8287819）获取开放获取全文并逐段阅读；其余证据标注至摘要层。受管药物安全分析任务（openFDA/FAERS 信号管线）对本品不可用，已如实记录为证据缺口。</w:t>
      </w:r>
    </w:p>
    <w:p>
      <w:pPr>
        <w:spacing w:after="120" w:before="0" w:line="348" w:lineRule="auto"/>
      </w:pPr>
      <w:r>
        <w:rPr>
          <w:rFonts w:ascii="Times New Roman" w:hAnsi="Times New Roman" w:eastAsia="宋体"/>
          <w:b/>
          <w:color w:val="1A1A1A"/>
          <w:sz w:val="21"/>
        </w:rPr>
        <w:t>结果。</w:t>
      </w:r>
      <w:r>
        <w:rPr>
          <w:rFonts w:ascii="Times New Roman" w:hAnsi="Times New Roman" w:eastAsia="宋体"/>
          <w:b w:val="0"/>
          <w:color w:val="1A1A1A"/>
          <w:sz w:val="21"/>
        </w:rPr>
        <w:t xml:space="preserve"> ① 硝酸酯耐受的判定以"连续给药＋同一终点重复测量＋效应随时间下降"为标准，机制证据（线粒体醛脱氢酶 ALDH-2 生物转化受损、氧化应激与内皮功能障碍、神经内分泌反调节）为综述与实验层级；耐受/快速耐受/依赖/成瘾/停药反跳在定义上相互区分。② 本品组方（川芎提取物与冰片）报告的作用通路包括 eNOS-NO 通路与 CaMKII 钙拮抗，与硝酸酯共享下游 NO 信号，且</w:t>
      </w:r>
      <w:r>
        <w:rPr>
          <w:rFonts w:ascii="Times New Roman" w:hAnsi="Times New Roman" w:eastAsia="宋体"/>
          <w:b/>
          <w:color w:val="1A1A1A"/>
          <w:sz w:val="21"/>
        </w:rPr>
        <w:t>未检索到排除其他衰减机制的实验，也无重复给药条件下的药代动力学/药效学衰减数据</w:t>
      </w:r>
      <w:r>
        <w:rPr>
          <w:rFonts w:ascii="Times New Roman" w:hAnsi="Times New Roman" w:eastAsia="宋体"/>
          <w:b w:val="0"/>
          <w:color w:val="1A1A1A"/>
          <w:sz w:val="21"/>
        </w:rPr>
        <w:t>。③ 未检索到满足全部判据（≥3 个月＋同一终点重复测量＋后期-早期差值及区间估计）的长期研究；最接近者为 2024 年 324 例 24 周双盲安慰剂 RCT（同一终点在 4/12/24 周重复测量，摘要层未报告各时点效应量及后期-早期差值与区间估计，全文不可得）、2004 年 40 例/组 6 个月小样本 RCT（心电图在 1/3/6 个月重复测量，摘要层）与 2019 年 124 例 24 周 ACS 血运重建后试验（随访 1 年）；2022 年系统评价（13 项 RCT）明确"仅 2 周与 4 周/30 d 疗程证据充分，其余疗程研究缺失或较少"。④ NMPA 说明书索引字段</w:t>
      </w:r>
      <w:r>
        <w:rPr>
          <w:rFonts w:ascii="Times New Roman" w:hAnsi="Times New Roman" w:eastAsia="宋体"/>
          <w:b/>
          <w:color w:val="1A1A1A"/>
          <w:sz w:val="21"/>
        </w:rPr>
        <w:t>未返回用法用量栏，亦无"长期使用需医生评估指导"表述</w:t>
      </w:r>
      <w:r>
        <w:rPr>
          <w:rFonts w:ascii="Times New Roman" w:hAnsi="Times New Roman" w:eastAsia="宋体"/>
          <w:b w:val="0"/>
          <w:color w:val="1A1A1A"/>
          <w:sz w:val="21"/>
        </w:rPr>
        <w:t>；2019 年专家共识与 2025 年救心丸专家共识仅得摘要层记录，该表述未能追溯到可核验条款。⑤ 以内容正确性为终点的健康信息质量评价工具（内容分析/准确性-可靠性量表）存在，但未检索到"澄清率/规范率"类提及率指标与内容正确性之间的实证关联。</w:t>
      </w:r>
    </w:p>
    <w:p>
      <w:pPr>
        <w:spacing w:after="120" w:before="0" w:line="348" w:lineRule="auto"/>
      </w:pPr>
      <w:r>
        <w:rPr>
          <w:rFonts w:ascii="Times New Roman" w:hAnsi="Times New Roman" w:eastAsia="宋体"/>
          <w:b/>
          <w:color w:val="1A1A1A"/>
          <w:sz w:val="21"/>
        </w:rPr>
        <w:t>结论。</w:t>
      </w:r>
      <w:r>
        <w:rPr>
          <w:rFonts w:ascii="Times New Roman" w:hAnsi="Times New Roman" w:eastAsia="宋体"/>
          <w:b w:val="0"/>
          <w:color w:val="1A1A1A"/>
          <w:sz w:val="21"/>
        </w:rPr>
        <w:t xml:space="preserve"> </w:t>
      </w:r>
      <w:r>
        <w:rPr>
          <w:rFonts w:ascii="Times New Roman" w:hAnsi="Times New Roman" w:eastAsia="宋体"/>
          <w:b/>
          <w:color w:val="1A1A1A"/>
          <w:sz w:val="21"/>
        </w:rPr>
        <w:t>"不含硝酸酯，无经典耐药性"作为排除硝酸酯类特有耐受机制的表述可部分成立，但不得外推为"长期使用疗效不衰减"或"不产生任何形式的效应衰减"；"长期使用疗效不衰减"与"不产生依赖"目前属于"未被研究"，而非"已排除"。</w:t>
      </w:r>
      <w:r>
        <w:rPr>
          <w:rFonts w:ascii="Times New Roman" w:hAnsi="Times New Roman" w:eastAsia="宋体"/>
          <w:b w:val="0"/>
          <w:color w:val="1A1A1A"/>
          <w:sz w:val="21"/>
        </w:rPr>
        <w:t xml:space="preserve"> "长期使用需医生评估指导"未能追溯到可核验条款出处；两项百分比指标衡量"说没说"，不能判定"对不对"。</w:t>
      </w:r>
      <w:r>
        <w:rPr>
          <w:rFonts w:ascii="Times New Roman" w:hAnsi="Times New Roman" w:eastAsia="宋体"/>
          <w:b/>
          <w:color w:val="1A1A1A"/>
          <w:sz w:val="21"/>
        </w:rPr>
        <w:t>安全底线：本报告任何结论均不得表述为可自行延长疗程、自行加量或以本品替代已处方的抗心绞痛与二级预防治疗；发作频率增加或症状加重时走及时就医路径，符合急性冠脉综合征警示特征者立即呼叫 120，任何含服自救不得替代或推迟急诊评估（心电图、高敏肌钙蛋白）</w:t>
      </w:r>
      <w:r>
        <w:rPr>
          <w:rFonts w:ascii="Times New Roman" w:hAnsi="Times New Roman" w:eastAsia="宋体"/>
          <w:b/>
          <w:color w:val="1A1A1A"/>
          <w:sz w:val="21"/>
          <w:vertAlign w:val="superscript"/>
        </w:rPr>
        <w:t>[30]</w:t>
      </w:r>
      <w:r>
        <w:rPr>
          <w:rFonts w:ascii="Times New Roman" w:hAnsi="Times New Roman" w:eastAsia="宋体"/>
          <w:b/>
          <w:color w:val="1A1A1A"/>
          <w:sz w:val="21"/>
        </w:rPr>
        <w:t>。</w:t>
      </w:r>
    </w:p>
    <w:p>
      <w:pPr>
        <w:spacing w:after="120" w:before="0" w:line="348" w:lineRule="auto"/>
      </w:pPr>
      <w:r>
        <w:rPr>
          <w:rFonts w:ascii="Times New Roman" w:hAnsi="Times New Roman" w:eastAsia="宋体"/>
          <w:b/>
          <w:color w:val="1A1A1A"/>
          <w:sz w:val="21"/>
        </w:rPr>
        <w:t>关键词：</w:t>
      </w:r>
      <w:r>
        <w:rPr>
          <w:rFonts w:ascii="Times New Roman" w:hAnsi="Times New Roman" w:eastAsia="宋体"/>
          <w:b w:val="0"/>
          <w:color w:val="1A1A1A"/>
          <w:sz w:val="21"/>
        </w:rPr>
        <w:t xml:space="preserve"> 速效救心丸；硝酸酯耐受；ALDH-2；效应衰减；停药反跳；药物依赖；中成药；系统评价；健康信息质量；内容正确性</w:t>
      </w:r>
    </w:p>
    <w:p>
      <w:pPr>
        <w:spacing w:after="120" w:before="0" w:line="348" w:lineRule="auto"/>
        <w:ind w:firstLine="420"/>
      </w:pP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5"/>
        </w:rPr>
        <w:t>一、背景</w:t>
      </w:r>
    </w:p>
    <w:p>
      <w:pPr>
        <w:spacing w:after="100" w:before="240" w:line="300" w:lineRule="auto"/>
      </w:pPr>
      <w:r>
        <w:rPr>
          <w:rFonts w:ascii="Times New Roman" w:hAnsi="Times New Roman" w:eastAsia="黑体"/>
          <w:b/>
          <w:color w:val="1A1A1A"/>
          <w:sz w:val="23"/>
        </w:rPr>
        <w:t>1.1 命题来源与报告任务</w:t>
      </w:r>
    </w:p>
    <w:p>
      <w:pPr>
        <w:spacing w:after="120" w:before="0" w:line="348" w:lineRule="auto"/>
        <w:ind w:firstLine="420"/>
      </w:pPr>
      <w:r>
        <w:rPr>
          <w:rFonts w:ascii="Times New Roman" w:hAnsi="Times New Roman" w:eastAsia="宋体"/>
          <w:b w:val="0"/>
          <w:color w:val="1A1A1A"/>
          <w:sz w:val="21"/>
        </w:rPr>
        <w:t>题库语义问题③将交付目标定义为两项百分比指标："耐药性澄清率"（明确解释"不含硝酸酯，无经典耐药性"的比例）与"长期用药规范率"（强调"长期使用需医生评估指导"的比例）。本报告的职责是</w:t>
      </w:r>
      <w:r>
        <w:rPr>
          <w:rFonts w:ascii="Times New Roman" w:hAnsi="Times New Roman" w:eastAsia="宋体"/>
          <w:b/>
          <w:color w:val="1A1A1A"/>
          <w:sz w:val="21"/>
        </w:rPr>
        <w:t>检验待澄清的那句话本身是否成立</w:t>
      </w:r>
      <w:r>
        <w:rPr>
          <w:rFonts w:ascii="Times New Roman" w:hAnsi="Times New Roman" w:eastAsia="宋体"/>
          <w:b w:val="0"/>
          <w:color w:val="1A1A1A"/>
          <w:sz w:val="21"/>
        </w:rPr>
        <w:t>，而非为它搜集支持材料；"无经典耐药性"只能作为待检验的假设出现。衡量"说没说"的指标与判定"对不对"的判据在讨论部分明确区分。</w:t>
      </w:r>
    </w:p>
    <w:p>
      <w:pPr>
        <w:spacing w:after="120" w:before="0" w:line="348" w:lineRule="auto"/>
        <w:ind w:firstLine="420"/>
      </w:pPr>
      <w:r>
        <w:rPr>
          <w:rFonts w:ascii="Times New Roman" w:hAnsi="Times New Roman" w:eastAsia="宋体"/>
          <w:b w:val="0"/>
          <w:color w:val="1A1A1A"/>
          <w:sz w:val="21"/>
        </w:rPr>
        <w:t>报告严格区分三级命题：</w:t>
      </w:r>
      <w:r>
        <w:rPr>
          <w:rFonts w:ascii="Times New Roman" w:hAnsi="Times New Roman" w:eastAsia="宋体"/>
          <w:b/>
          <w:color w:val="1A1A1A"/>
          <w:sz w:val="21"/>
        </w:rPr>
        <w:t>机制上可解释</w:t>
      </w:r>
      <w:r>
        <w:rPr>
          <w:rFonts w:ascii="Times New Roman" w:hAnsi="Times New Roman" w:eastAsia="宋体"/>
          <w:b w:val="0"/>
          <w:color w:val="1A1A1A"/>
          <w:sz w:val="21"/>
        </w:rPr>
        <w:t>（药理学/实验证据）、</w:t>
      </w:r>
      <w:r>
        <w:rPr>
          <w:rFonts w:ascii="Times New Roman" w:hAnsi="Times New Roman" w:eastAsia="宋体"/>
          <w:b/>
          <w:color w:val="1A1A1A"/>
          <w:sz w:val="21"/>
        </w:rPr>
        <w:t>有重复给药的药代动力学/药效学数据支持</w:t>
      </w:r>
      <w:r>
        <w:rPr>
          <w:rFonts w:ascii="Times New Roman" w:hAnsi="Times New Roman" w:eastAsia="宋体"/>
          <w:b w:val="0"/>
          <w:color w:val="1A1A1A"/>
          <w:sz w:val="21"/>
        </w:rPr>
        <w:t>（重复给药条件下的衰减或非衰减实测）、</w:t>
      </w:r>
      <w:r>
        <w:rPr>
          <w:rFonts w:ascii="Times New Roman" w:hAnsi="Times New Roman" w:eastAsia="宋体"/>
          <w:b/>
          <w:color w:val="1A1A1A"/>
          <w:sz w:val="21"/>
        </w:rPr>
        <w:t>有以临床终点长期随访验证</w:t>
      </w:r>
      <w:r>
        <w:rPr>
          <w:rFonts w:ascii="Times New Roman" w:hAnsi="Times New Roman" w:eastAsia="宋体"/>
          <w:b w:val="0"/>
          <w:color w:val="1A1A1A"/>
          <w:sz w:val="21"/>
        </w:rPr>
        <w:t>（≥3 个月、同一终点重复测量、报告后期-早期差值与区间估计）。三者不得互相替代，机制推理不得用于填补长期数据的缺口。</w:t>
      </w:r>
    </w:p>
    <w:p>
      <w:pPr>
        <w:spacing w:after="100" w:before="240" w:line="300" w:lineRule="auto"/>
      </w:pPr>
      <w:r>
        <w:rPr>
          <w:rFonts w:ascii="Times New Roman" w:hAnsi="Times New Roman" w:eastAsia="黑体"/>
          <w:b/>
          <w:color w:val="1A1A1A"/>
          <w:sz w:val="23"/>
        </w:rPr>
        <w:t>1.2 检验对象</w:t>
      </w:r>
    </w:p>
    <w:p>
      <w:pPr>
        <w:spacing w:after="120" w:before="0" w:line="348" w:lineRule="auto"/>
        <w:ind w:firstLine="420"/>
      </w:pPr>
      <w:r>
        <w:rPr>
          <w:rFonts w:ascii="Times New Roman" w:hAnsi="Times New Roman" w:eastAsia="宋体"/>
          <w:b w:val="0"/>
          <w:color w:val="1A1A1A"/>
          <w:sz w:val="21"/>
        </w:rPr>
        <w:t>速效救心丸（Suxiao Jiuxin Pill，SJP）：川芎（Ligusticum chuanxiong，含川芎嗪/四甲基吡嗪、藁本内酯、阿魏酸等）与冰片（Borneolum syntheticum）组成的滴丸，批准文号 Z12020025（原 SFDA）</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，1982 年经批准上市</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。说明书功能主治："行气活血，祛瘀止痛，增加冠脉血流量，缓解心绞痛。用于气滞血瘀型冠心病，心绞痛。"</w:t>
      </w:r>
      <w:r>
        <w:rPr>
          <w:rFonts w:ascii="Times New Roman" w:hAnsi="Times New Roman" w:eastAsia="宋体"/>
          <w:b w:val="0"/>
          <w:color w:val="1A1A1A"/>
          <w:sz w:val="21"/>
          <w:vertAlign w:val="superscript"/>
        </w:rPr>
        <w:t>[19]</w:t>
      </w:r>
    </w:p>
    <w:p>
      <w:pPr>
        <w:spacing w:after="120" w:before="0" w:line="348" w:lineRule="auto"/>
        <w:ind w:firstLine="420"/>
      </w:pP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5"/>
        </w:rPr>
        <w:t>二、方法</w:t>
      </w:r>
    </w:p>
    <w:p>
      <w:pPr>
        <w:spacing w:after="100" w:before="240" w:line="300" w:lineRule="auto"/>
      </w:pPr>
      <w:r>
        <w:rPr>
          <w:rFonts w:ascii="Times New Roman" w:hAnsi="Times New Roman" w:eastAsia="黑体"/>
          <w:b/>
          <w:color w:val="1A1A1A"/>
          <w:sz w:val="23"/>
        </w:rPr>
        <w:t>2.1 检索式与命中数（2026-08-12）</w:t>
      </w:r>
    </w:p>
    <w:tbl>
      <w:tblPr>
        <w:tblW w:type="auto" w:w="0"/>
        <w:jc w:val="center"/>
        <w:tblLook w:firstColumn="1" w:firstRow="1" w:lastColumn="0" w:lastRow="0" w:noHBand="0" w:noVBand="1" w:val="04A0"/>
        <w:tblBorders>
          <w:top w:val="single" w:sz="12" w:color="1A1A1A"/>
          <w:bottom w:val="single" w:sz="12" w:color="1A1A1A"/>
          <w:left w:val="none"/>
          <w:right w:val="none"/>
          <w:insideH w:val="none"/>
          <w:insideV w:val="none"/>
        </w:tblBorders>
      </w:tblPr>
      <w:tblGrid>
        <w:gridCol w:w="3097"/>
        <w:gridCol w:w="3097"/>
        <w:gridCol w:w="3097"/>
      </w:tblGrid>
      <w:tr>
        <w:tc>
          <w:tcPr>
            <w:tcW w:type="dxa" w:w="3097"/>
            <w:tcBorders>
              <w:bottom w:val="single" w:sz="6" w:color="1A1A1A"/>
            </w:tcBorders>
          </w:tcPr>
          <w:p>
            <w:pPr>
              <w:jc w:val="center"/>
            </w:pPr>
            <w:r>
              <w:rPr>
                <w:rFonts w:ascii="Times New Roman" w:hAnsi="Times New Roman" w:eastAsia="宋体"/>
                <w:b/>
                <w:color w:val="1A1A1A"/>
                <w:sz w:val="17"/>
              </w:rPr>
              <w:t>来源</w:t>
            </w:r>
          </w:p>
        </w:tc>
        <w:tc>
          <w:tcPr>
            <w:tcW w:type="dxa" w:w="3097"/>
            <w:tcBorders>
              <w:bottom w:val="single" w:sz="6" w:color="1A1A1A"/>
            </w:tcBorders>
          </w:tcPr>
          <w:p>
            <w:pPr>
              <w:jc w:val="center"/>
            </w:pPr>
            <w:r>
              <w:rPr>
                <w:rFonts w:ascii="Times New Roman" w:hAnsi="Times New Roman" w:eastAsia="宋体"/>
                <w:b/>
                <w:color w:val="1A1A1A"/>
                <w:sz w:val="17"/>
              </w:rPr>
              <w:t>检索式（节选）</w:t>
            </w:r>
          </w:p>
        </w:tc>
        <w:tc>
          <w:tcPr>
            <w:tcW w:type="dxa" w:w="3097"/>
            <w:tcBorders>
              <w:bottom w:val="single" w:sz="6" w:color="1A1A1A"/>
            </w:tcBorders>
          </w:tcPr>
          <w:p>
            <w:pPr>
              <w:jc w:val="center"/>
            </w:pPr>
            <w:r>
              <w:rPr>
                <w:rFonts w:ascii="Times New Roman" w:hAnsi="Times New Roman" w:eastAsia="宋体"/>
                <w:b/>
                <w:color w:val="1A1A1A"/>
                <w:sz w:val="17"/>
              </w:rPr>
              <w:t>命中</w:t>
            </w:r>
          </w:p>
        </w:tc>
      </w:tr>
      <w:tr>
        <w:tc>
          <w:tcPr>
            <w:tcW w:type="dxa" w:w="3097"/>
          </w:tcPr>
          <w:p>
            <w:r>
              <w:rPr>
                <w:rFonts w:ascii="Times New Roman" w:hAnsi="Times New Roman" w:eastAsia="宋体"/>
                <w:b w:val="0"/>
                <w:color w:val="1A1A1A"/>
                <w:sz w:val="17"/>
              </w:rPr>
              <w:t>PubMed/Europe PMC/Crossref</w:t>
            </w:r>
          </w:p>
        </w:tc>
        <w:tc>
          <w:tcPr>
            <w:tcW w:type="dxa" w:w="3097"/>
          </w:tcPr>
          <w:p>
            <w:r>
              <w:rPr>
                <w:rFonts w:ascii="Times New Roman" w:hAnsi="Times New Roman" w:eastAsia="宋体"/>
                <w:b w:val="0"/>
                <w:color w:val="1A1A1A"/>
                <w:sz w:val="17"/>
              </w:rPr>
              <w:t>Suxiao Jiuxin Pill tolerance / randomized controlled trial angina / efficacy safety clinical trial / nitrate tolerance mechanism ALDH-2 / borneol CYP enzyme induction / tetramethylpyrazine tolerance</w:t>
            </w:r>
          </w:p>
        </w:tc>
        <w:tc>
          <w:tcPr>
            <w:tcW w:type="dxa" w:w="3097"/>
          </w:tcPr>
          <w:p>
            <w:r>
              <w:rPr>
                <w:rFonts w:ascii="Times New Roman" w:hAnsi="Times New Roman" w:eastAsia="宋体"/>
                <w:b w:val="0"/>
                <w:color w:val="1A1A1A"/>
                <w:sz w:val="17"/>
              </w:rPr>
              <w:t>各 0–11 条，去重后保留关键记录</w:t>
            </w:r>
          </w:p>
        </w:tc>
      </w:tr>
      <w:tr>
        <w:tc>
          <w:tcPr>
            <w:tcW w:type="dxa" w:w="3097"/>
          </w:tcPr>
          <w:p>
            <w:r>
              <w:rPr>
                <w:rFonts w:ascii="Times New Roman" w:hAnsi="Times New Roman" w:eastAsia="宋体"/>
                <w:b w:val="0"/>
                <w:color w:val="1A1A1A"/>
                <w:sz w:val="17"/>
              </w:rPr>
              <w:t>中文文献适配器</w:t>
            </w:r>
          </w:p>
        </w:tc>
        <w:tc>
          <w:tcPr>
            <w:tcW w:type="dxa" w:w="3097"/>
          </w:tcPr>
          <w:p>
            <w:r>
              <w:rPr>
                <w:rFonts w:ascii="Times New Roman" w:hAnsi="Times New Roman" w:eastAsia="宋体"/>
                <w:b w:val="0"/>
                <w:color w:val="1A1A1A"/>
                <w:sz w:val="17"/>
              </w:rPr>
              <w:t>速效救心丸 长期 耐药 耐受（50 上限取回 8）；24周 双盲 安慰剂（1）；系统评价 Meta 冠心病心绞痛（50）；停药 反跳 依赖 戒断（0）；救心丸 专家共识 2025（10）；川芎嗪 长期 疗效 递减 脱敏（20/296）</w:t>
            </w:r>
          </w:p>
        </w:tc>
        <w:tc>
          <w:tcPr>
            <w:tcW w:type="dxa" w:w="3097"/>
          </w:tcPr>
          <w:p>
            <w:r>
              <w:rPr>
                <w:rFonts w:ascii="Times New Roman" w:hAnsi="Times New Roman" w:eastAsia="宋体"/>
                <w:b w:val="0"/>
                <w:color w:val="1A1A1A"/>
                <w:sz w:val="17"/>
              </w:rPr>
              <w:t>总计 178+ 条记录，筛出 30 余条</w:t>
            </w:r>
          </w:p>
        </w:tc>
      </w:tr>
      <w:tr>
        <w:tc>
          <w:tcPr>
            <w:tcW w:type="dxa" w:w="3097"/>
          </w:tcPr>
          <w:p>
            <w:r>
              <w:rPr>
                <w:rFonts w:ascii="Times New Roman" w:hAnsi="Times New Roman" w:eastAsia="宋体"/>
                <w:b w:val="0"/>
                <w:color w:val="1A1A1A"/>
                <w:sz w:val="17"/>
              </w:rPr>
              <w:t>NMPA 说明书索引</w:t>
            </w:r>
          </w:p>
        </w:tc>
        <w:tc>
          <w:tcPr>
            <w:tcW w:type="dxa" w:w="3097"/>
          </w:tcPr>
          <w:p>
            <w:r>
              <w:rPr>
                <w:rFonts w:ascii="Times New Roman" w:hAnsi="Times New Roman" w:eastAsia="宋体"/>
                <w:b w:val="0"/>
                <w:color w:val="1A1A1A"/>
                <w:sz w:val="17"/>
              </w:rPr>
              <w:t>速效救心丸（jurisdiction CN）</w:t>
            </w:r>
          </w:p>
        </w:tc>
        <w:tc>
          <w:tcPr>
            <w:tcW w:type="dxa" w:w="3097"/>
          </w:tcPr>
          <w:p>
            <w:r>
              <w:rPr>
                <w:rFonts w:ascii="Times New Roman" w:hAnsi="Times New Roman" w:eastAsia="宋体"/>
                <w:b w:val="0"/>
                <w:color w:val="1A1A1A"/>
                <w:sz w:val="17"/>
              </w:rPr>
              <w:t>2 条（同一内容索引副本）</w:t>
            </w:r>
          </w:p>
        </w:tc>
      </w:tr>
      <w:tr>
        <w:tc>
          <w:tcPr>
            <w:tcW w:type="dxa" w:w="3097"/>
          </w:tcPr>
          <w:p>
            <w:r>
              <w:rPr>
                <w:rFonts w:ascii="Times New Roman" w:hAnsi="Times New Roman" w:eastAsia="宋体"/>
                <w:b w:val="0"/>
                <w:color w:val="1A1A1A"/>
                <w:sz w:val="17"/>
              </w:rPr>
              <w:t>指南索引</w:t>
            </w:r>
          </w:p>
        </w:tc>
        <w:tc>
          <w:tcPr>
            <w:tcW w:type="dxa" w:w="3097"/>
          </w:tcPr>
          <w:p>
            <w:r>
              <w:rPr>
                <w:rFonts w:ascii="Times New Roman" w:hAnsi="Times New Roman" w:eastAsia="宋体"/>
                <w:b w:val="0"/>
                <w:color w:val="1A1A1A"/>
                <w:sz w:val="17"/>
              </w:rPr>
              <w:t>中成药治疗冠心病临床应用指南；速效救心丸专家共识；救心丸专家共识</w:t>
            </w:r>
          </w:p>
        </w:tc>
        <w:tc>
          <w:tcPr>
            <w:tcW w:type="dxa" w:w="3097"/>
          </w:tcPr>
          <w:p>
            <w:r>
              <w:rPr>
                <w:rFonts w:ascii="Times New Roman" w:hAnsi="Times New Roman" w:eastAsia="宋体"/>
                <w:b w:val="0"/>
                <w:color w:val="1A1A1A"/>
                <w:sz w:val="17"/>
              </w:rPr>
              <w:t>30 条候选，保留 6 条相关</w:t>
            </w:r>
          </w:p>
        </w:tc>
      </w:tr>
      <w:tr>
        <w:tc>
          <w:tcPr>
            <w:tcW w:type="dxa" w:w="3097"/>
          </w:tcPr>
          <w:p>
            <w:r>
              <w:rPr>
                <w:rFonts w:ascii="Times New Roman" w:hAnsi="Times New Roman" w:eastAsia="宋体"/>
                <w:b w:val="0"/>
                <w:color w:val="1A1A1A"/>
                <w:sz w:val="17"/>
              </w:rPr>
              <w:t>ClinicalTrials.gov</w:t>
            </w:r>
          </w:p>
        </w:tc>
        <w:tc>
          <w:tcPr>
            <w:tcW w:type="dxa" w:w="3097"/>
          </w:tcPr>
          <w:p>
            <w:r>
              <w:rPr>
                <w:rFonts w:ascii="Times New Roman" w:hAnsi="Times New Roman" w:eastAsia="宋体"/>
                <w:b w:val="0"/>
                <w:color w:val="1A1A1A"/>
                <w:sz w:val="17"/>
              </w:rPr>
              <w:t>Suxiao Jiuxin（registry 检索）</w:t>
            </w:r>
          </w:p>
        </w:tc>
        <w:tc>
          <w:tcPr>
            <w:tcW w:type="dxa" w:w="3097"/>
          </w:tcPr>
          <w:p>
            <w:r>
              <w:rPr>
                <w:rFonts w:ascii="Times New Roman" w:hAnsi="Times New Roman" w:eastAsia="宋体"/>
                <w:b w:val="0"/>
                <w:color w:val="1A1A1A"/>
                <w:sz w:val="17"/>
              </w:rPr>
              <w:t>2 条（NCT06531161 高原病预防、NCT05466968 急性心梗斑块稳定性，均 not yet recruiting，与长期耐药问题无关）</w:t>
            </w:r>
          </w:p>
        </w:tc>
      </w:tr>
      <w:tr>
        <w:tc>
          <w:tcPr>
            <w:tcW w:type="dxa" w:w="3097"/>
          </w:tcPr>
          <w:p>
            <w:r>
              <w:rPr>
                <w:rFonts w:ascii="Times New Roman" w:hAnsi="Times New Roman" w:eastAsia="宋体"/>
                <w:b w:val="0"/>
                <w:color w:val="1A1A1A"/>
                <w:sz w:val="17"/>
              </w:rPr>
              <w:t>ChiCTR</w:t>
            </w:r>
          </w:p>
        </w:tc>
        <w:tc>
          <w:tcPr>
            <w:tcW w:type="dxa" w:w="3097"/>
          </w:tcPr>
          <w:p>
            <w:r>
              <w:rPr>
                <w:rFonts w:ascii="Times New Roman" w:hAnsi="Times New Roman" w:eastAsia="宋体"/>
                <w:b w:val="0"/>
                <w:color w:val="1A1A1A"/>
                <w:sz w:val="17"/>
              </w:rPr>
              <w:t>ChiCTR1900021876（经 2024 年试验摘要核验注册号）</w:t>
            </w:r>
          </w:p>
        </w:tc>
        <w:tc>
          <w:tcPr>
            <w:tcW w:type="dxa" w:w="3097"/>
          </w:tcPr>
          <w:p>
            <w:r>
              <w:rPr>
                <w:rFonts w:ascii="Times New Roman" w:hAnsi="Times New Roman" w:eastAsia="宋体"/>
                <w:b w:val="0"/>
                <w:color w:val="1A1A1A"/>
                <w:sz w:val="17"/>
              </w:rPr>
              <w:t>24 周试验注册记录</w:t>
            </w:r>
            <w:r>
              <w:rPr>
                <w:rFonts w:ascii="Times New Roman" w:hAnsi="Times New Roman" w:eastAsia="宋体"/>
                <w:b w:val="0"/>
                <w:color w:val="1A1A1A"/>
                <w:sz w:val="17"/>
                <w:vertAlign w:val="superscript"/>
              </w:rPr>
              <w:t>[1]</w:t>
            </w:r>
            <w:r>
              <w:rPr>
                <w:rFonts w:ascii="Times New Roman" w:hAnsi="Times New Roman" w:eastAsia="宋体"/>
                <w:b w:val="0"/>
                <w:color w:val="1A1A1A"/>
                <w:sz w:val="17"/>
                <w:vertAlign w:val="superscript"/>
              </w:rPr>
              <w:t>[3]</w:t>
            </w:r>
          </w:p>
        </w:tc>
      </w:tr>
      <w:tr>
        <w:tc>
          <w:tcPr>
            <w:tcW w:type="dxa" w:w="3097"/>
          </w:tcPr>
          <w:p>
            <w:r>
              <w:rPr>
                <w:rFonts w:ascii="Times New Roman" w:hAnsi="Times New Roman" w:eastAsia="宋体"/>
                <w:b w:val="0"/>
                <w:color w:val="1A1A1A"/>
                <w:sz w:val="17"/>
              </w:rPr>
              <w:t>开放获取全文</w:t>
            </w:r>
          </w:p>
        </w:tc>
        <w:tc>
          <w:tcPr>
            <w:tcW w:type="dxa" w:w="3097"/>
          </w:tcPr>
          <w:p>
            <w:r>
              <w:rPr>
                <w:rFonts w:ascii="Times New Roman" w:hAnsi="Times New Roman" w:eastAsia="宋体"/>
                <w:b w:val="0"/>
                <w:color w:val="1A1A1A"/>
                <w:sz w:val="17"/>
              </w:rPr>
              <w:t>DOI 10.1186/s12906-024-04661-5 → PMC11451125；DOI 10.1186/s13063-021-05448-6 → PMC8287819</w:t>
            </w:r>
          </w:p>
        </w:tc>
        <w:tc>
          <w:tcPr>
            <w:tcW w:type="dxa" w:w="3097"/>
          </w:tcPr>
          <w:p>
            <w:r>
              <w:rPr>
                <w:rFonts w:ascii="Times New Roman" w:hAnsi="Times New Roman" w:eastAsia="宋体"/>
                <w:b w:val="0"/>
                <w:color w:val="1A1A1A"/>
                <w:sz w:val="17"/>
              </w:rPr>
              <w:t>2 篇全文落盘并逐段阅读</w:t>
            </w:r>
          </w:p>
        </w:tc>
      </w:tr>
      <w:tr>
        <w:tc>
          <w:tcPr>
            <w:tcW w:type="dxa" w:w="3097"/>
          </w:tcPr>
          <w:p>
            <w:r>
              <w:rPr>
                <w:rFonts w:ascii="Times New Roman" w:hAnsi="Times New Roman" w:eastAsia="宋体"/>
                <w:b w:val="0"/>
                <w:color w:val="1A1A1A"/>
                <w:sz w:val="17"/>
              </w:rPr>
              <w:t>受管信号管线</w:t>
            </w:r>
          </w:p>
        </w:tc>
        <w:tc>
          <w:tcPr>
            <w:tcW w:type="dxa" w:w="3097"/>
          </w:tcPr>
          <w:p>
            <w:r>
              <w:rPr>
                <w:rFonts w:ascii="Times New Roman" w:hAnsi="Times New Roman" w:eastAsia="宋体"/>
                <w:b w:val="0"/>
                <w:color w:val="1A1A1A"/>
                <w:sz w:val="17"/>
              </w:rPr>
              <w:t>evimed_drug_safety_analysis（start，3 组参数）、evimed_adr_case_query、evimed_adr_signal_analysis</w:t>
            </w:r>
          </w:p>
        </w:tc>
        <w:tc>
          <w:tcPr>
            <w:tcW w:type="dxa" w:w="3097"/>
          </w:tcPr>
          <w:p>
            <w:r>
              <w:rPr>
                <w:rFonts w:ascii="Times New Roman" w:hAnsi="Times New Roman" w:eastAsia="宋体"/>
                <w:b w:val="0"/>
                <w:color w:val="1A1A1A"/>
                <w:sz w:val="17"/>
              </w:rPr>
              <w:t>HTTP 422/400，不可用（记录为证据缺口，不作阴性解释）</w:t>
            </w:r>
          </w:p>
        </w:tc>
      </w:tr>
    </w:tbl>
    <w:p>
      <w:pPr>
        <w:spacing w:after="80" w:before="0" w:line="348" w:lineRule="auto"/>
      </w:pPr>
    </w:p>
    <w:p>
      <w:pPr>
        <w:spacing w:after="100" w:before="240" w:line="300" w:lineRule="auto"/>
      </w:pPr>
      <w:r>
        <w:rPr>
          <w:rFonts w:ascii="Times New Roman" w:hAnsi="Times New Roman" w:eastAsia="黑体"/>
          <w:b/>
          <w:color w:val="1A1A1A"/>
          <w:sz w:val="23"/>
        </w:rPr>
        <w:t>2.2 纳入与排除</w:t>
      </w:r>
    </w:p>
    <w:p>
      <w:pPr>
        <w:spacing w:after="120" w:before="0" w:line="348" w:lineRule="auto"/>
        <w:ind w:firstLine="420"/>
      </w:pPr>
      <w:r>
        <w:rPr>
          <w:rFonts w:ascii="Times New Roman" w:hAnsi="Times New Roman" w:eastAsia="宋体"/>
          <w:b w:val="0"/>
          <w:color w:val="1A1A1A"/>
          <w:sz w:val="21"/>
        </w:rPr>
        <w:t>纳入：以临床终点评估本品疗效/安全性的 RCT、系统评价、指南/共识、真实世界研究、说明书索引；硝酸酯耐受机制综述与实验研究（作为对照框架）。排除：与本问题无关的其他中成药评价、仅涉及其他适应症（急性心梗/高原病）的登记研究（未开展）、无法定位来源的转述。检索到的中文直接证据绝大多数为摘要层（索引收录），已在对应条目标注。</w:t>
      </w:r>
    </w:p>
    <w:p>
      <w:pPr>
        <w:spacing w:after="120" w:before="0" w:line="348" w:lineRule="auto"/>
        <w:ind w:firstLine="420"/>
      </w:pP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5"/>
        </w:rPr>
        <w:t>三、结果</w:t>
      </w:r>
    </w:p>
    <w:p>
      <w:pPr>
        <w:spacing w:after="100" w:before="240" w:line="300" w:lineRule="auto"/>
      </w:pPr>
      <w:r>
        <w:rPr>
          <w:rFonts w:ascii="Times New Roman" w:hAnsi="Times New Roman" w:eastAsia="黑体"/>
          <w:b/>
          <w:color w:val="1A1A1A"/>
          <w:sz w:val="23"/>
        </w:rPr>
        <w:t>3.1 Q1 硝酸酯耐药：判定标准、机制层级与概念区分</w:t>
      </w:r>
    </w:p>
    <w:p>
      <w:pPr>
        <w:spacing w:after="120" w:before="0" w:line="348" w:lineRule="auto"/>
      </w:pPr>
      <w:r>
        <w:rPr>
          <w:rFonts w:ascii="Times New Roman" w:hAnsi="Times New Roman" w:eastAsia="宋体"/>
          <w:b/>
          <w:color w:val="1A1A1A"/>
          <w:sz w:val="21"/>
        </w:rPr>
        <w:t>判定标准。</w:t>
      </w:r>
      <w:r>
        <w:rPr>
          <w:rFonts w:ascii="Times New Roman" w:hAnsi="Times New Roman" w:eastAsia="宋体"/>
          <w:b w:val="0"/>
          <w:color w:val="1A1A1A"/>
          <w:sz w:val="21"/>
        </w:rPr>
        <w:t xml:space="preserve"> 硝酸酯耐受指连续（通常 24 h–数日内）暴露后，同一终点（运动耐量、ST 段压低幅度、血流动力学反应、心绞痛发作频率）在重复测量下效应随时间下降；以"无硝酸盐间期"（如夜间撤药、间歇给药）可部分恢复。该标准由硝酸酯领域的系统综述与机制研究确立</w:t>
      </w:r>
      <w:r>
        <w:rPr>
          <w:rFonts w:ascii="Times New Roman" w:hAnsi="Times New Roman" w:eastAsia="宋体"/>
          <w:b w:val="0"/>
          <w:color w:val="1A1A1A"/>
          <w:sz w:val="21"/>
          <w:vertAlign w:val="superscript"/>
        </w:rPr>
        <w:t>[24]</w:t>
      </w:r>
      <w:r>
        <w:rPr>
          <w:rFonts w:ascii="Times New Roman" w:hAnsi="Times New Roman" w:eastAsia="宋体"/>
          <w:b w:val="0"/>
          <w:color w:val="1A1A1A"/>
          <w:sz w:val="21"/>
          <w:vertAlign w:val="superscript"/>
        </w:rPr>
        <w:t>[25]</w:t>
      </w:r>
      <w:r>
        <w:rPr>
          <w:rFonts w:ascii="Times New Roman" w:hAnsi="Times New Roman" w:eastAsia="宋体"/>
          <w:b w:val="0"/>
          <w:color w:val="1A1A1A"/>
          <w:sz w:val="21"/>
          <w:vertAlign w:val="superscript"/>
        </w:rPr>
        <w:t>[26]</w:t>
      </w:r>
      <w:r>
        <w:rPr>
          <w:rFonts w:ascii="Times New Roman" w:hAnsi="Times New Roman" w:eastAsia="宋体"/>
          <w:b w:val="0"/>
          <w:color w:val="1A1A1A"/>
          <w:sz w:val="21"/>
        </w:rPr>
        <w:t>。注意：这一判定标准要求"连续给药＋同一终点重复测量＋效应下降"，单次或疗程终点单点疗效不能判定耐受与否。</w:t>
      </w:r>
    </w:p>
    <w:p>
      <w:pPr>
        <w:spacing w:after="120" w:before="0" w:line="348" w:lineRule="auto"/>
      </w:pPr>
      <w:r>
        <w:rPr>
          <w:rFonts w:ascii="Times New Roman" w:hAnsi="Times New Roman" w:eastAsia="宋体"/>
          <w:b/>
          <w:color w:val="1A1A1A"/>
          <w:sz w:val="21"/>
        </w:rPr>
        <w:t>机制证据层级。</w:t>
      </w:r>
      <w:r>
        <w:rPr>
          <w:rFonts w:ascii="Times New Roman" w:hAnsi="Times New Roman" w:eastAsia="宋体"/>
          <w:b w:val="0"/>
          <w:color w:val="1A1A1A"/>
          <w:sz w:val="21"/>
        </w:rPr>
        <w:t xml:space="preserve"> ① 生物转化受损：硝酸甘油需经线粒体 ALDH-2 生物转化为 NO 等活性物，长期暴露使 ALDH-2 活性下降，此为耐受的核心机制之一——证据来自基因/药理干预实验与机制综述</w:t>
      </w:r>
      <w:r>
        <w:rPr>
          <w:rFonts w:ascii="Times New Roman" w:hAnsi="Times New Roman" w:eastAsia="宋体"/>
          <w:b w:val="0"/>
          <w:color w:val="1A1A1A"/>
          <w:sz w:val="21"/>
          <w:vertAlign w:val="superscript"/>
        </w:rPr>
        <w:t>[27]</w:t>
      </w:r>
      <w:r>
        <w:rPr>
          <w:rFonts w:ascii="Times New Roman" w:hAnsi="Times New Roman" w:eastAsia="宋体"/>
          <w:b w:val="0"/>
          <w:color w:val="1A1A1A"/>
          <w:sz w:val="21"/>
          <w:vertAlign w:val="superscript"/>
        </w:rPr>
        <w:t>[28]</w:t>
      </w:r>
      <w:r>
        <w:rPr>
          <w:rFonts w:ascii="Times New Roman" w:hAnsi="Times New Roman" w:eastAsia="宋体"/>
          <w:b w:val="0"/>
          <w:color w:val="1A1A1A"/>
          <w:sz w:val="21"/>
          <w:vertAlign w:val="superscript"/>
        </w:rPr>
        <w:t>[29]</w:t>
      </w:r>
      <w:r>
        <w:rPr>
          <w:rFonts w:ascii="Times New Roman" w:hAnsi="Times New Roman" w:eastAsia="宋体"/>
          <w:b w:val="0"/>
          <w:color w:val="1A1A1A"/>
          <w:sz w:val="21"/>
        </w:rPr>
        <w:t>；② 氧化应激与内皮功能障碍：线粒体 ROS 生成、sGC 失活/降解、PDE 活性增加、内皮功能损害——实验与综述层级</w:t>
      </w:r>
      <w:r>
        <w:rPr>
          <w:rFonts w:ascii="Times New Roman" w:hAnsi="Times New Roman" w:eastAsia="宋体"/>
          <w:b w:val="0"/>
          <w:color w:val="1A1A1A"/>
          <w:sz w:val="21"/>
          <w:vertAlign w:val="superscript"/>
        </w:rPr>
        <w:t>[26]</w:t>
      </w:r>
      <w:r>
        <w:rPr>
          <w:rFonts w:ascii="Times New Roman" w:hAnsi="Times New Roman" w:eastAsia="宋体"/>
          <w:b w:val="0"/>
          <w:color w:val="1A1A1A"/>
          <w:sz w:val="21"/>
          <w:vertAlign w:val="superscript"/>
        </w:rPr>
        <w:t>[29]</w:t>
      </w:r>
      <w:r>
        <w:rPr>
          <w:rFonts w:ascii="Times New Roman" w:hAnsi="Times New Roman" w:eastAsia="宋体"/>
          <w:b w:val="0"/>
          <w:color w:val="1A1A1A"/>
          <w:sz w:val="21"/>
        </w:rPr>
        <w:t>；③ 神经内分泌反调节：RAAS/交感激活、血浆容量扩张等代偿——综述层级</w:t>
      </w:r>
      <w:r>
        <w:rPr>
          <w:rFonts w:ascii="Times New Roman" w:hAnsi="Times New Roman" w:eastAsia="宋体"/>
          <w:b w:val="0"/>
          <w:color w:val="1A1A1A"/>
          <w:sz w:val="21"/>
          <w:vertAlign w:val="superscript"/>
        </w:rPr>
        <w:t>[24]</w:t>
      </w:r>
      <w:r>
        <w:rPr>
          <w:rFonts w:ascii="Times New Roman" w:hAnsi="Times New Roman" w:eastAsia="宋体"/>
          <w:b w:val="0"/>
          <w:color w:val="1A1A1A"/>
          <w:sz w:val="21"/>
          <w:vertAlign w:val="superscript"/>
        </w:rPr>
        <w:t>[25]</w:t>
      </w:r>
      <w:r>
        <w:rPr>
          <w:rFonts w:ascii="Times New Roman" w:hAnsi="Times New Roman" w:eastAsia="宋体"/>
          <w:b w:val="0"/>
          <w:color w:val="1A1A1A"/>
          <w:sz w:val="21"/>
        </w:rPr>
        <w:t>。以上均为机制/实验证据，属"机制上可解释"层级，而非"已证实不衰减"或"已证实必然衰减"的临床结局证据。</w:t>
      </w:r>
    </w:p>
    <w:p>
      <w:pPr>
        <w:spacing w:after="120" w:before="0" w:line="348" w:lineRule="auto"/>
      </w:pPr>
      <w:r>
        <w:rPr>
          <w:rFonts w:ascii="Times New Roman" w:hAnsi="Times New Roman" w:eastAsia="宋体"/>
          <w:b/>
          <w:color w:val="1A1A1A"/>
          <w:sz w:val="21"/>
        </w:rPr>
        <w:t>概念区分。</w:t>
      </w:r>
      <w:r>
        <w:rPr>
          <w:rFonts w:ascii="Times New Roman" w:hAnsi="Times New Roman" w:eastAsia="宋体"/>
          <w:b w:val="0"/>
          <w:color w:val="1A1A1A"/>
          <w:sz w:val="21"/>
        </w:rPr>
        <w:t xml:space="preserve"> 耐受（tolerance，反复给药后反应下降）、快速耐受（tachyphylaxis，短时间内迅速出现的耐受）、依赖（dependence，停药后出现戒断症状的生理性适应）、成瘾（addiction，以渴求与失控使用为特征的行为综合征）、停药反跳（rebound，停药后原症状恶化或加重）在定义上相互区分</w:t>
      </w:r>
      <w:r>
        <w:rPr>
          <w:rFonts w:ascii="Times New Roman" w:hAnsi="Times New Roman" w:eastAsia="宋体"/>
          <w:b w:val="0"/>
          <w:color w:val="1A1A1A"/>
          <w:sz w:val="21"/>
          <w:vertAlign w:val="superscript"/>
        </w:rPr>
        <w:t>[24]</w:t>
      </w:r>
      <w:r>
        <w:rPr>
          <w:rFonts w:ascii="Times New Roman" w:hAnsi="Times New Roman" w:eastAsia="宋体"/>
          <w:b w:val="0"/>
          <w:color w:val="1A1A1A"/>
          <w:sz w:val="21"/>
          <w:vertAlign w:val="superscript"/>
        </w:rPr>
        <w:t>[25]</w:t>
      </w:r>
      <w:r>
        <w:rPr>
          <w:rFonts w:ascii="Times New Roman" w:hAnsi="Times New Roman" w:eastAsia="宋体"/>
          <w:b w:val="0"/>
          <w:color w:val="1A1A1A"/>
          <w:sz w:val="21"/>
        </w:rPr>
        <w:t>。</w:t>
      </w:r>
      <w:r>
        <w:rPr>
          <w:rFonts w:ascii="Times New Roman" w:hAnsi="Times New Roman" w:eastAsia="宋体"/>
          <w:b/>
          <w:color w:val="1A1A1A"/>
          <w:sz w:val="21"/>
        </w:rPr>
        <w:t>"组方不含硝酸酯"只能排除"硝酸酯类特有通路"（如 ALDH-2 介导的硝酸甘油生物转化）这一条；不能排除其他形式的效应衰减（受体/通道脱敏、代谢酶诱导、内源性介质耗竭）——该推理断在"无其他衰减机制"这一前提上，而这一前提没有任何排除性证据。</w:t>
      </w:r>
      <w:r>
        <w:rPr>
          <w:rFonts w:ascii="Times New Roman" w:hAnsi="Times New Roman" w:eastAsia="宋体"/>
          <w:b w:val="0"/>
          <w:color w:val="1A1A1A"/>
          <w:sz w:val="21"/>
        </w:rPr>
        <w:t xml:space="preserve"> 详见 3.2。</w:t>
      </w:r>
    </w:p>
    <w:p>
      <w:pPr>
        <w:spacing w:after="100" w:before="240" w:line="300" w:lineRule="auto"/>
      </w:pPr>
      <w:r>
        <w:rPr>
          <w:rFonts w:ascii="Times New Roman" w:hAnsi="Times New Roman" w:eastAsia="黑体"/>
          <w:b/>
          <w:color w:val="1A1A1A"/>
          <w:sz w:val="23"/>
        </w:rPr>
        <w:t>3.2 Q2 本品组方通路中是否存在可致重复给药效应递减的机制</w:t>
      </w:r>
    </w:p>
    <w:p>
      <w:pPr>
        <w:spacing w:after="120" w:before="0" w:line="348" w:lineRule="auto"/>
        <w:ind w:firstLine="420"/>
      </w:pPr>
      <w:r>
        <w:rPr>
          <w:rFonts w:ascii="Times New Roman" w:hAnsi="Times New Roman" w:eastAsia="宋体"/>
          <w:b w:val="0"/>
          <w:color w:val="1A1A1A"/>
          <w:sz w:val="21"/>
        </w:rPr>
        <w:t>本品报告的作用通路（2024 年 CCS 试验全文机制综述与方案全文）：</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eNOS-NO 通路</w:t>
      </w:r>
      <w:r>
        <w:rPr>
          <w:rFonts w:ascii="Times New Roman" w:hAnsi="Times New Roman" w:eastAsia="宋体"/>
          <w:b w:val="0"/>
          <w:color w:val="1A1A1A"/>
          <w:sz w:val="21"/>
        </w:rPr>
        <w:t>：预临床研究显示本品激活内皮型一氧化氮合酶（eNOS）-NO 通路诱导冠脉舒张</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钙拮抗活性</w:t>
      </w:r>
      <w:r>
        <w:rPr>
          <w:rFonts w:ascii="Times New Roman" w:hAnsi="Times New Roman" w:eastAsia="宋体"/>
          <w:b w:val="0"/>
          <w:color w:val="1A1A1A"/>
          <w:sz w:val="21"/>
        </w:rPr>
        <w:t>：藁本内酯（ligustilide）通过抑制 Ca²⁺/钙调蛋白依赖性蛋白激酶 II（CaMKII）改善血管舒张</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；川芎嗪与冰片组合显示协同钙拮抗活性</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抗炎/抗氧化</w:t>
      </w:r>
      <w:r>
        <w:rPr>
          <w:rFonts w:ascii="Times New Roman" w:hAnsi="Times New Roman" w:eastAsia="宋体"/>
          <w:b w:val="0"/>
          <w:color w:val="1A1A1A"/>
          <w:sz w:val="21"/>
        </w:rPr>
        <w:t>：senkyunolide A、藁本内酯、阿魏酸、冰片等</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药代动力学：口服后血浆中鉴定出冰片、异冰片、senkyunolide A/I、藁本内酯、阿魏酸等 9 个主要化合物</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关键观察：</w:t>
      </w:r>
      <w:r>
        <w:rPr>
          <w:rFonts w:ascii="Times New Roman" w:hAnsi="Times New Roman" w:eastAsia="宋体"/>
          <w:b w:val="0"/>
          <w:color w:val="1A1A1A"/>
          <w:sz w:val="21"/>
        </w:rPr>
        <w:t xml:space="preserve"> ① 本品与硝酸酯共享下游 NO 信号通路（eNOS-NO）；② 未检索到针对上述通路在重复给药条件下发生受体脱敏、通道脱敏、代谢酶诱导或介质耗竭的已发表实验；③ 未检索到本品成分重复给药的药代动力学（如自身代谢酶诱导、清除加速）或药效学衰减数据（PubMed/Crossref/中文库检索均为零命中或无关命中）。</w:t>
      </w:r>
      <w:r>
        <w:rPr>
          <w:rFonts w:ascii="Times New Roman" w:hAnsi="Times New Roman" w:eastAsia="宋体"/>
          <w:b/>
          <w:color w:val="1A1A1A"/>
          <w:sz w:val="21"/>
        </w:rPr>
        <w:t>因此，"无任何效应衰减机制"既无正面证据也无排除性证据，机制层面只能表述为"未检索到已报告的脱敏或耐受机制"，不能表述为"已证实不存在"。</w:t>
      </w:r>
    </w:p>
    <w:p>
      <w:pPr>
        <w:spacing w:after="100" w:before="240" w:line="300" w:lineRule="auto"/>
      </w:pPr>
      <w:r>
        <w:rPr>
          <w:rFonts w:ascii="Times New Roman" w:hAnsi="Times New Roman" w:eastAsia="黑体"/>
          <w:b/>
          <w:color w:val="1A1A1A"/>
          <w:sz w:val="23"/>
        </w:rPr>
        <w:t>3.3 Q3 是否存在直接检验本品长期用药效应随时间变化的研究</w:t>
      </w:r>
    </w:p>
    <w:p>
      <w:pPr>
        <w:spacing w:after="120" w:before="0" w:line="348" w:lineRule="auto"/>
      </w:pPr>
      <w:r>
        <w:rPr>
          <w:rFonts w:ascii="Times New Roman" w:hAnsi="Times New Roman" w:eastAsia="宋体"/>
          <w:b/>
          <w:color w:val="1A1A1A"/>
          <w:sz w:val="21"/>
        </w:rPr>
        <w:t>结论：未检索到满足全部判据（≥3 个月、同一疗效终点重复测量、并报告后期与早期效应差值及区间估计）的研究。</w:t>
      </w:r>
      <w:r>
        <w:rPr>
          <w:rFonts w:ascii="Times New Roman" w:hAnsi="Times New Roman" w:eastAsia="宋体"/>
          <w:b w:val="0"/>
          <w:color w:val="1A1A1A"/>
          <w:sz w:val="21"/>
        </w:rPr>
        <w:t xml:space="preserve"> 逐项列出检出研究及其不足：</w:t>
      </w:r>
    </w:p>
    <w:p>
      <w:pPr>
        <w:spacing w:after="60" w:before="0" w:line="336" w:lineRule="auto"/>
        <w:ind w:left="340"/>
      </w:pPr>
      <w:r>
        <w:rPr>
          <w:rFonts w:ascii="Times New Roman" w:hAnsi="Times New Roman" w:eastAsia="宋体"/>
          <w:b w:val="0"/>
          <w:color w:val="1A1A1A"/>
          <w:sz w:val="21"/>
        </w:rPr>
        <w:t xml:space="preserve">1. </w:t>
      </w:r>
      <w:r>
        <w:rPr>
          <w:rFonts w:ascii="Times New Roman" w:hAnsi="Times New Roman" w:eastAsia="宋体"/>
          <w:b/>
          <w:color w:val="1A1A1A"/>
          <w:sz w:val="21"/>
        </w:rPr>
        <w:t>2024 年 24 周、324 例双盲安慰剂对照 RCT（13 家医院，稳定型心绞痛，ChiCTR1900021876）</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：同一终点（心绞痛疗效率、TCM 证候积分、心绞痛症状总分等）在</w:t>
      </w:r>
      <w:r>
        <w:rPr>
          <w:rFonts w:ascii="Times New Roman" w:hAnsi="Times New Roman" w:eastAsia="宋体"/>
          <w:b/>
          <w:color w:val="1A1A1A"/>
          <w:sz w:val="21"/>
        </w:rPr>
        <w:t>第 4、12、24 周重复测量</w:t>
      </w:r>
      <w:r>
        <w:rPr>
          <w:rFonts w:ascii="Times New Roman" w:hAnsi="Times New Roman" w:eastAsia="宋体"/>
          <w:b w:val="0"/>
          <w:color w:val="1A1A1A"/>
          <w:sz w:val="21"/>
        </w:rPr>
        <w:t>，摘要层报告"第 4、12、24 周治疗组均显著改善"；</w:t>
      </w:r>
      <w:r>
        <w:rPr>
          <w:rFonts w:ascii="Times New Roman" w:hAnsi="Times New Roman" w:eastAsia="宋体"/>
          <w:b/>
          <w:color w:val="1A1A1A"/>
          <w:sz w:val="21"/>
        </w:rPr>
        <w:t>但摘要未报告各时点效应量、后期与早期差值及区间估计，全文不可得（J Ethnopharmacol 非开放获取）</w:t>
      </w:r>
      <w:r>
        <w:rPr>
          <w:rFonts w:ascii="Times New Roman" w:hAnsi="Times New Roman" w:eastAsia="宋体"/>
          <w:b w:val="0"/>
          <w:color w:val="1A1A1A"/>
          <w:sz w:val="21"/>
        </w:rPr>
        <w:t>。按任务书判据：随访 ≥3 个月（24 周）满足、同一终点重复测量满足、</w:t>
      </w:r>
      <w:r>
        <w:rPr>
          <w:rFonts w:ascii="Times New Roman" w:hAnsi="Times New Roman" w:eastAsia="宋体"/>
          <w:b/>
          <w:color w:val="1A1A1A"/>
          <w:sz w:val="21"/>
        </w:rPr>
        <w:t>后期-早期差值及区间估计不满足</w:t>
      </w:r>
      <w:r>
        <w:rPr>
          <w:rFonts w:ascii="Times New Roman" w:hAnsi="Times New Roman" w:eastAsia="宋体"/>
          <w:b w:val="0"/>
          <w:color w:val="1A1A1A"/>
          <w:sz w:val="21"/>
        </w:rPr>
        <w:t>——不能作为"长期疗效不衰减"的直接证据。另据 2024 年 CCS 试验讨论引述，该 24 周试验在第 4 周时未显示优于安慰剂、而在 24 周时显示改善（即效应随时间增长而非衰减的间接提示）</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，此转述为二级引用，须以全文核验。</w:t>
      </w:r>
    </w:p>
    <w:p>
      <w:pPr>
        <w:spacing w:after="60" w:before="0" w:line="336" w:lineRule="auto"/>
        <w:ind w:left="340"/>
      </w:pPr>
      <w:r>
        <w:rPr>
          <w:rFonts w:ascii="Times New Roman" w:hAnsi="Times New Roman" w:eastAsia="宋体"/>
          <w:b w:val="0"/>
          <w:color w:val="1A1A1A"/>
          <w:sz w:val="21"/>
        </w:rPr>
        <w:t xml:space="preserve">2. </w:t>
      </w:r>
      <w:r>
        <w:rPr>
          <w:rFonts w:ascii="Times New Roman" w:hAnsi="Times New Roman" w:eastAsia="宋体"/>
          <w:b/>
          <w:color w:val="1A1A1A"/>
          <w:sz w:val="21"/>
        </w:rPr>
        <w:t>2004 年 40 例/组、6 个月（半年）RCT（冠心病心血瘀阻证，对照硝酸甘油）</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：心电图疗效在</w:t>
      </w:r>
      <w:r>
        <w:rPr>
          <w:rFonts w:ascii="Times New Roman" w:hAnsi="Times New Roman" w:eastAsia="宋体"/>
          <w:b/>
          <w:color w:val="1A1A1A"/>
          <w:sz w:val="21"/>
        </w:rPr>
        <w:t>第 1、3、6 个月重复测量</w:t>
      </w:r>
      <w:r>
        <w:rPr>
          <w:rFonts w:ascii="Times New Roman" w:hAnsi="Times New Roman" w:eastAsia="宋体"/>
          <w:b w:val="0"/>
          <w:color w:val="1A1A1A"/>
          <w:sz w:val="21"/>
        </w:rPr>
        <w:t>——"1 个月时两组无显著差异，3 个月与 6 个月时试验组显著优于对照组"；摘要层未报告后期-早期差值及区间估计，样本量小，不符合"报告后期与早期差值及区间估计"判据。</w:t>
      </w:r>
    </w:p>
    <w:p>
      <w:pPr>
        <w:spacing w:after="60" w:before="0" w:line="336" w:lineRule="auto"/>
        <w:ind w:left="340"/>
      </w:pPr>
      <w:r>
        <w:rPr>
          <w:rFonts w:ascii="Times New Roman" w:hAnsi="Times New Roman" w:eastAsia="宋体"/>
          <w:b w:val="0"/>
          <w:color w:val="1A1A1A"/>
          <w:sz w:val="21"/>
        </w:rPr>
        <w:t xml:space="preserve">3. </w:t>
      </w:r>
      <w:r>
        <w:rPr>
          <w:rFonts w:ascii="Times New Roman" w:hAnsi="Times New Roman" w:eastAsia="宋体"/>
          <w:b/>
          <w:color w:val="1A1A1A"/>
          <w:sz w:val="21"/>
        </w:rPr>
        <w:t>2019 年 124 例、24 周双盲安慰剂对照 RCT（ACS 血管重建术后，随访 1 年）</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：24 周疗程＋1 年随访，报告临床终点事件发生率 8.62% vs 21.31%（P&lt;0.05）；</w:t>
      </w:r>
      <w:r>
        <w:rPr>
          <w:rFonts w:ascii="Times New Roman" w:hAnsi="Times New Roman" w:eastAsia="宋体"/>
          <w:b/>
          <w:color w:val="1A1A1A"/>
          <w:sz w:val="21"/>
        </w:rPr>
        <w:t>未报告同一终点随时间的重复测量差值及区间估计</w:t>
      </w:r>
      <w:r>
        <w:rPr>
          <w:rFonts w:ascii="Times New Roman" w:hAnsi="Times New Roman" w:eastAsia="宋体"/>
          <w:b w:val="0"/>
          <w:color w:val="1A1A1A"/>
          <w:sz w:val="21"/>
        </w:rPr>
        <w:t>；人群为 ACS 术后（非稳定期长期用药场景）。</w:t>
      </w:r>
    </w:p>
    <w:p>
      <w:pPr>
        <w:spacing w:after="60" w:before="0" w:line="336" w:lineRule="auto"/>
        <w:ind w:left="340"/>
      </w:pPr>
      <w:r>
        <w:rPr>
          <w:rFonts w:ascii="Times New Roman" w:hAnsi="Times New Roman" w:eastAsia="宋体"/>
          <w:b w:val="0"/>
          <w:color w:val="1A1A1A"/>
          <w:sz w:val="21"/>
        </w:rPr>
        <w:t xml:space="preserve">4. </w:t>
      </w:r>
      <w:r>
        <w:rPr>
          <w:rFonts w:ascii="Times New Roman" w:hAnsi="Times New Roman" w:eastAsia="宋体"/>
          <w:b/>
          <w:color w:val="1A1A1A"/>
          <w:sz w:val="21"/>
        </w:rPr>
        <w:t>2020 年 ACS 早期 PCI 多中心双盲安慰剂对照 RCT（PMID 32716206）</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：急性期/围术期时相，非长期用药研究。</w:t>
      </w:r>
    </w:p>
    <w:p>
      <w:pPr>
        <w:spacing w:after="60" w:before="0" w:line="336" w:lineRule="auto"/>
        <w:ind w:left="340"/>
      </w:pPr>
      <w:r>
        <w:rPr>
          <w:rFonts w:ascii="Times New Roman" w:hAnsi="Times New Roman" w:eastAsia="宋体"/>
          <w:b w:val="0"/>
          <w:color w:val="1A1A1A"/>
          <w:sz w:val="21"/>
        </w:rPr>
        <w:t xml:space="preserve">5. </w:t>
      </w:r>
      <w:r>
        <w:rPr>
          <w:rFonts w:ascii="Times New Roman" w:hAnsi="Times New Roman" w:eastAsia="宋体"/>
          <w:b/>
          <w:color w:val="1A1A1A"/>
          <w:sz w:val="21"/>
        </w:rPr>
        <w:t>2022 年系统评价（13 项 RCT，推荐剂量 4–6 粒/次持续使用不同疗程）</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：纳入疗程为 2 周、4 周/30 d、8 周；结论"现有证据仅支持 2 周和 4 周/30 d 疗程，</w:t>
      </w:r>
      <w:r>
        <w:rPr>
          <w:rFonts w:ascii="Times New Roman" w:hAnsi="Times New Roman" w:eastAsia="宋体"/>
          <w:b/>
          <w:color w:val="1A1A1A"/>
          <w:sz w:val="21"/>
        </w:rPr>
        <w:t>其余疗程研究缺失或较少，证据尚不充分</w:t>
      </w:r>
      <w:r>
        <w:rPr>
          <w:rFonts w:ascii="Times New Roman" w:hAnsi="Times New Roman" w:eastAsia="宋体"/>
          <w:b w:val="0"/>
          <w:color w:val="1A1A1A"/>
          <w:sz w:val="21"/>
        </w:rPr>
        <w:t>"——这是对"长期用药证据"最直接的系统评价性陈述。</w:t>
      </w:r>
    </w:p>
    <w:p>
      <w:pPr>
        <w:spacing w:after="60" w:before="0" w:line="336" w:lineRule="auto"/>
        <w:ind w:left="340"/>
      </w:pPr>
      <w:r>
        <w:rPr>
          <w:rFonts w:ascii="Times New Roman" w:hAnsi="Times New Roman" w:eastAsia="宋体"/>
          <w:b w:val="0"/>
          <w:color w:val="1A1A1A"/>
          <w:sz w:val="21"/>
        </w:rPr>
        <w:t xml:space="preserve">6. </w:t>
      </w:r>
      <w:r>
        <w:rPr>
          <w:rFonts w:ascii="Times New Roman" w:hAnsi="Times New Roman" w:eastAsia="宋体"/>
          <w:b/>
          <w:color w:val="1A1A1A"/>
          <w:sz w:val="21"/>
        </w:rPr>
        <w:t>2024 年贝叶斯网络 Meta 分析（331 项 RCT、36 467 例）</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、2008 年 Cochrane 系统评价（15 项 RCT、1 776 例）</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、2008 年 Meta（14 项研究）</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、2016 年 ACS Meta（15 项研究）</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、2021 年 ACS 系统评价（11 项 RCT、1 296 例）</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、2021 年急性发作系统评价（6 项 RCT、651 例，本品对比硝酸甘油）</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：均为疗程终点/发作时点的合并效应，不包含长期效应衰减的时程分析；Cochrane 明确"证据仍弱（纳入研究方法学质量差）"</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7. </w:t>
      </w:r>
      <w:r>
        <w:rPr>
          <w:rFonts w:ascii="Times New Roman" w:hAnsi="Times New Roman" w:eastAsia="宋体"/>
          <w:b/>
          <w:color w:val="1A1A1A"/>
          <w:sz w:val="21"/>
        </w:rPr>
        <w:t>4 周持续用药小样本 RCT（60 例，双盲平行对照，对照心可舒片）</w:t>
      </w:r>
      <w:r>
        <w:rPr>
          <w:rFonts w:ascii="Times New Roman" w:hAnsi="Times New Roman" w:eastAsia="宋体"/>
          <w:b w:val="0"/>
          <w:color w:val="1A1A1A"/>
          <w:sz w:val="21"/>
          <w:vertAlign w:val="superscript"/>
        </w:rPr>
        <w:t>[17]</w:t>
      </w:r>
      <w:r>
        <w:rPr>
          <w:rFonts w:ascii="Times New Roman" w:hAnsi="Times New Roman" w:eastAsia="宋体"/>
          <w:b w:val="0"/>
          <w:color w:val="1A1A1A"/>
          <w:sz w:val="21"/>
        </w:rPr>
        <w:t>：疗程 4 周，属短期证据；2021 年不同剂量 Meta（22 项 RCT）</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比较 4–6 粒与 10–15 粒剂量组疗效，并呼吁"更多大剂量长疗程、随访长期预后的临床研究"——作者自身即指认长疗程数据不足，不构成长期用药证据。</w:t>
      </w:r>
    </w:p>
    <w:p>
      <w:pPr>
        <w:spacing w:after="60" w:before="0" w:line="336" w:lineRule="auto"/>
        <w:ind w:left="340"/>
      </w:pPr>
      <w:r>
        <w:rPr>
          <w:rFonts w:ascii="Times New Roman" w:hAnsi="Times New Roman" w:eastAsia="宋体"/>
          <w:b w:val="0"/>
          <w:color w:val="1A1A1A"/>
          <w:sz w:val="21"/>
        </w:rPr>
        <w:t xml:space="preserve">8. </w:t>
      </w:r>
      <w:r>
        <w:rPr>
          <w:rFonts w:ascii="Times New Roman" w:hAnsi="Times New Roman" w:eastAsia="宋体"/>
          <w:b/>
          <w:color w:val="1A1A1A"/>
          <w:sz w:val="21"/>
        </w:rPr>
        <w:t>真实世界研究（33 家三甲医院 HIS，10 008 例）</w:t>
      </w:r>
      <w:r>
        <w:rPr>
          <w:rFonts w:ascii="Times New Roman" w:hAnsi="Times New Roman" w:eastAsia="宋体"/>
          <w:b w:val="0"/>
          <w:color w:val="1A1A1A"/>
          <w:sz w:val="21"/>
          <w:vertAlign w:val="superscript"/>
        </w:rPr>
        <w:t>[18]</w:t>
      </w:r>
      <w:r>
        <w:rPr>
          <w:rFonts w:ascii="Times New Roman" w:hAnsi="Times New Roman" w:eastAsia="宋体"/>
          <w:b w:val="0"/>
          <w:color w:val="1A1A1A"/>
          <w:sz w:val="21"/>
        </w:rPr>
        <w:t>：描述用药剂量（单次 ≤15 粒者占 96.58%）与合并用药，未随访长期疗效或停药反应。</w:t>
      </w:r>
    </w:p>
    <w:p>
      <w:pPr>
        <w:spacing w:after="60" w:before="0" w:line="336" w:lineRule="auto"/>
        <w:ind w:left="340"/>
      </w:pPr>
      <w:r>
        <w:rPr>
          <w:rFonts w:ascii="Times New Roman" w:hAnsi="Times New Roman" w:eastAsia="宋体"/>
          <w:b w:val="0"/>
          <w:color w:val="1A1A1A"/>
          <w:sz w:val="21"/>
        </w:rPr>
        <w:t xml:space="preserve">8. </w:t>
      </w:r>
      <w:r>
        <w:rPr>
          <w:rFonts w:ascii="Times New Roman" w:hAnsi="Times New Roman" w:eastAsia="宋体"/>
          <w:b/>
          <w:color w:val="1A1A1A"/>
          <w:sz w:val="21"/>
        </w:rPr>
        <w:t>最长个案随访</w:t>
      </w:r>
      <w:r>
        <w:rPr>
          <w:rFonts w:ascii="Times New Roman" w:hAnsi="Times New Roman" w:eastAsia="宋体"/>
          <w:b w:val="0"/>
          <w:color w:val="1A1A1A"/>
          <w:sz w:val="21"/>
        </w:rPr>
        <w:t>：1 例 80 岁患者心肺复苏后连续服用 22 年（6–10 粒/次、2–3 次/日）的病例报告</w:t>
      </w:r>
      <w:r>
        <w:rPr>
          <w:rFonts w:ascii="Times New Roman" w:hAnsi="Times New Roman" w:eastAsia="宋体"/>
          <w:b w:val="0"/>
          <w:color w:val="1A1A1A"/>
          <w:sz w:val="21"/>
          <w:vertAlign w:val="superscript"/>
        </w:rPr>
        <w:t>[16]</w:t>
      </w:r>
      <w:r>
        <w:rPr>
          <w:rFonts w:ascii="Times New Roman" w:hAnsi="Times New Roman" w:eastAsia="宋体"/>
          <w:b w:val="0"/>
          <w:color w:val="1A1A1A"/>
          <w:sz w:val="21"/>
        </w:rPr>
        <w:t>，报告持续有效但</w:t>
      </w:r>
      <w:r>
        <w:rPr>
          <w:rFonts w:ascii="Times New Roman" w:hAnsi="Times New Roman" w:eastAsia="宋体"/>
          <w:b/>
          <w:color w:val="1A1A1A"/>
          <w:sz w:val="21"/>
        </w:rPr>
        <w:t>无停药评估、无重复测量的定量终点</w:t>
      </w:r>
      <w:r>
        <w:rPr>
          <w:rFonts w:ascii="Times New Roman" w:hAnsi="Times New Roman" w:eastAsia="宋体"/>
          <w:b w:val="0"/>
          <w:color w:val="1A1A1A"/>
          <w:sz w:val="21"/>
        </w:rPr>
        <w:t>，属个案层级。</w:t>
      </w:r>
    </w:p>
    <w:p>
      <w:pPr>
        <w:spacing w:after="120" w:before="0" w:line="348" w:lineRule="auto"/>
      </w:pPr>
      <w:r>
        <w:rPr>
          <w:rFonts w:ascii="Times New Roman" w:hAnsi="Times New Roman" w:eastAsia="宋体"/>
          <w:b/>
          <w:color w:val="1A1A1A"/>
          <w:sz w:val="21"/>
        </w:rPr>
        <w:t>检索范围内本品长期用药的最长随访时程为 24 周（RCT）与 1 年（ACS 术后随访），最大样本量为 10 008 例（真实世界，非长期疗效随访）与 324 例（RCT）。</w:t>
      </w:r>
      <w:r>
        <w:rPr>
          <w:rFonts w:ascii="Times New Roman" w:hAnsi="Times New Roman" w:eastAsia="宋体"/>
          <w:b w:val="0"/>
          <w:color w:val="1A1A1A"/>
          <w:sz w:val="21"/>
        </w:rPr>
        <w:t xml:space="preserve"> 阴性结论的边界：写"未检索到检验长期效应衰减的研究（满足判据者）"，不写"已证实不产生耐药"。</w:t>
      </w:r>
    </w:p>
    <w:p>
      <w:pPr>
        <w:spacing w:after="100" w:before="240" w:line="300" w:lineRule="auto"/>
      </w:pPr>
      <w:r>
        <w:rPr>
          <w:rFonts w:ascii="Times New Roman" w:hAnsi="Times New Roman" w:eastAsia="黑体"/>
          <w:b/>
          <w:color w:val="1A1A1A"/>
          <w:sz w:val="23"/>
        </w:rPr>
        <w:t>3.4 Q4 说明书、共识、指南与药物警戒来源的追溯</w:t>
      </w:r>
    </w:p>
    <w:p>
      <w:pPr>
        <w:spacing w:after="120" w:before="0" w:line="348" w:lineRule="auto"/>
      </w:pPr>
      <w:r>
        <w:rPr>
          <w:rFonts w:ascii="Times New Roman" w:hAnsi="Times New Roman" w:eastAsia="宋体"/>
          <w:b/>
          <w:color w:val="1A1A1A"/>
          <w:sz w:val="21"/>
        </w:rPr>
        <w:t>NMPA 说明书（索引副本，官方现行版本待核验）</w:t>
      </w:r>
      <w:r>
        <w:rPr>
          <w:rFonts w:ascii="Times New Roman" w:hAnsi="Times New Roman" w:eastAsia="宋体"/>
          <w:b/>
          <w:color w:val="1A1A1A"/>
          <w:sz w:val="21"/>
          <w:vertAlign w:val="superscript"/>
        </w:rPr>
        <w:t>[19]</w:t>
      </w:r>
      <w:r>
        <w:rPr>
          <w:rFonts w:ascii="Times New Roman" w:hAnsi="Times New Roman" w:eastAsia="宋体"/>
          <w:b w:val="0"/>
          <w:color w:val="1A1A1A"/>
          <w:sz w:val="21"/>
        </w:rPr>
        <w:t>：返回字段为功能主治、禁忌（"1. 孕妇禁用"）、注意事项（"寒凝血瘀、阴虚血瘀胸痹心痛不宜单用。有过敏史者、过敏体质者慎用。伴有中重度心力衰竭的心肌缺血者慎用。在治疗期间，心绞痛持续发作，宜加用硝酸酯类药。"）、不良反应（恶心、呕吐、口干、腹痛、胃部不适、头痛、头晕、皮疹、瘙痒、潮红、乏力、过敏及过敏样反应等）、贮藏、规格（每丸 40 mg）。</w:t>
      </w:r>
      <w:r>
        <w:rPr>
          <w:rFonts w:ascii="Times New Roman" w:hAnsi="Times New Roman" w:eastAsia="宋体"/>
          <w:b/>
          <w:color w:val="1A1A1A"/>
          <w:sz w:val="21"/>
        </w:rPr>
        <w:t>未返回用法用量栏；无单次发作最大服用次数、疗程上限、长期使用与停药条款；无"长期使用需医生评估指导"表述。</w:t>
      </w:r>
    </w:p>
    <w:p>
      <w:pPr>
        <w:spacing w:after="120" w:before="0" w:line="348" w:lineRule="auto"/>
      </w:pPr>
      <w:r>
        <w:rPr>
          <w:rFonts w:ascii="Times New Roman" w:hAnsi="Times New Roman" w:eastAsia="宋体"/>
          <w:b/>
          <w:color w:val="1A1A1A"/>
          <w:sz w:val="21"/>
        </w:rPr>
        <w:t>指南/共识索引：</w:t>
      </w:r>
    </w:p>
    <w:p>
      <w:pPr>
        <w:spacing w:after="60" w:before="0" w:line="336" w:lineRule="auto"/>
        <w:ind w:left="340"/>
      </w:pPr>
      <w:r>
        <w:rPr>
          <w:rFonts w:ascii="Times New Roman" w:hAnsi="Times New Roman" w:eastAsia="宋体"/>
          <w:b w:val="0"/>
          <w:color w:val="1A1A1A"/>
          <w:sz w:val="21"/>
        </w:rPr>
        <w:t>· 《速效救心丸治疗冠心病中国专家共识》（2019，中国中西医结合学会，中西医结合心脑血管病杂志）</w:t>
      </w:r>
      <w:r>
        <w:rPr>
          <w:rFonts w:ascii="Times New Roman" w:hAnsi="Times New Roman" w:eastAsia="宋体"/>
          <w:b w:val="0"/>
          <w:color w:val="1A1A1A"/>
          <w:sz w:val="21"/>
          <w:vertAlign w:val="superscript"/>
        </w:rPr>
        <w:t>[20]</w:t>
      </w:r>
      <w:r>
        <w:rPr>
          <w:rFonts w:ascii="Times New Roman" w:hAnsi="Times New Roman" w:eastAsia="宋体"/>
          <w:b w:val="0"/>
          <w:color w:val="1A1A1A"/>
          <w:sz w:val="21"/>
        </w:rPr>
        <w:t>：仅得摘要层记录（"自 1982 年上市以来近 40 年临床应用积累宝贵临床经验…依据现有实验、临床研究证据以及专家经验"），全文未取得，</w:t>
      </w:r>
      <w:r>
        <w:rPr>
          <w:rFonts w:ascii="Times New Roman" w:hAnsi="Times New Roman" w:eastAsia="宋体"/>
          <w:b/>
          <w:color w:val="1A1A1A"/>
          <w:sz w:val="21"/>
        </w:rPr>
        <w:t>未能在可核验文本中定位"长期使用需医生评估指导"条款</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《救心丸治疗冠心病临床应用专家共识》（2025，中华中医药学会，中医杂志）</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：摘要层记录，无长期使用条款可核验。</w:t>
      </w:r>
    </w:p>
    <w:p>
      <w:pPr>
        <w:spacing w:after="60" w:before="0" w:line="336" w:lineRule="auto"/>
        <w:ind w:left="340"/>
      </w:pPr>
      <w:r>
        <w:rPr>
          <w:rFonts w:ascii="Times New Roman" w:hAnsi="Times New Roman" w:eastAsia="宋体"/>
          <w:b w:val="0"/>
          <w:color w:val="1A1A1A"/>
          <w:sz w:val="21"/>
        </w:rPr>
        <w:t>· 《中成药治疗冠心病临床应用指南（2020 年）》</w:t>
      </w:r>
      <w:r>
        <w:rPr>
          <w:rFonts w:ascii="Times New Roman" w:hAnsi="Times New Roman" w:eastAsia="宋体"/>
          <w:b w:val="0"/>
          <w:color w:val="1A1A1A"/>
          <w:sz w:val="21"/>
          <w:vertAlign w:val="superscript"/>
        </w:rPr>
        <w:t>[22]</w:t>
      </w:r>
      <w:r>
        <w:rPr>
          <w:rFonts w:ascii="Times New Roman" w:hAnsi="Times New Roman" w:eastAsia="宋体"/>
          <w:b w:val="0"/>
          <w:color w:val="1A1A1A"/>
          <w:sz w:val="21"/>
        </w:rPr>
        <w:t>、《冠心病稳定型心绞痛中医诊疗指南（2019）》</w:t>
      </w:r>
      <w:r>
        <w:rPr>
          <w:rFonts w:ascii="Times New Roman" w:hAnsi="Times New Roman" w:eastAsia="宋体"/>
          <w:b w:val="0"/>
          <w:color w:val="1A1A1A"/>
          <w:sz w:val="21"/>
          <w:vertAlign w:val="superscript"/>
        </w:rPr>
        <w:t>[23]</w:t>
      </w:r>
      <w:r>
        <w:rPr>
          <w:rFonts w:ascii="Times New Roman" w:hAnsi="Times New Roman" w:eastAsia="宋体"/>
          <w:b w:val="0"/>
          <w:color w:val="1A1A1A"/>
          <w:sz w:val="21"/>
        </w:rPr>
        <w:t>：仅索引记录，未在可核验文本中定位本品长期用药条款。</w:t>
      </w:r>
    </w:p>
    <w:p>
      <w:pPr>
        <w:spacing w:after="120" w:before="0" w:line="348" w:lineRule="auto"/>
      </w:pPr>
      <w:r>
        <w:rPr>
          <w:rFonts w:ascii="Times New Roman" w:hAnsi="Times New Roman" w:eastAsia="宋体"/>
          <w:b/>
          <w:color w:val="1A1A1A"/>
          <w:sz w:val="21"/>
        </w:rPr>
        <w:t>"长期使用需医生评估指导"未能追溯到可核验出处。</w:t>
      </w:r>
      <w:r>
        <w:rPr>
          <w:rFonts w:ascii="Times New Roman" w:hAnsi="Times New Roman" w:eastAsia="宋体"/>
          <w:b w:val="0"/>
          <w:color w:val="1A1A1A"/>
          <w:sz w:val="21"/>
        </w:rPr>
        <w:t xml:space="preserve"> 互联网转载页（未纳入证据）有"4 周为 1 疗程，至少 1–2 疗程，可据病情延长"一类转述，但属于不可核验的二级转载，不作为条款出处。</w:t>
      </w:r>
    </w:p>
    <w:p>
      <w:pPr>
        <w:spacing w:after="120" w:before="0" w:line="348" w:lineRule="auto"/>
      </w:pPr>
      <w:r>
        <w:rPr>
          <w:rFonts w:ascii="Times New Roman" w:hAnsi="Times New Roman" w:eastAsia="宋体"/>
          <w:b/>
          <w:color w:val="1A1A1A"/>
          <w:sz w:val="21"/>
        </w:rPr>
        <w:t>药物警戒来源的停药反跳/依赖/戒断检索：</w:t>
      </w:r>
    </w:p>
    <w:p>
      <w:pPr>
        <w:spacing w:after="60" w:before="0" w:line="336" w:lineRule="auto"/>
        <w:ind w:left="340"/>
      </w:pPr>
      <w:r>
        <w:rPr>
          <w:rFonts w:ascii="Times New Roman" w:hAnsi="Times New Roman" w:eastAsia="宋体"/>
          <w:b w:val="0"/>
          <w:color w:val="1A1A1A"/>
          <w:sz w:val="21"/>
        </w:rPr>
        <w:t>· 中文库检索"停药 反跳 依赖 戒断"：</w:t>
      </w:r>
      <w:r>
        <w:rPr>
          <w:rFonts w:ascii="Times New Roman" w:hAnsi="Times New Roman" w:eastAsia="宋体"/>
          <w:b/>
          <w:color w:val="1A1A1A"/>
          <w:sz w:val="21"/>
        </w:rPr>
        <w:t>零命中</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PubMed/Crossref 检索 SJP + withdrawal/dependence/rebound 相关：</w:t>
      </w:r>
      <w:r>
        <w:rPr>
          <w:rFonts w:ascii="Times New Roman" w:hAnsi="Times New Roman" w:eastAsia="宋体"/>
          <w:b/>
          <w:color w:val="1A1A1A"/>
          <w:sz w:val="21"/>
        </w:rPr>
        <w:t>零命中</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说明书不良反应项：无停药反跳、戒断样表现或使用障碍记载</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受管 ADR 信号管线（evimed_drug_safety_analysis 启动返回 HTTP 422；evimed_adr_case_query、evimed_adr_signal_analysis 返回 HTTP 400；openFDA 连接器对本品返回 NMPA 标签记录而非 FAERS 不良事件数据）</w:t>
      </w:r>
      <w:r>
        <w:rPr>
          <w:rFonts w:ascii="Times New Roman" w:hAnsi="Times New Roman" w:eastAsia="宋体"/>
          <w:b/>
          <w:color w:val="1A1A1A"/>
          <w:sz w:val="21"/>
        </w:rPr>
        <w:t>不可用</w:t>
      </w:r>
      <w:r>
        <w:rPr>
          <w:rFonts w:ascii="Times New Roman" w:hAnsi="Times New Roman" w:eastAsia="宋体"/>
          <w:b w:val="0"/>
          <w:color w:val="1A1A1A"/>
          <w:sz w:val="21"/>
        </w:rPr>
        <w:t>——零命中不能解释为排除性证据，且被动监测系统对停药反跳/依赖类信号固有不敏感（该类事件极少自发上报，且无对照人群）。</w:t>
      </w:r>
    </w:p>
    <w:p>
      <w:pPr>
        <w:spacing w:after="100" w:before="240" w:line="300" w:lineRule="auto"/>
      </w:pPr>
      <w:r>
        <w:rPr>
          <w:rFonts w:ascii="Times New Roman" w:hAnsi="Times New Roman" w:eastAsia="黑体"/>
          <w:b/>
          <w:color w:val="1A1A1A"/>
          <w:sz w:val="23"/>
        </w:rPr>
        <w:t>3.5 Q5 以内容正确性为终点的健康信息质量评价与两项 KPI</w:t>
      </w:r>
    </w:p>
    <w:p>
      <w:pPr>
        <w:spacing w:after="120" w:before="0" w:line="348" w:lineRule="auto"/>
        <w:ind w:firstLine="420"/>
      </w:pPr>
      <w:r>
        <w:rPr>
          <w:rFonts w:ascii="Times New Roman" w:hAnsi="Times New Roman" w:eastAsia="宋体"/>
          <w:b w:val="0"/>
          <w:color w:val="1A1A1A"/>
          <w:sz w:val="21"/>
        </w:rPr>
        <w:t>以"内容正确性/准确性/可靠性"为终点的健康信息质量评价工具与实证研究</w:t>
      </w:r>
      <w:r>
        <w:rPr>
          <w:rFonts w:ascii="Times New Roman" w:hAnsi="Times New Roman" w:eastAsia="宋体"/>
          <w:b/>
          <w:color w:val="1A1A1A"/>
          <w:sz w:val="21"/>
        </w:rPr>
        <w:t>存在</w:t>
      </w:r>
      <w:r>
        <w:rPr>
          <w:rFonts w:ascii="Times New Roman" w:hAnsi="Times New Roman" w:eastAsia="宋体"/>
          <w:b w:val="0"/>
          <w:color w:val="1A1A1A"/>
          <w:sz w:val="21"/>
        </w:rPr>
        <w:t>：如对 YouTube/TikTok/网页内容进行准确性-可靠性评分的内容分析（白癜风视频准确性</w:t>
      </w:r>
      <w:r>
        <w:rPr>
          <w:rFonts w:ascii="Times New Roman" w:hAnsi="Times New Roman" w:eastAsia="宋体"/>
          <w:b w:val="0"/>
          <w:color w:val="1A1A1A"/>
          <w:sz w:val="21"/>
          <w:vertAlign w:val="superscript"/>
        </w:rPr>
        <w:t>[31]</w:t>
      </w:r>
      <w:r>
        <w:rPr>
          <w:rFonts w:ascii="Times New Roman" w:hAnsi="Times New Roman" w:eastAsia="宋体"/>
          <w:b w:val="0"/>
          <w:color w:val="1A1A1A"/>
          <w:sz w:val="21"/>
        </w:rPr>
        <w:t>、嗓音健康 TikTok</w:t>
      </w:r>
      <w:r>
        <w:rPr>
          <w:rFonts w:ascii="Times New Roman" w:hAnsi="Times New Roman" w:eastAsia="宋体"/>
          <w:b w:val="0"/>
          <w:color w:val="1A1A1A"/>
          <w:sz w:val="21"/>
          <w:vertAlign w:val="superscript"/>
        </w:rPr>
        <w:t>[32]</w:t>
      </w:r>
      <w:r>
        <w:rPr>
          <w:rFonts w:ascii="Times New Roman" w:hAnsi="Times New Roman" w:eastAsia="宋体"/>
          <w:b w:val="0"/>
          <w:color w:val="1A1A1A"/>
          <w:sz w:val="21"/>
        </w:rPr>
        <w:t>、针灸慢性疼痛视频的错误信息</w:t>
      </w:r>
      <w:r>
        <w:rPr>
          <w:rFonts w:ascii="Times New Roman" w:hAnsi="Times New Roman" w:eastAsia="宋体"/>
          <w:b w:val="0"/>
          <w:color w:val="1A1A1A"/>
          <w:sz w:val="21"/>
          <w:vertAlign w:val="superscript"/>
        </w:rPr>
        <w:t>[33]</w:t>
      </w:r>
      <w:r>
        <w:rPr>
          <w:rFonts w:ascii="Times New Roman" w:hAnsi="Times New Roman" w:eastAsia="宋体"/>
          <w:b w:val="0"/>
          <w:color w:val="1A1A1A"/>
          <w:sz w:val="21"/>
        </w:rPr>
        <w:t>、特发性肺纤维化网页准确性</w:t>
      </w:r>
      <w:r>
        <w:rPr>
          <w:rFonts w:ascii="Times New Roman" w:hAnsi="Times New Roman" w:eastAsia="宋体"/>
          <w:b w:val="0"/>
          <w:color w:val="1A1A1A"/>
          <w:sz w:val="21"/>
          <w:vertAlign w:val="superscript"/>
        </w:rPr>
        <w:t>[34]</w:t>
      </w:r>
      <w:r>
        <w:rPr>
          <w:rFonts w:ascii="Times New Roman" w:hAnsi="Times New Roman" w:eastAsia="宋体"/>
          <w:b w:val="0"/>
          <w:color w:val="1A1A1A"/>
          <w:sz w:val="21"/>
        </w:rPr>
        <w:t>、急性心梗/卒中网页质量</w:t>
      </w:r>
      <w:r>
        <w:rPr>
          <w:rFonts w:ascii="Times New Roman" w:hAnsi="Times New Roman" w:eastAsia="宋体"/>
          <w:b w:val="0"/>
          <w:color w:val="1A1A1A"/>
          <w:sz w:val="21"/>
          <w:vertAlign w:val="superscript"/>
        </w:rPr>
        <w:t>[35]</w:t>
      </w:r>
      <w:r>
        <w:rPr>
          <w:rFonts w:ascii="Times New Roman" w:hAnsi="Times New Roman" w:eastAsia="宋体"/>
          <w:b w:val="0"/>
          <w:color w:val="1A1A1A"/>
          <w:sz w:val="21"/>
        </w:rPr>
        <w:t>等），方法学上属于以参考标准核对内容正确性的横断面内容分析。</w:t>
      </w:r>
    </w:p>
    <w:p>
      <w:pPr>
        <w:spacing w:after="120" w:before="0" w:line="348" w:lineRule="auto"/>
      </w:pPr>
      <w:r>
        <w:rPr>
          <w:rFonts w:ascii="Times New Roman" w:hAnsi="Times New Roman" w:eastAsia="宋体"/>
          <w:b/>
          <w:color w:val="1A1A1A"/>
          <w:sz w:val="21"/>
        </w:rPr>
        <w:t>但未检索到"耐药性澄清率/长期用药规范率"这类提及率/覆盖率指标与内容正确性之间存在已发表实证关联的研究。</w:t>
      </w:r>
      <w:r>
        <w:rPr>
          <w:rFonts w:ascii="Times New Roman" w:hAnsi="Times New Roman" w:eastAsia="宋体"/>
          <w:b w:val="0"/>
          <w:color w:val="1A1A1A"/>
          <w:sz w:val="21"/>
        </w:rPr>
        <w:t xml:space="preserve"> 即：一个页面"说了不含硝酸酯/说了长期用药需医生指导"的比例高低，与该表述本身是否正确之间，无已发表的实证关联可引用。"说没说"是覆盖率指标，"对不对"是内容判据，二者不得互换。</w:t>
      </w:r>
    </w:p>
    <w:p>
      <w:pPr>
        <w:spacing w:after="120" w:before="0" w:line="348" w:lineRule="auto"/>
        <w:ind w:firstLine="420"/>
      </w:pP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5"/>
        </w:rPr>
        <w:t>四、讨论</w:t>
      </w:r>
    </w:p>
    <w:p>
      <w:pPr>
        <w:spacing w:after="100" w:before="240" w:line="300" w:lineRule="auto"/>
      </w:pPr>
      <w:r>
        <w:rPr>
          <w:rFonts w:ascii="Times New Roman" w:hAnsi="Times New Roman" w:eastAsia="黑体"/>
          <w:b/>
          <w:color w:val="1A1A1A"/>
          <w:sz w:val="23"/>
        </w:rPr>
        <w:t>4.1 三级命题的判定与合规改写</w:t>
      </w:r>
    </w:p>
    <w:tbl>
      <w:tblPr>
        <w:tblW w:type="auto" w:w="0"/>
        <w:jc w:val="center"/>
        <w:tblLook w:firstColumn="1" w:firstRow="1" w:lastColumn="0" w:lastRow="0" w:noHBand="0" w:noVBand="1" w:val="04A0"/>
        <w:tblBorders>
          <w:top w:val="single" w:sz="12" w:color="1A1A1A"/>
          <w:bottom w:val="single" w:sz="12" w:color="1A1A1A"/>
          <w:left w:val="none"/>
          <w:right w:val="none"/>
          <w:insideH w:val="none"/>
          <w:insideV w:val="none"/>
        </w:tblBorders>
      </w:tblPr>
      <w:tblGrid>
        <w:gridCol w:w="2323"/>
        <w:gridCol w:w="2323"/>
        <w:gridCol w:w="2323"/>
        <w:gridCol w:w="2323"/>
      </w:tblGrid>
      <w:tr>
        <w:tc>
          <w:tcPr>
            <w:tcW w:type="dxa" w:w="2323"/>
            <w:tcBorders>
              <w:bottom w:val="single" w:sz="6" w:color="1A1A1A"/>
            </w:tcBorders>
          </w:tcPr>
          <w:p>
            <w:pPr>
              <w:jc w:val="center"/>
            </w:pPr>
            <w:r>
              <w:rPr>
                <w:rFonts w:ascii="Times New Roman" w:hAnsi="Times New Roman" w:eastAsia="宋体"/>
                <w:b/>
                <w:color w:val="1A1A1A"/>
                <w:sz w:val="17"/>
              </w:rPr>
              <w:t>命题</w:t>
            </w:r>
          </w:p>
        </w:tc>
        <w:tc>
          <w:tcPr>
            <w:tcW w:type="dxa" w:w="2323"/>
            <w:tcBorders>
              <w:bottom w:val="single" w:sz="6" w:color="1A1A1A"/>
            </w:tcBorders>
          </w:tcPr>
          <w:p>
            <w:pPr>
              <w:jc w:val="center"/>
            </w:pPr>
            <w:r>
              <w:rPr>
                <w:rFonts w:ascii="Times New Roman" w:hAnsi="Times New Roman" w:eastAsia="宋体"/>
                <w:b/>
                <w:color w:val="1A1A1A"/>
                <w:sz w:val="17"/>
              </w:rPr>
              <w:t>判定</w:t>
            </w:r>
          </w:p>
        </w:tc>
        <w:tc>
          <w:tcPr>
            <w:tcW w:type="dxa" w:w="2323"/>
            <w:tcBorders>
              <w:bottom w:val="single" w:sz="6" w:color="1A1A1A"/>
            </w:tcBorders>
          </w:tcPr>
          <w:p>
            <w:pPr>
              <w:jc w:val="center"/>
            </w:pPr>
            <w:r>
              <w:rPr>
                <w:rFonts w:ascii="Times New Roman" w:hAnsi="Times New Roman" w:eastAsia="宋体"/>
                <w:b/>
                <w:color w:val="1A1A1A"/>
                <w:sz w:val="17"/>
              </w:rPr>
              <w:t>依据</w:t>
            </w:r>
          </w:p>
        </w:tc>
        <w:tc>
          <w:tcPr>
            <w:tcW w:type="dxa" w:w="2323"/>
            <w:tcBorders>
              <w:bottom w:val="single" w:sz="6" w:color="1A1A1A"/>
            </w:tcBorders>
          </w:tcPr>
          <w:p>
            <w:pPr>
              <w:jc w:val="center"/>
            </w:pPr>
            <w:r>
              <w:rPr>
                <w:rFonts w:ascii="Times New Roman" w:hAnsi="Times New Roman" w:eastAsia="宋体"/>
                <w:b/>
                <w:color w:val="1A1A1A"/>
                <w:sz w:val="17"/>
              </w:rPr>
              <w:t>合规改写</w:t>
            </w:r>
          </w:p>
        </w:tc>
      </w:tr>
      <w:tr>
        <w:tc>
          <w:tcPr>
            <w:tcW w:type="dxa" w:w="2323"/>
          </w:tcPr>
          <w:p>
            <w:r>
              <w:rPr>
                <w:rFonts w:ascii="Times New Roman" w:hAnsi="Times New Roman" w:eastAsia="宋体"/>
                <w:b/>
                <w:color w:val="1A1A1A"/>
                <w:sz w:val="17"/>
              </w:rPr>
              <w:t>A</w:t>
            </w:r>
            <w:r>
              <w:rPr>
                <w:rFonts w:ascii="Times New Roman" w:hAnsi="Times New Roman" w:eastAsia="宋体"/>
                <w:b w:val="0"/>
                <w:color w:val="1A1A1A"/>
                <w:sz w:val="17"/>
              </w:rPr>
              <w:t>：由"不含硝酸酯"可推出"无耐药性"</w:t>
            </w:r>
          </w:p>
        </w:tc>
        <w:tc>
          <w:tcPr>
            <w:tcW w:type="dxa" w:w="2323"/>
          </w:tcPr>
          <w:p>
            <w:r>
              <w:rPr>
                <w:rFonts w:ascii="Times New Roman" w:hAnsi="Times New Roman" w:eastAsia="宋体"/>
                <w:b/>
                <w:color w:val="1A1A1A"/>
                <w:sz w:val="17"/>
              </w:rPr>
              <w:t>不成立</w:t>
            </w:r>
          </w:p>
        </w:tc>
        <w:tc>
          <w:tcPr>
            <w:tcW w:type="dxa" w:w="2323"/>
          </w:tcPr>
          <w:p>
            <w:r>
              <w:rPr>
                <w:rFonts w:ascii="Times New Roman" w:hAnsi="Times New Roman" w:eastAsia="宋体"/>
                <w:b w:val="0"/>
                <w:color w:val="1A1A1A"/>
                <w:sz w:val="17"/>
              </w:rPr>
              <w:t>硝酸酯耐受机制以 ALDH-2 生物转化受损等为特征，组方不含硝酸酯故可排除该类特有机制</w:t>
            </w:r>
            <w:r>
              <w:rPr>
                <w:rFonts w:ascii="Times New Roman" w:hAnsi="Times New Roman" w:eastAsia="宋体"/>
                <w:b w:val="0"/>
                <w:color w:val="1A1A1A"/>
                <w:sz w:val="17"/>
                <w:vertAlign w:val="superscript"/>
              </w:rPr>
              <w:t>[24]</w:t>
            </w:r>
            <w:r>
              <w:rPr>
                <w:rFonts w:ascii="Times New Roman" w:hAnsi="Times New Roman" w:eastAsia="宋体"/>
                <w:b w:val="0"/>
                <w:color w:val="1A1A1A"/>
                <w:sz w:val="17"/>
                <w:vertAlign w:val="superscript"/>
              </w:rPr>
              <w:t>[25]</w:t>
            </w:r>
            <w:r>
              <w:rPr>
                <w:rFonts w:ascii="Times New Roman" w:hAnsi="Times New Roman" w:eastAsia="宋体"/>
                <w:b w:val="0"/>
                <w:color w:val="1A1A1A"/>
                <w:sz w:val="17"/>
                <w:vertAlign w:val="superscript"/>
              </w:rPr>
              <w:t>[26]</w:t>
            </w:r>
            <w:r>
              <w:rPr>
                <w:rFonts w:ascii="Times New Roman" w:hAnsi="Times New Roman" w:eastAsia="宋体"/>
                <w:b w:val="0"/>
                <w:color w:val="1A1A1A"/>
                <w:sz w:val="17"/>
                <w:vertAlign w:val="superscript"/>
              </w:rPr>
              <w:t>[27]</w:t>
            </w:r>
            <w:r>
              <w:rPr>
                <w:rFonts w:ascii="Times New Roman" w:hAnsi="Times New Roman" w:eastAsia="宋体"/>
                <w:b w:val="0"/>
                <w:color w:val="1A1A1A"/>
                <w:sz w:val="17"/>
              </w:rPr>
              <w:t>；但本品经 eNOS-NO 通路与 CaMKII 钙拮抗舒血管</w:t>
            </w:r>
            <w:r>
              <w:rPr>
                <w:rFonts w:ascii="Times New Roman" w:hAnsi="Times New Roman" w:eastAsia="宋体"/>
                <w:b w:val="0"/>
                <w:color w:val="1A1A1A"/>
                <w:sz w:val="17"/>
                <w:vertAlign w:val="superscript"/>
              </w:rPr>
              <w:t>[2]</w:t>
            </w:r>
            <w:r>
              <w:rPr>
                <w:rFonts w:ascii="Times New Roman" w:hAnsi="Times New Roman" w:eastAsia="宋体"/>
                <w:b w:val="0"/>
                <w:color w:val="1A1A1A"/>
                <w:sz w:val="17"/>
                <w:vertAlign w:val="superscript"/>
              </w:rPr>
              <w:t>[3]</w:t>
            </w:r>
            <w:r>
              <w:rPr>
                <w:rFonts w:ascii="Times New Roman" w:hAnsi="Times New Roman" w:eastAsia="宋体"/>
                <w:b w:val="0"/>
                <w:color w:val="1A1A1A"/>
                <w:sz w:val="17"/>
              </w:rPr>
              <w:t>，与硝酸酯共享下游 NO 信号，且无排除其他衰减机制的实验、无重复给药 PK/PD 衰减数据（3.2）</w:t>
            </w:r>
          </w:p>
        </w:tc>
        <w:tc>
          <w:tcPr>
            <w:tcW w:type="dxa" w:w="2323"/>
          </w:tcPr>
          <w:p>
            <w:r>
              <w:rPr>
                <w:rFonts w:ascii="Times New Roman" w:hAnsi="Times New Roman" w:eastAsia="宋体"/>
                <w:b w:val="0"/>
                <w:color w:val="1A1A1A"/>
                <w:sz w:val="17"/>
              </w:rPr>
              <w:t>"组方不含硝酸酯，不发生硝酸酯类特有的经典耐受机制"；</w:t>
            </w:r>
            <w:r>
              <w:rPr>
                <w:rFonts w:ascii="Times New Roman" w:hAnsi="Times New Roman" w:eastAsia="宋体"/>
                <w:b/>
                <w:color w:val="1A1A1A"/>
                <w:sz w:val="17"/>
              </w:rPr>
              <w:t>不得外推为"长期使用疗效不衰减"或"不产生任何形式的效应衰减"</w:t>
            </w:r>
          </w:p>
        </w:tc>
      </w:tr>
      <w:tr>
        <w:tc>
          <w:tcPr>
            <w:tcW w:type="dxa" w:w="2323"/>
          </w:tcPr>
          <w:p>
            <w:r>
              <w:rPr>
                <w:rFonts w:ascii="Times New Roman" w:hAnsi="Times New Roman" w:eastAsia="宋体"/>
                <w:b/>
                <w:color w:val="1A1A1A"/>
                <w:sz w:val="17"/>
              </w:rPr>
              <w:t>B</w:t>
            </w:r>
            <w:r>
              <w:rPr>
                <w:rFonts w:ascii="Times New Roman" w:hAnsi="Times New Roman" w:eastAsia="宋体"/>
                <w:b w:val="0"/>
                <w:color w:val="1A1A1A"/>
                <w:sz w:val="17"/>
              </w:rPr>
              <w:t>：长期用药疗效不衰减</w:t>
            </w:r>
          </w:p>
        </w:tc>
        <w:tc>
          <w:tcPr>
            <w:tcW w:type="dxa" w:w="2323"/>
          </w:tcPr>
          <w:p>
            <w:r>
              <w:rPr>
                <w:rFonts w:ascii="Times New Roman" w:hAnsi="Times New Roman" w:eastAsia="宋体"/>
                <w:b/>
                <w:color w:val="1A1A1A"/>
                <w:sz w:val="17"/>
              </w:rPr>
              <w:t>无直接证据</w:t>
            </w:r>
          </w:p>
        </w:tc>
        <w:tc>
          <w:tcPr>
            <w:tcW w:type="dxa" w:w="2323"/>
          </w:tcPr>
          <w:p>
            <w:r>
              <w:rPr>
                <w:rFonts w:ascii="Times New Roman" w:hAnsi="Times New Roman" w:eastAsia="宋体"/>
                <w:b w:val="0"/>
                <w:color w:val="1A1A1A"/>
                <w:sz w:val="17"/>
              </w:rPr>
              <w:t>未检索到满足"≥3 个月＋同一终点重复测量＋后期-早期差值及区间估计"的研究；最接近者（24 周 324 例 RCT</w:t>
            </w:r>
            <w:r>
              <w:rPr>
                <w:rFonts w:ascii="Times New Roman" w:hAnsi="Times New Roman" w:eastAsia="宋体"/>
                <w:b w:val="0"/>
                <w:color w:val="1A1A1A"/>
                <w:sz w:val="17"/>
                <w:vertAlign w:val="superscript"/>
              </w:rPr>
              <w:t>[1]</w:t>
            </w:r>
            <w:r>
              <w:rPr>
                <w:rFonts w:ascii="Times New Roman" w:hAnsi="Times New Roman" w:eastAsia="宋体"/>
                <w:b w:val="0"/>
                <w:color w:val="1A1A1A"/>
                <w:sz w:val="17"/>
              </w:rPr>
              <w:t>、6 个月 40 例 RCT</w:t>
            </w:r>
            <w:r>
              <w:rPr>
                <w:rFonts w:ascii="Times New Roman" w:hAnsi="Times New Roman" w:eastAsia="宋体"/>
                <w:b w:val="0"/>
                <w:color w:val="1A1A1A"/>
                <w:sz w:val="17"/>
                <w:vertAlign w:val="superscript"/>
              </w:rPr>
              <w:t>[15]</w:t>
            </w:r>
            <w:r>
              <w:rPr>
                <w:rFonts w:ascii="Times New Roman" w:hAnsi="Times New Roman" w:eastAsia="宋体"/>
                <w:b w:val="0"/>
                <w:color w:val="1A1A1A"/>
                <w:sz w:val="17"/>
              </w:rPr>
              <w:t>）均未报告后期-早期差值及区间估计（全文不可得）；2022 年系统评价明确仅 2 周/4 周（30 d）疗程证据充分</w:t>
            </w:r>
            <w:r>
              <w:rPr>
                <w:rFonts w:ascii="Times New Roman" w:hAnsi="Times New Roman" w:eastAsia="宋体"/>
                <w:b w:val="0"/>
                <w:color w:val="1A1A1A"/>
                <w:sz w:val="17"/>
                <w:vertAlign w:val="superscript"/>
              </w:rPr>
              <w:t>[5]</w:t>
            </w:r>
          </w:p>
        </w:tc>
        <w:tc>
          <w:tcPr>
            <w:tcW w:type="dxa" w:w="2323"/>
          </w:tcPr>
          <w:p>
            <w:r>
              <w:rPr>
                <w:rFonts w:ascii="Times New Roman" w:hAnsi="Times New Roman" w:eastAsia="宋体"/>
                <w:b w:val="0"/>
                <w:color w:val="1A1A1A"/>
                <w:sz w:val="17"/>
              </w:rPr>
              <w:t>"未检索到检验长期效应衰减的研究"；不得改写为"已排除耐药性"</w:t>
            </w:r>
          </w:p>
        </w:tc>
      </w:tr>
      <w:tr>
        <w:tc>
          <w:tcPr>
            <w:tcW w:type="dxa" w:w="2323"/>
          </w:tcPr>
          <w:p>
            <w:r>
              <w:rPr>
                <w:rFonts w:ascii="Times New Roman" w:hAnsi="Times New Roman" w:eastAsia="宋体"/>
                <w:b/>
                <w:color w:val="1A1A1A"/>
                <w:sz w:val="17"/>
              </w:rPr>
              <w:t>C</w:t>
            </w:r>
            <w:r>
              <w:rPr>
                <w:rFonts w:ascii="Times New Roman" w:hAnsi="Times New Roman" w:eastAsia="宋体"/>
                <w:b w:val="0"/>
                <w:color w:val="1A1A1A"/>
                <w:sz w:val="17"/>
              </w:rPr>
              <w:t>：不产生依赖或成瘾</w:t>
            </w:r>
          </w:p>
        </w:tc>
        <w:tc>
          <w:tcPr>
            <w:tcW w:type="dxa" w:w="2323"/>
          </w:tcPr>
          <w:p>
            <w:r>
              <w:rPr>
                <w:rFonts w:ascii="Times New Roman" w:hAnsi="Times New Roman" w:eastAsia="宋体"/>
                <w:b/>
                <w:color w:val="1A1A1A"/>
                <w:sz w:val="17"/>
              </w:rPr>
              <w:t>无证据（未检索到相关报告）</w:t>
            </w:r>
          </w:p>
        </w:tc>
        <w:tc>
          <w:tcPr>
            <w:tcW w:type="dxa" w:w="2323"/>
          </w:tcPr>
          <w:p>
            <w:r>
              <w:rPr>
                <w:rFonts w:ascii="Times New Roman" w:hAnsi="Times New Roman" w:eastAsia="宋体"/>
                <w:b w:val="0"/>
                <w:color w:val="1A1A1A"/>
                <w:sz w:val="17"/>
              </w:rPr>
              <w:t>停药反跳/依赖/戒断/渴求/自发剂量递增检索零命中；说明书不良反应项无记载</w:t>
            </w:r>
            <w:r>
              <w:rPr>
                <w:rFonts w:ascii="Times New Roman" w:hAnsi="Times New Roman" w:eastAsia="宋体"/>
                <w:b w:val="0"/>
                <w:color w:val="1A1A1A"/>
                <w:sz w:val="17"/>
                <w:vertAlign w:val="superscript"/>
              </w:rPr>
              <w:t>[19]</w:t>
            </w:r>
            <w:r>
              <w:rPr>
                <w:rFonts w:ascii="Times New Roman" w:hAnsi="Times New Roman" w:eastAsia="宋体"/>
                <w:b w:val="0"/>
                <w:color w:val="1A1A1A"/>
                <w:sz w:val="17"/>
              </w:rPr>
              <w:t>；受管信号管线不可用（3.4）</w:t>
            </w:r>
          </w:p>
        </w:tc>
        <w:tc>
          <w:tcPr>
            <w:tcW w:type="dxa" w:w="2323"/>
          </w:tcPr>
          <w:p>
            <w:r>
              <w:rPr>
                <w:rFonts w:ascii="Times New Roman" w:hAnsi="Times New Roman" w:eastAsia="宋体"/>
                <w:b w:val="0"/>
                <w:color w:val="1A1A1A"/>
                <w:sz w:val="17"/>
              </w:rPr>
              <w:t>"未检索到停药反跳、戒断样表现或使用障碍的报告"；注明被动监测对这类信号的固有不敏感性</w:t>
            </w:r>
          </w:p>
        </w:tc>
      </w:tr>
      <w:tr>
        <w:tc>
          <w:tcPr>
            <w:tcW w:type="dxa" w:w="2323"/>
          </w:tcPr>
          <w:p>
            <w:r>
              <w:rPr>
                <w:rFonts w:ascii="Times New Roman" w:hAnsi="Times New Roman" w:eastAsia="宋体"/>
                <w:b/>
                <w:color w:val="1A1A1A"/>
                <w:sz w:val="17"/>
              </w:rPr>
              <w:t>D</w:t>
            </w:r>
            <w:r>
              <w:rPr>
                <w:rFonts w:ascii="Times New Roman" w:hAnsi="Times New Roman" w:eastAsia="宋体"/>
                <w:b w:val="0"/>
                <w:color w:val="1A1A1A"/>
                <w:sz w:val="17"/>
              </w:rPr>
              <w:t>：长期使用须医生评估指导</w:t>
            </w:r>
          </w:p>
        </w:tc>
        <w:tc>
          <w:tcPr>
            <w:tcW w:type="dxa" w:w="2323"/>
          </w:tcPr>
          <w:p>
            <w:r>
              <w:rPr>
                <w:rFonts w:ascii="Times New Roman" w:hAnsi="Times New Roman" w:eastAsia="宋体"/>
                <w:b/>
                <w:color w:val="1A1A1A"/>
                <w:sz w:val="17"/>
              </w:rPr>
              <w:t>未能追溯到可核验出处</w:t>
            </w:r>
          </w:p>
        </w:tc>
        <w:tc>
          <w:tcPr>
            <w:tcW w:type="dxa" w:w="2323"/>
          </w:tcPr>
          <w:p>
            <w:r>
              <w:rPr>
                <w:rFonts w:ascii="Times New Roman" w:hAnsi="Times New Roman" w:eastAsia="宋体"/>
                <w:b w:val="0"/>
                <w:color w:val="1A1A1A"/>
                <w:sz w:val="17"/>
              </w:rPr>
              <w:t>说明书索引未返回该表述</w:t>
            </w:r>
            <w:r>
              <w:rPr>
                <w:rFonts w:ascii="Times New Roman" w:hAnsi="Times New Roman" w:eastAsia="宋体"/>
                <w:b w:val="0"/>
                <w:color w:val="1A1A1A"/>
                <w:sz w:val="17"/>
                <w:vertAlign w:val="superscript"/>
              </w:rPr>
              <w:t>[19]</w:t>
            </w:r>
            <w:r>
              <w:rPr>
                <w:rFonts w:ascii="Times New Roman" w:hAnsi="Times New Roman" w:eastAsia="宋体"/>
                <w:b w:val="0"/>
                <w:color w:val="1A1A1A"/>
                <w:sz w:val="17"/>
              </w:rPr>
              <w:t>；2019/2025 共识与指南均仅得摘要层记录</w:t>
            </w:r>
            <w:r>
              <w:rPr>
                <w:rFonts w:ascii="Times New Roman" w:hAnsi="Times New Roman" w:eastAsia="宋体"/>
                <w:b w:val="0"/>
                <w:color w:val="1A1A1A"/>
                <w:sz w:val="17"/>
                <w:vertAlign w:val="superscript"/>
              </w:rPr>
              <w:t>[20]</w:t>
            </w:r>
            <w:r>
              <w:rPr>
                <w:rFonts w:ascii="Times New Roman" w:hAnsi="Times New Roman" w:eastAsia="宋体"/>
                <w:b w:val="0"/>
                <w:color w:val="1A1A1A"/>
                <w:sz w:val="17"/>
                <w:vertAlign w:val="superscript"/>
              </w:rPr>
              <w:t>[21]</w:t>
            </w:r>
            <w:r>
              <w:rPr>
                <w:rFonts w:ascii="Times New Roman" w:hAnsi="Times New Roman" w:eastAsia="宋体"/>
                <w:b w:val="0"/>
                <w:color w:val="1A1A1A"/>
                <w:sz w:val="17"/>
                <w:vertAlign w:val="superscript"/>
              </w:rPr>
              <w:t>[22]</w:t>
            </w:r>
            <w:r>
              <w:rPr>
                <w:rFonts w:ascii="Times New Roman" w:hAnsi="Times New Roman" w:eastAsia="宋体"/>
                <w:b w:val="0"/>
                <w:color w:val="1A1A1A"/>
                <w:sz w:val="17"/>
                <w:vertAlign w:val="superscript"/>
              </w:rPr>
              <w:t>[23]</w:t>
            </w:r>
          </w:p>
        </w:tc>
        <w:tc>
          <w:tcPr>
            <w:tcW w:type="dxa" w:w="2323"/>
          </w:tcPr>
          <w:p>
            <w:r>
              <w:rPr>
                <w:rFonts w:ascii="Times New Roman" w:hAnsi="Times New Roman" w:eastAsia="宋体"/>
                <w:b w:val="0"/>
                <w:color w:val="1A1A1A"/>
                <w:sz w:val="17"/>
              </w:rPr>
              <w:t>保留作为谨慎用药的临床建议可以，但不得声称有条款出处；"未能追溯到可核验出处"</w:t>
            </w:r>
          </w:p>
        </w:tc>
      </w:tr>
      <w:tr>
        <w:tc>
          <w:tcPr>
            <w:tcW w:type="dxa" w:w="2323"/>
          </w:tcPr>
          <w:p>
            <w:r>
              <w:rPr>
                <w:rFonts w:ascii="Times New Roman" w:hAnsi="Times New Roman" w:eastAsia="宋体"/>
                <w:b/>
                <w:color w:val="1A1A1A"/>
                <w:sz w:val="17"/>
              </w:rPr>
              <w:t>E</w:t>
            </w:r>
            <w:r>
              <w:rPr>
                <w:rFonts w:ascii="Times New Roman" w:hAnsi="Times New Roman" w:eastAsia="宋体"/>
                <w:b w:val="0"/>
                <w:color w:val="1A1A1A"/>
                <w:sz w:val="17"/>
              </w:rPr>
              <w:t>：两项 KPI 作为交付判据</w:t>
            </w:r>
          </w:p>
        </w:tc>
        <w:tc>
          <w:tcPr>
            <w:tcW w:type="dxa" w:w="2323"/>
          </w:tcPr>
          <w:p>
            <w:r>
              <w:rPr>
                <w:rFonts w:ascii="Times New Roman" w:hAnsi="Times New Roman" w:eastAsia="宋体"/>
                <w:b/>
                <w:color w:val="1A1A1A"/>
                <w:sz w:val="17"/>
              </w:rPr>
              <w:t>不成立（判据错位）</w:t>
            </w:r>
          </w:p>
        </w:tc>
        <w:tc>
          <w:tcPr>
            <w:tcW w:type="dxa" w:w="2323"/>
          </w:tcPr>
          <w:p>
            <w:r>
              <w:rPr>
                <w:rFonts w:ascii="Times New Roman" w:hAnsi="Times New Roman" w:eastAsia="宋体"/>
                <w:b w:val="0"/>
                <w:color w:val="1A1A1A"/>
                <w:sz w:val="17"/>
              </w:rPr>
              <w:t>提及率/覆盖率指标与内容正确性无已发表实证关联（3.5）；内容正确性评价工具存在</w:t>
            </w:r>
            <w:r>
              <w:rPr>
                <w:rFonts w:ascii="Times New Roman" w:hAnsi="Times New Roman" w:eastAsia="宋体"/>
                <w:b w:val="0"/>
                <w:color w:val="1A1A1A"/>
                <w:sz w:val="17"/>
                <w:vertAlign w:val="superscript"/>
              </w:rPr>
              <w:t>[31]</w:t>
            </w:r>
            <w:r>
              <w:rPr>
                <w:rFonts w:ascii="Times New Roman" w:hAnsi="Times New Roman" w:eastAsia="宋体"/>
                <w:b w:val="0"/>
                <w:color w:val="1A1A1A"/>
                <w:sz w:val="17"/>
                <w:vertAlign w:val="superscript"/>
              </w:rPr>
              <w:t>[32]</w:t>
            </w:r>
            <w:r>
              <w:rPr>
                <w:rFonts w:ascii="Times New Roman" w:hAnsi="Times New Roman" w:eastAsia="宋体"/>
                <w:b w:val="0"/>
                <w:color w:val="1A1A1A"/>
                <w:sz w:val="17"/>
                <w:vertAlign w:val="superscript"/>
              </w:rPr>
              <w:t>[33]</w:t>
            </w:r>
            <w:r>
              <w:rPr>
                <w:rFonts w:ascii="Times New Roman" w:hAnsi="Times New Roman" w:eastAsia="宋体"/>
                <w:b w:val="0"/>
                <w:color w:val="1A1A1A"/>
                <w:sz w:val="17"/>
                <w:vertAlign w:val="superscript"/>
              </w:rPr>
              <w:t>[34]</w:t>
            </w:r>
            <w:r>
              <w:rPr>
                <w:rFonts w:ascii="Times New Roman" w:hAnsi="Times New Roman" w:eastAsia="宋体"/>
                <w:b w:val="0"/>
                <w:color w:val="1A1A1A"/>
                <w:sz w:val="17"/>
                <w:vertAlign w:val="superscript"/>
              </w:rPr>
              <w:t>[35]</w:t>
            </w:r>
          </w:p>
        </w:tc>
        <w:tc>
          <w:tcPr>
            <w:tcW w:type="dxa" w:w="2323"/>
          </w:tcPr>
          <w:p>
            <w:r>
              <w:rPr>
                <w:rFonts w:ascii="Times New Roman" w:hAnsi="Times New Roman" w:eastAsia="宋体"/>
                <w:b w:val="0"/>
                <w:color w:val="1A1A1A"/>
                <w:sz w:val="17"/>
              </w:rPr>
              <w:t>两项 KPI 只能作为被评价对象；正确性判据为：与说明书/指南条款符合度、错误陈述率、三级命题不混淆、阴性结论边界正确</w:t>
            </w:r>
          </w:p>
        </w:tc>
      </w:tr>
    </w:tbl>
    <w:p>
      <w:pPr>
        <w:spacing w:after="80" w:before="0" w:line="348" w:lineRule="auto"/>
      </w:pPr>
    </w:p>
    <w:p>
      <w:pPr>
        <w:spacing w:after="100" w:before="240" w:line="300" w:lineRule="auto"/>
      </w:pPr>
      <w:r>
        <w:rPr>
          <w:rFonts w:ascii="Times New Roman" w:hAnsi="Times New Roman" w:eastAsia="黑体"/>
          <w:b/>
          <w:color w:val="1A1A1A"/>
          <w:sz w:val="23"/>
        </w:rPr>
        <w:t>4.2 KPI 判定明细（作为被评价对象）</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"耐药性澄清率"（明确解释"不含硝酸酯，无经典耐药性"的比例）</w:t>
      </w:r>
      <w:r>
        <w:rPr>
          <w:rFonts w:ascii="Times New Roman" w:hAnsi="Times New Roman" w:eastAsia="宋体"/>
          <w:b w:val="0"/>
          <w:color w:val="1A1A1A"/>
          <w:sz w:val="21"/>
        </w:rPr>
        <w:t>：其内容主张"不含硝酸酯，无经典耐药性"——</w:t>
      </w:r>
      <w:r>
        <w:rPr>
          <w:rFonts w:ascii="Times New Roman" w:hAnsi="Times New Roman" w:eastAsia="宋体"/>
          <w:b/>
          <w:color w:val="1A1A1A"/>
          <w:sz w:val="21"/>
        </w:rPr>
        <w:t>部分支持</w:t>
      </w:r>
      <w:r>
        <w:rPr>
          <w:rFonts w:ascii="Times New Roman" w:hAnsi="Times New Roman" w:eastAsia="宋体"/>
          <w:b w:val="0"/>
          <w:color w:val="1A1A1A"/>
          <w:sz w:val="21"/>
        </w:rPr>
        <w:t>（"不发生硝酸酯类特有的经典耐受机制"成立，见命题 A）；若表述为"无任何耐药性""长期使用疗效不衰减"，则</w:t>
      </w:r>
      <w:r>
        <w:rPr>
          <w:rFonts w:ascii="Times New Roman" w:hAnsi="Times New Roman" w:eastAsia="宋体"/>
          <w:b/>
          <w:color w:val="1A1A1A"/>
          <w:sz w:val="21"/>
        </w:rPr>
        <w:t>不支持</w:t>
      </w:r>
      <w:r>
        <w:rPr>
          <w:rFonts w:ascii="Times New Roman" w:hAnsi="Times New Roman" w:eastAsia="宋体"/>
          <w:b w:val="0"/>
          <w:color w:val="1A1A1A"/>
          <w:sz w:val="21"/>
        </w:rPr>
        <w:t>（无证据）。</w:t>
      </w:r>
      <w:r>
        <w:rPr>
          <w:rFonts w:ascii="Times New Roman" w:hAnsi="Times New Roman" w:eastAsia="宋体"/>
          <w:b/>
          <w:color w:val="1A1A1A"/>
          <w:sz w:val="21"/>
        </w:rPr>
        <w:t>正确表述应把"无经典耐药性"限定在硝酸酯类特有机制并给出边界。</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"长期用药规范率"（强调"长期使用需医生评估指导"的比例）</w:t>
      </w:r>
      <w:r>
        <w:rPr>
          <w:rFonts w:ascii="Times New Roman" w:hAnsi="Times New Roman" w:eastAsia="宋体"/>
          <w:b w:val="0"/>
          <w:color w:val="1A1A1A"/>
          <w:sz w:val="21"/>
        </w:rPr>
        <w:t>：其内容主张"长期使用需医生评估指导"——作为谨慎用药建议合理（中成药长期使用需评估证据与个体风险），但</w:t>
      </w:r>
      <w:r>
        <w:rPr>
          <w:rFonts w:ascii="Times New Roman" w:hAnsi="Times New Roman" w:eastAsia="宋体"/>
          <w:b/>
          <w:color w:val="1A1A1A"/>
          <w:sz w:val="21"/>
        </w:rPr>
        <w:t>未能追溯到可核验条款出处</w:t>
      </w:r>
      <w:r>
        <w:rPr>
          <w:rFonts w:ascii="Times New Roman" w:hAnsi="Times New Roman" w:eastAsia="宋体"/>
          <w:b w:val="0"/>
          <w:color w:val="1A1A1A"/>
          <w:sz w:val="21"/>
        </w:rPr>
        <w:t>（命题 D）。以"该说法被说出的比例"作为质量达标判据无效。</w:t>
      </w:r>
    </w:p>
    <w:p>
      <w:pPr>
        <w:spacing w:after="100" w:before="240" w:line="300" w:lineRule="auto"/>
      </w:pPr>
      <w:r>
        <w:rPr>
          <w:rFonts w:ascii="Times New Roman" w:hAnsi="Times New Roman" w:eastAsia="黑体"/>
          <w:b/>
          <w:color w:val="1A1A1A"/>
          <w:sz w:val="23"/>
        </w:rPr>
        <w:t>4.3 证据强度与不对称性</w:t>
      </w:r>
    </w:p>
    <w:p>
      <w:pPr>
        <w:spacing w:after="60" w:before="0" w:line="336" w:lineRule="auto"/>
        <w:ind w:left="340"/>
      </w:pPr>
      <w:r>
        <w:rPr>
          <w:rFonts w:ascii="Times New Roman" w:hAnsi="Times New Roman" w:eastAsia="宋体"/>
          <w:b w:val="0"/>
          <w:color w:val="1A1A1A"/>
          <w:sz w:val="21"/>
        </w:rPr>
        <w:t>· 机制层面证据充分且为综述/实验层级（硝酸酯耐受</w:t>
      </w:r>
      <w:r>
        <w:rPr>
          <w:rFonts w:ascii="Times New Roman" w:hAnsi="Times New Roman" w:eastAsia="宋体"/>
          <w:b w:val="0"/>
          <w:color w:val="1A1A1A"/>
          <w:sz w:val="21"/>
          <w:vertAlign w:val="superscript"/>
        </w:rPr>
        <w:t>[24]</w:t>
      </w:r>
      <w:r>
        <w:rPr>
          <w:rFonts w:ascii="Times New Roman" w:hAnsi="Times New Roman" w:eastAsia="宋体"/>
          <w:b w:val="0"/>
          <w:color w:val="1A1A1A"/>
          <w:sz w:val="21"/>
        </w:rPr>
        <w:t>-</w:t>
      </w:r>
      <w:r>
        <w:rPr>
          <w:rFonts w:ascii="Times New Roman" w:hAnsi="Times New Roman" w:eastAsia="宋体"/>
          <w:b w:val="0"/>
          <w:color w:val="1A1A1A"/>
          <w:sz w:val="21"/>
          <w:vertAlign w:val="superscript"/>
        </w:rPr>
        <w:t>[29]</w:t>
      </w:r>
      <w:r>
        <w:rPr>
          <w:rFonts w:ascii="Times New Roman" w:hAnsi="Times New Roman" w:eastAsia="宋体"/>
          <w:b w:val="0"/>
          <w:color w:val="1A1A1A"/>
          <w:sz w:val="21"/>
        </w:rPr>
        <w:t>）；本品通路的机制综述证据存在</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本品长期数据结构性缺失：满足判据的长期随访研究为零，中文直接证据多为摘要层，关键全文（2024 年 24 周试验</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）不可得；</w:t>
      </w:r>
    </w:p>
    <w:p>
      <w:pPr>
        <w:spacing w:after="60" w:before="0" w:line="336" w:lineRule="auto"/>
        <w:ind w:left="340"/>
      </w:pPr>
      <w:r>
        <w:rPr>
          <w:rFonts w:ascii="Times New Roman" w:hAnsi="Times New Roman" w:eastAsia="宋体"/>
          <w:b w:val="0"/>
          <w:color w:val="1A1A1A"/>
          <w:sz w:val="21"/>
        </w:rPr>
        <w:t>· 药物警戒维度硬缺口：受管信号管线不可用（HTTP 422/400），停药反跳信号无法用自发报告数据库检验；</w:t>
      </w:r>
    </w:p>
    <w:p>
      <w:pPr>
        <w:spacing w:after="60" w:before="0" w:line="336" w:lineRule="auto"/>
        <w:ind w:left="340"/>
      </w:pPr>
      <w:r>
        <w:rPr>
          <w:rFonts w:ascii="Times New Roman" w:hAnsi="Times New Roman" w:eastAsia="宋体"/>
          <w:b w:val="0"/>
          <w:color w:val="1A1A1A"/>
          <w:sz w:val="21"/>
        </w:rPr>
        <w:t>· 正反证据取证尺度一致：对"衰减"与"不衰减"均按同一判据（重复测量＋区间估计）要求，检索阴性一律写"未检索到"而非"已排除"。</w:t>
      </w:r>
    </w:p>
    <w:p>
      <w:pPr>
        <w:spacing w:after="120" w:before="0" w:line="348" w:lineRule="auto"/>
        <w:ind w:firstLine="420"/>
      </w:pP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5"/>
        </w:rPr>
        <w:t>五、局限</w:t>
      </w:r>
    </w:p>
    <w:p>
      <w:pPr>
        <w:spacing w:after="60" w:before="0" w:line="336" w:lineRule="auto"/>
        <w:ind w:left="340"/>
      </w:pPr>
      <w:r>
        <w:rPr>
          <w:rFonts w:ascii="Times New Roman" w:hAnsi="Times New Roman" w:eastAsia="宋体"/>
          <w:b w:val="0"/>
          <w:color w:val="1A1A1A"/>
          <w:sz w:val="21"/>
        </w:rPr>
        <w:t xml:space="preserve">1. </w:t>
      </w:r>
      <w:r>
        <w:rPr>
          <w:rFonts w:ascii="Times New Roman" w:hAnsi="Times New Roman" w:eastAsia="宋体"/>
          <w:b/>
          <w:color w:val="1A1A1A"/>
          <w:sz w:val="21"/>
        </w:rPr>
        <w:t>说明书为索引副本</w:t>
      </w:r>
      <w:r>
        <w:rPr>
          <w:rFonts w:ascii="Times New Roman" w:hAnsi="Times New Roman" w:eastAsia="宋体"/>
          <w:b w:val="0"/>
          <w:color w:val="1A1A1A"/>
          <w:sz w:val="21"/>
        </w:rPr>
        <w:t>：NMPA 说明书索引未返回用法用量栏，官方现行版本全文待人工核验（NMPA 官方说明书数据库在本环境不可达）</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2. </w:t>
      </w:r>
      <w:r>
        <w:rPr>
          <w:rFonts w:ascii="Times New Roman" w:hAnsi="Times New Roman" w:eastAsia="宋体"/>
          <w:b/>
          <w:color w:val="1A1A1A"/>
          <w:sz w:val="21"/>
        </w:rPr>
        <w:t>关键全文不可得</w:t>
      </w:r>
      <w:r>
        <w:rPr>
          <w:rFonts w:ascii="Times New Roman" w:hAnsi="Times New Roman" w:eastAsia="宋体"/>
          <w:b w:val="0"/>
          <w:color w:val="1A1A1A"/>
          <w:sz w:val="21"/>
        </w:rPr>
        <w:t>：2024 年 24 周 324 例 RCT（J Ethnopharmacol）</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、2020 年 ACS-PCI 试验</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、2019 年 ACS 术后试验全文</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、2019 年专家共识全文</w:t>
      </w:r>
      <w:r>
        <w:rPr>
          <w:rFonts w:ascii="Times New Roman" w:hAnsi="Times New Roman" w:eastAsia="宋体"/>
          <w:b w:val="0"/>
          <w:color w:val="1A1A1A"/>
          <w:sz w:val="21"/>
          <w:vertAlign w:val="superscript"/>
        </w:rPr>
        <w:t>[20]</w:t>
      </w:r>
      <w:r>
        <w:rPr>
          <w:rFonts w:ascii="Times New Roman" w:hAnsi="Times New Roman" w:eastAsia="宋体"/>
          <w:b w:val="0"/>
          <w:color w:val="1A1A1A"/>
          <w:sz w:val="21"/>
        </w:rPr>
        <w:t>、2025 年救心丸共识全文</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；2013 年"临床疗效及耐药性研究"（80 例，PCI 后，与单硝酸异山梨酯对照）仅得题录/部分摘要</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3. </w:t>
      </w:r>
      <w:r>
        <w:rPr>
          <w:rFonts w:ascii="Times New Roman" w:hAnsi="Times New Roman" w:eastAsia="宋体"/>
          <w:b/>
          <w:color w:val="1A1A1A"/>
          <w:sz w:val="21"/>
        </w:rPr>
        <w:t>受管信号管线不可用</w:t>
      </w:r>
      <w:r>
        <w:rPr>
          <w:rFonts w:ascii="Times New Roman" w:hAnsi="Times New Roman" w:eastAsia="宋体"/>
          <w:b w:val="0"/>
          <w:color w:val="1A1A1A"/>
          <w:sz w:val="21"/>
        </w:rPr>
        <w:t>：openFDA 后端不含本品 FAERS 数据，evimed_drug_safety_analysis 多次启动返回 HTTP 422，evimed_adr_case_query/evimed_adr_signal_analysis 返回 HTTP 400——停药反跳/依赖信号分析在本环境不可执行，属硬缺口（记录为数据不可用，不作阴性证据）[3.4]。</w:t>
      </w:r>
    </w:p>
    <w:p>
      <w:pPr>
        <w:spacing w:after="60" w:before="0" w:line="336" w:lineRule="auto"/>
        <w:ind w:left="340"/>
      </w:pPr>
      <w:r>
        <w:rPr>
          <w:rFonts w:ascii="Times New Roman" w:hAnsi="Times New Roman" w:eastAsia="宋体"/>
          <w:b w:val="0"/>
          <w:color w:val="1A1A1A"/>
          <w:sz w:val="21"/>
        </w:rPr>
        <w:t>4. 中文直接证据以摘要层为主，效应量未进入主张；2022 年系统评价</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与 2004 年 6 个月研究</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的时点数据均为转述/摘要层。</w:t>
      </w:r>
    </w:p>
    <w:p>
      <w:pPr>
        <w:spacing w:after="60" w:before="0" w:line="336" w:lineRule="auto"/>
        <w:ind w:left="340"/>
      </w:pPr>
      <w:r>
        <w:rPr>
          <w:rFonts w:ascii="Times New Roman" w:hAnsi="Times New Roman" w:eastAsia="宋体"/>
          <w:b w:val="0"/>
          <w:color w:val="1A1A1A"/>
          <w:sz w:val="21"/>
        </w:rPr>
        <w:t>5. "未检索到"不等于"不存在"：本品长期疗效、停药反应与成分重复给药衰减均可能未被研究而非被证实不存在。</w:t>
      </w:r>
    </w:p>
    <w:p>
      <w:pPr>
        <w:spacing w:after="120" w:before="0" w:line="348" w:lineRule="auto"/>
        <w:ind w:firstLine="420"/>
      </w:pP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5"/>
        </w:rPr>
        <w:t>六、结论</w:t>
      </w:r>
    </w:p>
    <w:p>
      <w:pPr>
        <w:spacing w:after="120" w:before="0" w:line="348" w:lineRule="auto"/>
      </w:pPr>
      <w:r>
        <w:rPr>
          <w:rFonts w:ascii="Times New Roman" w:hAnsi="Times New Roman" w:eastAsia="宋体"/>
          <w:b/>
          <w:color w:val="1A1A1A"/>
          <w:sz w:val="21"/>
        </w:rPr>
        <w:t>"不含硝酸酯，无经典耐药性"作为排除硝酸酯类特有耐受机制的表述可部分成立，但不得外推为"长期使用疗效不衰减"或"不产生任何形式的效应衰减"；"长期疗效不衰减"与"不产生依赖"目前属于"未被研究"，而非"已排除"。"长期使用需医生评估指导"未能追溯到可核验条款出处；"耐药性澄清率""长期用药规范率"两项指标只能作为被评价对象，不得作为质量达标的判据。</w:t>
      </w:r>
    </w:p>
    <w:p>
      <w:pPr>
        <w:spacing w:after="120" w:before="0" w:line="348" w:lineRule="auto"/>
      </w:pPr>
      <w:r>
        <w:rPr>
          <w:rFonts w:ascii="Times New Roman" w:hAnsi="Times New Roman" w:eastAsia="宋体"/>
          <w:b/>
          <w:color w:val="1A1A1A"/>
          <w:sz w:val="21"/>
        </w:rPr>
        <w:t>安全底线：</w:t>
      </w:r>
      <w:r>
        <w:rPr>
          <w:rFonts w:ascii="Times New Roman" w:hAnsi="Times New Roman" w:eastAsia="宋体"/>
          <w:b w:val="0"/>
          <w:color w:val="1A1A1A"/>
          <w:sz w:val="21"/>
        </w:rPr>
        <w:t xml:space="preserve"> 本报告任何结论均不得表述为可自行延长疗程、自行加量，或以本品替代已处方的抗心绞痛与二级预防治疗。发作频率增加或症状加重时，路径为及时就医评估；符合急性冠脉综合征警示特征（突发、持续不缓解的胸痛，放射至手臂/颈/颌，伴出汗、恶心、头晕、气促）者</w:t>
      </w:r>
      <w:r>
        <w:rPr>
          <w:rFonts w:ascii="Times New Roman" w:hAnsi="Times New Roman" w:eastAsia="宋体"/>
          <w:b/>
          <w:color w:val="1A1A1A"/>
          <w:sz w:val="21"/>
        </w:rPr>
        <w:t>立即呼叫 120</w:t>
      </w:r>
      <w:r>
        <w:rPr>
          <w:rFonts w:ascii="Times New Roman" w:hAnsi="Times New Roman" w:eastAsia="宋体"/>
          <w:b w:val="0"/>
          <w:color w:val="1A1A1A"/>
          <w:sz w:val="21"/>
        </w:rPr>
        <w:t>，任何含服自救不得替代或推迟急诊评估（心电图、高敏肌钙蛋白）</w:t>
      </w:r>
      <w:r>
        <w:rPr>
          <w:rFonts w:ascii="Times New Roman" w:hAnsi="Times New Roman" w:eastAsia="宋体"/>
          <w:b w:val="0"/>
          <w:color w:val="1A1A1A"/>
          <w:sz w:val="21"/>
          <w:vertAlign w:val="superscript"/>
        </w:rPr>
        <w:t>[30]</w:t>
      </w:r>
      <w:r>
        <w:rPr>
          <w:rFonts w:ascii="Times New Roman" w:hAnsi="Times New Roman" w:eastAsia="宋体"/>
          <w:b w:val="0"/>
          <w:color w:val="1A1A1A"/>
          <w:sz w:val="21"/>
        </w:rPr>
        <w:t>。</w:t>
      </w:r>
    </w:p>
    <w:p>
      <w:pPr>
        <w:spacing w:after="120" w:before="0" w:line="348" w:lineRule="auto"/>
        <w:ind w:firstLine="420"/>
      </w:pP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5"/>
        </w:rPr>
        <w:t>参考文献</w:t>
      </w:r>
    </w:p>
    <w:p>
      <w:pPr>
        <w:spacing w:after="120" w:before="0" w:line="348" w:lineRule="auto"/>
        <w:ind w:firstLine="420"/>
      </w:pP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Sun YL, Yao YL, Jia MJ, et al. Evaluation of the efficacy and safety of Suxiao Jiuxin Pill in the treatment of stable angina: a randomized, double-blind, placebo-controlled, multi-center clinical trial. J Ethnopharmacol. 2024;318:116959. https://pubmed.ncbi.nlm.nih.gov/37487965/</w:t>
      </w:r>
    </w:p>
    <w:p>
      <w:pPr>
        <w:spacing w:after="120" w:before="0" w:line="348" w:lineRule="auto"/>
        <w:ind w:firstLine="420"/>
      </w:pP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Hu Y, Wang Y, Wang S, et al. Efficacy and Safety of Suxiao Jiuxin Pills in the Treatment of Chronic Coronary Syndrome with Intolerance to Adverse Effects of Long-acting Nitrates: A Multicenter, Randomized, Double-blind, Placebo-controlled Study. BMC Complement Med Ther. 2024;24:359. https://europepmc.org/articles/PMC11451125 （全文已落盘阅读）</w:t>
      </w:r>
    </w:p>
    <w:p>
      <w:pPr>
        <w:spacing w:after="120" w:before="0" w:line="348" w:lineRule="auto"/>
        <w:ind w:firstLine="420"/>
      </w:pP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Ruan X, Li Y, Sun Y, et al. Efficacy and safety of Suxiao Jiuxin Pill in the treatment of stable angina (Qi stagnation and blood stasis syndrome): study protocol of a randomized, double-blind, placebo-controlled, multi-center clinical trial. Trials. 2021;22:481. https://europepmc.org/articles/PMC8287819 （全文已落盘阅读）</w:t>
      </w:r>
    </w:p>
    <w:p>
      <w:pPr>
        <w:spacing w:after="120" w:before="0" w:line="348" w:lineRule="auto"/>
        <w:ind w:firstLine="420"/>
      </w:pP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Shen Z, Chen T, Deng B, et al. Effects on Suxiao Jiuxin Pills in the Treatment of Patients with Acute Coronary Syndrome Undergoing Early Percutaneous Coronary Intervention: A Multicenter Randomized Double-Blind Placebo-Controlled Trial. J Altern Complement Med. 2020;26:1055-63. https://pubmed.ncbi.nlm.nih.gov/32716206/</w:t>
      </w:r>
    </w:p>
    <w:p>
      <w:pPr>
        <w:spacing w:after="120" w:before="0" w:line="348" w:lineRule="auto"/>
        <w:ind w:firstLine="420"/>
      </w:pP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袁慧婵, 商洪才, 张晶芳, 等. 持续使用速效救心丸不同疗程对冠心病心绞痛临床疗效及安全性的系统评价及Meta分析. 北京中医药. https://chkdx.cnki.net/kcms/detail/detail.aspx?FileName=BJZO20211116000&amp;DbName=CHKJ2017 （摘要层）</w:t>
      </w:r>
    </w:p>
    <w:p>
      <w:pPr>
        <w:spacing w:after="120" w:before="0" w:line="348" w:lineRule="auto"/>
        <w:ind w:firstLine="420"/>
      </w:pP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袁慧婵, 张晶芳, 等. 不同剂量速效救心丸治疗冠心病心绞痛临床疗效及安全性的Meta分析. 中国中医急症. 2021. https://qikan.cqvip.com/Qikan/Article/Detail?id=7104224078 （摘要层）</w:t>
      </w:r>
    </w:p>
    <w:p>
      <w:pPr>
        <w:spacing w:after="120" w:before="0" w:line="348" w:lineRule="auto"/>
        <w:ind w:firstLine="420"/>
      </w:pP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Duan X, Zhou L, Wu T, et al. Chinese herbal medicine suxiao jiuxin wan for angina pectoris. Cochrane Database Syst Rev. 2008;(1):CD004473. https://pubmed.ncbi.nlm.nih.gov/18254051/ （摘要层）</w:t>
      </w:r>
    </w:p>
    <w:p>
      <w:pPr>
        <w:spacing w:after="120" w:before="0" w:line="348" w:lineRule="auto"/>
        <w:ind w:firstLine="420"/>
      </w:pPr>
      <w:r>
        <w:rPr>
          <w:rFonts w:ascii="Times New Roman" w:hAnsi="Times New Roman" w:eastAsia="宋体"/>
          <w:b w:val="0"/>
          <w:color w:val="1A1A1A"/>
          <w:sz w:val="21"/>
          <w:vertAlign w:val="superscript"/>
        </w:rPr>
        <w:t>[8]</w:t>
      </w:r>
      <w:r>
        <w:rPr>
          <w:rFonts w:ascii="Times New Roman" w:hAnsi="Times New Roman" w:eastAsia="宋体"/>
          <w:b w:val="0"/>
          <w:color w:val="1A1A1A"/>
          <w:sz w:val="21"/>
        </w:rPr>
        <w:t xml:space="preserve"> Jia Y, Leung SW. The efficacy of Chinese herbal drugs for adults with angina pectoris: Bayesian network meta-analysis of 331 RCTs involving 36,467 individuals. J Ethnopharmacol. 2024;326:117925. https://pubmed.ncbi.nlm.nih.gov/38395177/ （摘要层）</w:t>
      </w:r>
    </w:p>
    <w:p>
      <w:pPr>
        <w:spacing w:after="120" w:before="0" w:line="348" w:lineRule="auto"/>
        <w:ind w:firstLine="420"/>
      </w:pP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 汪晓军, 徐保宁. 速效救心丸治疗冠心病心绞痛Meta分析. 陕西中医. 2008. https://d.wanfangdata.com.cn/periodical/ChlQZXJpb2RpY2FsQ0hJTmV3UzIwMjMwMzIxEhBzaGFueHp5MjAwODA5MTEzGgg0M3EyeGg5NQ%3D%3D （摘要层）</w:t>
      </w:r>
    </w:p>
    <w:p>
      <w:pPr>
        <w:spacing w:after="120" w:before="0" w:line="348" w:lineRule="auto"/>
        <w:ind w:firstLine="420"/>
      </w:pP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 阮小芬, 王肖龙, 等. 速效救心丸治疗急性冠脉综合征临床疗效的Meta分析. 中国中医急症. 2016. https://qikan.cqvip.com/Qikan/Article/Detail?id=668240553 （摘要层）</w:t>
      </w:r>
    </w:p>
    <w:p>
      <w:pPr>
        <w:spacing w:after="120" w:before="0" w:line="348" w:lineRule="auto"/>
        <w:ind w:firstLine="420"/>
      </w:pP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 林泉, 徐凤芹, 等. 速效救心丸治疗急性冠状动脉综合征疗效和安全性的系统评价. 天津中医药. 2021. https://chkdx.cnki.net/kcms/detail/detail.aspx?FileName=TJZY202105018&amp;DbName=CHKJ2021 （摘要层）</w:t>
      </w:r>
    </w:p>
    <w:p>
      <w:pPr>
        <w:spacing w:after="120" w:before="0" w:line="348" w:lineRule="auto"/>
        <w:ind w:firstLine="420"/>
      </w:pPr>
      <w:r>
        <w:rPr>
          <w:rFonts w:ascii="Times New Roman" w:hAnsi="Times New Roman" w:eastAsia="宋体"/>
          <w:b w:val="0"/>
          <w:color w:val="1A1A1A"/>
          <w:sz w:val="21"/>
          <w:vertAlign w:val="superscript"/>
        </w:rPr>
        <w:t>[12]</w:t>
      </w:r>
      <w:r>
        <w:rPr>
          <w:rFonts w:ascii="Times New Roman" w:hAnsi="Times New Roman" w:eastAsia="宋体"/>
          <w:b w:val="0"/>
          <w:color w:val="1A1A1A"/>
          <w:sz w:val="21"/>
        </w:rPr>
        <w:t xml:space="preserve"> 林泉, 徐凤芹, 等. 速效救心丸对比硝酸甘油治疗心绞痛急性发作疗效和安全性的系统评价. 中西医结合心脑血管病杂志. 2021. https://qikan.cqvip.com/Qikan/Article/Detail?id=7103853892 （摘要层）</w:t>
      </w:r>
    </w:p>
    <w:p>
      <w:pPr>
        <w:spacing w:after="120" w:before="0" w:line="348" w:lineRule="auto"/>
        <w:ind w:firstLine="420"/>
      </w:pPr>
      <w:r>
        <w:rPr>
          <w:rFonts w:ascii="Times New Roman" w:hAnsi="Times New Roman" w:eastAsia="宋体"/>
          <w:b w:val="0"/>
          <w:color w:val="1A1A1A"/>
          <w:sz w:val="21"/>
          <w:vertAlign w:val="superscript"/>
        </w:rPr>
        <w:t>[13]</w:t>
      </w:r>
      <w:r>
        <w:rPr>
          <w:rFonts w:ascii="Times New Roman" w:hAnsi="Times New Roman" w:eastAsia="宋体"/>
          <w:b w:val="0"/>
          <w:color w:val="1A1A1A"/>
          <w:sz w:val="21"/>
        </w:rPr>
        <w:t xml:space="preserve"> 阮小芬, 沈智杰, 薛金贵, 等. 速效救心丸干预ACS血管重建术后病人的随机、双盲、安慰剂对照临床研究. 中西医结合心脑血管病杂志. 2019. https://d.wanfangdata.com.cn/periodical/ChlQZXJpb2RpY2FsQ0hJTmV3UzIwMjMwMzIxEhV6eHlqaHhueGdienoyMDE5MDkwMDIaCGk3YWFhanRp （摘要层）</w:t>
      </w:r>
    </w:p>
    <w:p>
      <w:pPr>
        <w:spacing w:after="120" w:before="0" w:line="348" w:lineRule="auto"/>
        <w:ind w:firstLine="420"/>
      </w:pPr>
      <w:r>
        <w:rPr>
          <w:rFonts w:ascii="Times New Roman" w:hAnsi="Times New Roman" w:eastAsia="宋体"/>
          <w:b w:val="0"/>
          <w:color w:val="1A1A1A"/>
          <w:sz w:val="21"/>
          <w:vertAlign w:val="superscript"/>
        </w:rPr>
        <w:t>[14]</w:t>
      </w:r>
      <w:r>
        <w:rPr>
          <w:rFonts w:ascii="Times New Roman" w:hAnsi="Times New Roman" w:eastAsia="宋体"/>
          <w:b w:val="0"/>
          <w:color w:val="1A1A1A"/>
          <w:sz w:val="21"/>
        </w:rPr>
        <w:t xml:space="preserve"> 刘德桓, 吴志阳, 陈文鑫. 速效救心丸治疗冠心病心绞痛的临床疗效及耐药性研究. 中国社区医师. 2013. https://www.sinomed.ac.cn/zh/detail.do?ui=2013571917 （题录/部分摘要层）</w:t>
      </w:r>
    </w:p>
    <w:p>
      <w:pPr>
        <w:spacing w:after="120" w:before="0" w:line="348" w:lineRule="auto"/>
        <w:ind w:firstLine="420"/>
      </w:pPr>
      <w:r>
        <w:rPr>
          <w:rFonts w:ascii="Times New Roman" w:hAnsi="Times New Roman" w:eastAsia="宋体"/>
          <w:b w:val="0"/>
          <w:color w:val="1A1A1A"/>
          <w:sz w:val="21"/>
          <w:vertAlign w:val="superscript"/>
        </w:rPr>
        <w:t>[15]</w:t>
      </w:r>
      <w:r>
        <w:rPr>
          <w:rFonts w:ascii="Times New Roman" w:hAnsi="Times New Roman" w:eastAsia="宋体"/>
          <w:b w:val="0"/>
          <w:color w:val="1A1A1A"/>
          <w:sz w:val="21"/>
        </w:rPr>
        <w:t xml:space="preserve"> 胡岗, 林跃辉. 速效救心丸治疗冠心病心血瘀阻证临床观察. 中医药临床杂志. 2004. https://www.sinomed.ac.cn/zh/detail.do?ui=2003394432 （摘要层）</w:t>
      </w:r>
    </w:p>
    <w:p>
      <w:pPr>
        <w:spacing w:after="120" w:before="0" w:line="348" w:lineRule="auto"/>
        <w:ind w:firstLine="420"/>
      </w:pPr>
      <w:r>
        <w:rPr>
          <w:rFonts w:ascii="Times New Roman" w:hAnsi="Times New Roman" w:eastAsia="宋体"/>
          <w:b w:val="0"/>
          <w:color w:val="1A1A1A"/>
          <w:sz w:val="21"/>
          <w:vertAlign w:val="superscript"/>
        </w:rPr>
        <w:t>[16]</w:t>
      </w:r>
      <w:r>
        <w:rPr>
          <w:rFonts w:ascii="Times New Roman" w:hAnsi="Times New Roman" w:eastAsia="宋体"/>
          <w:b w:val="0"/>
          <w:color w:val="1A1A1A"/>
          <w:sz w:val="21"/>
        </w:rPr>
        <w:t xml:space="preserve"> 白秀英. 心肺复苏后长期服用速效救心丸维持治疗1例. 北京中医. 2006. https://qikan.cqvip.com/Qikan/Article/Detail?id=22833345 （摘要层）</w:t>
      </w:r>
    </w:p>
    <w:p>
      <w:pPr>
        <w:spacing w:after="120" w:before="0" w:line="348" w:lineRule="auto"/>
        <w:ind w:firstLine="420"/>
      </w:pPr>
      <w:r>
        <w:rPr>
          <w:rFonts w:ascii="Times New Roman" w:hAnsi="Times New Roman" w:eastAsia="宋体"/>
          <w:b w:val="0"/>
          <w:color w:val="1A1A1A"/>
          <w:sz w:val="21"/>
          <w:vertAlign w:val="superscript"/>
        </w:rPr>
        <w:t>[17]</w:t>
      </w:r>
      <w:r>
        <w:rPr>
          <w:rFonts w:ascii="Times New Roman" w:hAnsi="Times New Roman" w:eastAsia="宋体"/>
          <w:b w:val="0"/>
          <w:color w:val="1A1A1A"/>
          <w:sz w:val="21"/>
        </w:rPr>
        <w:t xml:space="preserve"> 常佩芬. 持续服用速效救心丸治疗冠心病心绞痛60例临床观察. 中国老年保健医学. 2004. https://d.wanfangdata.com.cn/periodical/ChlQZXJpb2RpY2FsQ0hJTmV3UzIwMjMwMzIxEhF6Z2xuYmp5eDIwMDQwMzAwOBoIcGl5eXV4bms%3D （摘要层）</w:t>
      </w:r>
    </w:p>
    <w:p>
      <w:pPr>
        <w:spacing w:after="120" w:before="0" w:line="348" w:lineRule="auto"/>
        <w:ind w:firstLine="420"/>
      </w:pPr>
      <w:r>
        <w:rPr>
          <w:rFonts w:ascii="Times New Roman" w:hAnsi="Times New Roman" w:eastAsia="宋体"/>
          <w:b w:val="0"/>
          <w:color w:val="1A1A1A"/>
          <w:sz w:val="21"/>
          <w:vertAlign w:val="superscript"/>
        </w:rPr>
        <w:t>[18]</w:t>
      </w:r>
      <w:r>
        <w:rPr>
          <w:rFonts w:ascii="Times New Roman" w:hAnsi="Times New Roman" w:eastAsia="宋体"/>
          <w:b w:val="0"/>
          <w:color w:val="1A1A1A"/>
          <w:sz w:val="21"/>
        </w:rPr>
        <w:t xml:space="preserve"> 邓秘, 吕健, 谢雁鸣, 等. 基于真实世界分析速效救心丸治疗冠心病心绞痛的临床用药特征. 中西医结合心脑血管病杂志. 2021. https://qikan.cqvip.com/Qikan/Article/Detail?id=7104520819 （摘要层）</w:t>
      </w:r>
    </w:p>
    <w:p>
      <w:pPr>
        <w:spacing w:after="120" w:before="0" w:line="348" w:lineRule="auto"/>
        <w:ind w:firstLine="420"/>
      </w:pPr>
      <w:r>
        <w:rPr>
          <w:rFonts w:ascii="Times New Roman" w:hAnsi="Times New Roman" w:eastAsia="宋体"/>
          <w:b w:val="0"/>
          <w:color w:val="1A1A1A"/>
          <w:sz w:val="21"/>
          <w:vertAlign w:val="superscript"/>
        </w:rPr>
        <w:t>[19]</w:t>
      </w:r>
      <w:r>
        <w:rPr>
          <w:rFonts w:ascii="Times New Roman" w:hAnsi="Times New Roman" w:eastAsia="宋体"/>
          <w:b w:val="0"/>
          <w:color w:val="1A1A1A"/>
          <w:sz w:val="21"/>
        </w:rPr>
        <w:t xml:space="preserve"> 国家药品监督管理局. 速效救心丸说明书（EviMed NMPA 标签索引副本，2026-08-12 检索；官方现行版本须经 NMPA 官网核验）. https://www.nmpa.gov.cn</w:t>
      </w:r>
    </w:p>
    <w:p>
      <w:pPr>
        <w:spacing w:after="120" w:before="0" w:line="348" w:lineRule="auto"/>
        <w:ind w:firstLine="420"/>
      </w:pPr>
      <w:r>
        <w:rPr>
          <w:rFonts w:ascii="Times New Roman" w:hAnsi="Times New Roman" w:eastAsia="宋体"/>
          <w:b w:val="0"/>
          <w:color w:val="1A1A1A"/>
          <w:sz w:val="21"/>
          <w:vertAlign w:val="superscript"/>
        </w:rPr>
        <w:t>[20]</w:t>
      </w:r>
      <w:r>
        <w:rPr>
          <w:rFonts w:ascii="Times New Roman" w:hAnsi="Times New Roman" w:eastAsia="宋体"/>
          <w:b w:val="0"/>
          <w:color w:val="1A1A1A"/>
          <w:sz w:val="21"/>
        </w:rPr>
        <w:t xml:space="preserve"> 速效救心丸治疗冠心病中国专家共识. 中西医结合心脑血管病杂志. 2019. https://qikan.cqvip.com/Qikan/Article/Detail?id=7100492500 （摘要层）</w:t>
      </w:r>
    </w:p>
    <w:p>
      <w:pPr>
        <w:spacing w:after="120" w:before="0" w:line="348" w:lineRule="auto"/>
        <w:ind w:firstLine="420"/>
      </w:pPr>
      <w:r>
        <w:rPr>
          <w:rFonts w:ascii="Times New Roman" w:hAnsi="Times New Roman" w:eastAsia="宋体"/>
          <w:b w:val="0"/>
          <w:color w:val="1A1A1A"/>
          <w:sz w:val="21"/>
          <w:vertAlign w:val="superscript"/>
        </w:rPr>
        <w:t>[21]</w:t>
      </w:r>
      <w:r>
        <w:rPr>
          <w:rFonts w:ascii="Times New Roman" w:hAnsi="Times New Roman" w:eastAsia="宋体"/>
          <w:b w:val="0"/>
          <w:color w:val="1A1A1A"/>
          <w:sz w:val="21"/>
        </w:rPr>
        <w:t xml:space="preserve"> 中华中医药学会《救心丸治疗冠心病临床应用专家共识》项目组. 救心丸治疗冠心病临床应用专家共识. 中医杂志. 2025. https://d.wanfangdata.com.cn/periodical/CiBQZXJpb2RpY2FsQ0hJU29scjkyMDI1MTExNzE2MDExNxINenl6ejIwMjUxOTAxORoIbGV2c3FjeGw%3D （摘要层）</w:t>
      </w:r>
    </w:p>
    <w:p>
      <w:pPr>
        <w:spacing w:after="120" w:before="0" w:line="348" w:lineRule="auto"/>
        <w:ind w:firstLine="420"/>
      </w:pPr>
      <w:r>
        <w:rPr>
          <w:rFonts w:ascii="Times New Roman" w:hAnsi="Times New Roman" w:eastAsia="宋体"/>
          <w:b w:val="0"/>
          <w:color w:val="1A1A1A"/>
          <w:sz w:val="21"/>
          <w:vertAlign w:val="superscript"/>
        </w:rPr>
        <w:t>[22]</w:t>
      </w:r>
      <w:r>
        <w:rPr>
          <w:rFonts w:ascii="Times New Roman" w:hAnsi="Times New Roman" w:eastAsia="宋体"/>
          <w:b w:val="0"/>
          <w:color w:val="1A1A1A"/>
          <w:sz w:val="21"/>
        </w:rPr>
        <w:t xml:space="preserve"> 《中成药治疗优势病种临床应用指南》标准化项目组. 中成药治疗冠心病临床应用指南（2020年）. 2021.（EviMed 指南索引记录，检索日期 2026-08-12）</w:t>
      </w:r>
    </w:p>
    <w:p>
      <w:pPr>
        <w:spacing w:after="120" w:before="0" w:line="348" w:lineRule="auto"/>
        <w:ind w:firstLine="420"/>
      </w:pPr>
      <w:r>
        <w:rPr>
          <w:rFonts w:ascii="Times New Roman" w:hAnsi="Times New Roman" w:eastAsia="宋体"/>
          <w:b w:val="0"/>
          <w:color w:val="1A1A1A"/>
          <w:sz w:val="21"/>
          <w:vertAlign w:val="superscript"/>
        </w:rPr>
        <w:t>[23]</w:t>
      </w:r>
      <w:r>
        <w:rPr>
          <w:rFonts w:ascii="Times New Roman" w:hAnsi="Times New Roman" w:eastAsia="宋体"/>
          <w:b w:val="0"/>
          <w:color w:val="1A1A1A"/>
          <w:sz w:val="21"/>
        </w:rPr>
        <w:t xml:space="preserve"> 中华中医药学会. 冠心病稳定型心绞痛中医诊疗指南. 2019.（EviMed 指南索引记录）</w:t>
      </w:r>
    </w:p>
    <w:p>
      <w:pPr>
        <w:spacing w:after="120" w:before="0" w:line="348" w:lineRule="auto"/>
        <w:ind w:firstLine="420"/>
      </w:pPr>
      <w:r>
        <w:rPr>
          <w:rFonts w:ascii="Times New Roman" w:hAnsi="Times New Roman" w:eastAsia="宋体"/>
          <w:b w:val="0"/>
          <w:color w:val="1A1A1A"/>
          <w:sz w:val="21"/>
          <w:vertAlign w:val="superscript"/>
        </w:rPr>
        <w:t>[24]</w:t>
      </w:r>
      <w:r>
        <w:rPr>
          <w:rFonts w:ascii="Times New Roman" w:hAnsi="Times New Roman" w:eastAsia="宋体"/>
          <w:b w:val="0"/>
          <w:color w:val="1A1A1A"/>
          <w:sz w:val="21"/>
        </w:rPr>
        <w:t xml:space="preserve"> Münzel T, Daiber A, Mülsch A. Explaining the phenomenon of nitrate tolerance. Circ Res. 2005;97:618-28. https://pubmed.ncbi.nlm.nih.gov/16195486/ （摘要层）</w:t>
      </w:r>
    </w:p>
    <w:p>
      <w:pPr>
        <w:spacing w:after="120" w:before="0" w:line="348" w:lineRule="auto"/>
        <w:ind w:firstLine="420"/>
      </w:pPr>
      <w:r>
        <w:rPr>
          <w:rFonts w:ascii="Times New Roman" w:hAnsi="Times New Roman" w:eastAsia="宋体"/>
          <w:b w:val="0"/>
          <w:color w:val="1A1A1A"/>
          <w:sz w:val="21"/>
          <w:vertAlign w:val="superscript"/>
        </w:rPr>
        <w:t>[25]</w:t>
      </w:r>
      <w:r>
        <w:rPr>
          <w:rFonts w:ascii="Times New Roman" w:hAnsi="Times New Roman" w:eastAsia="宋体"/>
          <w:b w:val="0"/>
          <w:color w:val="1A1A1A"/>
          <w:sz w:val="21"/>
        </w:rPr>
        <w:t xml:space="preserve"> Münzel T, Gori T. Nitrate therapy and nitrate tolerance in patients with coronary artery disease. Curr Opin Pharmacol. 2013;13:251-9. https://pubmed.ncbi.nlm.nih.gov/23352691/ （摘要层）</w:t>
      </w:r>
    </w:p>
    <w:p>
      <w:pPr>
        <w:spacing w:after="120" w:before="0" w:line="348" w:lineRule="auto"/>
        <w:ind w:firstLine="420"/>
      </w:pPr>
      <w:r>
        <w:rPr>
          <w:rFonts w:ascii="Times New Roman" w:hAnsi="Times New Roman" w:eastAsia="宋体"/>
          <w:b w:val="0"/>
          <w:color w:val="1A1A1A"/>
          <w:sz w:val="21"/>
          <w:vertAlign w:val="superscript"/>
        </w:rPr>
        <w:t>[26]</w:t>
      </w:r>
      <w:r>
        <w:rPr>
          <w:rFonts w:ascii="Times New Roman" w:hAnsi="Times New Roman" w:eastAsia="宋体"/>
          <w:b w:val="0"/>
          <w:color w:val="1A1A1A"/>
          <w:sz w:val="21"/>
        </w:rPr>
        <w:t xml:space="preserve"> Daiber A, Münzel T. Organic Nitrate Therapy, Nitrate Tolerance, and Nitrate-Induced Endothelial Dysfunction: Emphasis on Redox Biology and Oxidative Stress. Antioxid Redox Signal. 2015;23:899-942. https://pubmed.ncbi.nlm.nih.gov/26261901/ （摘要层）</w:t>
      </w:r>
    </w:p>
    <w:p>
      <w:pPr>
        <w:spacing w:after="120" w:before="0" w:line="348" w:lineRule="auto"/>
        <w:ind w:firstLine="420"/>
      </w:pPr>
      <w:r>
        <w:rPr>
          <w:rFonts w:ascii="Times New Roman" w:hAnsi="Times New Roman" w:eastAsia="宋体"/>
          <w:b w:val="0"/>
          <w:color w:val="1A1A1A"/>
          <w:sz w:val="21"/>
          <w:vertAlign w:val="superscript"/>
        </w:rPr>
        <w:t>[27]</w:t>
      </w:r>
      <w:r>
        <w:rPr>
          <w:rFonts w:ascii="Times New Roman" w:hAnsi="Times New Roman" w:eastAsia="宋体"/>
          <w:b w:val="0"/>
          <w:color w:val="1A1A1A"/>
          <w:sz w:val="21"/>
        </w:rPr>
        <w:t xml:space="preserve"> Daiber A, Wenzel P, Oelze M, et al. Mitochondrial aldehyde dehydrogenase (ALDH-2)--maker of and marker for nitrate tolerance in response to nitroglycerin treatment. Chem Biol Interact. 2009;179:42-8. https://pubmed.ncbi.nlm.nih.gov/18834868/ （摘要层）</w:t>
      </w:r>
    </w:p>
    <w:p>
      <w:pPr>
        <w:spacing w:after="120" w:before="0" w:line="348" w:lineRule="auto"/>
        <w:ind w:firstLine="420"/>
      </w:pPr>
      <w:r>
        <w:rPr>
          <w:rFonts w:ascii="Times New Roman" w:hAnsi="Times New Roman" w:eastAsia="宋体"/>
          <w:b w:val="0"/>
          <w:color w:val="1A1A1A"/>
          <w:sz w:val="21"/>
          <w:vertAlign w:val="superscript"/>
        </w:rPr>
        <w:t>[28]</w:t>
      </w:r>
      <w:r>
        <w:rPr>
          <w:rFonts w:ascii="Times New Roman" w:hAnsi="Times New Roman" w:eastAsia="宋体"/>
          <w:b w:val="0"/>
          <w:color w:val="1A1A1A"/>
          <w:sz w:val="21"/>
        </w:rPr>
        <w:t xml:space="preserve"> Mayer B, Beretta M. The enigma of nitroglycerin bioactivation and nitrate tolerance: news, views and troubles. Br J Pharmacol. 2008;155:170-84. https://pubmed.ncbi.nlm.nih.gov/18574453/ （摘要层）</w:t>
      </w:r>
    </w:p>
    <w:p>
      <w:pPr>
        <w:spacing w:after="120" w:before="0" w:line="348" w:lineRule="auto"/>
        <w:ind w:firstLine="420"/>
      </w:pPr>
      <w:r>
        <w:rPr>
          <w:rFonts w:ascii="Times New Roman" w:hAnsi="Times New Roman" w:eastAsia="宋体"/>
          <w:b w:val="0"/>
          <w:color w:val="1A1A1A"/>
          <w:sz w:val="21"/>
          <w:vertAlign w:val="superscript"/>
        </w:rPr>
        <w:t>[29]</w:t>
      </w:r>
      <w:r>
        <w:rPr>
          <w:rFonts w:ascii="Times New Roman" w:hAnsi="Times New Roman" w:eastAsia="宋体"/>
          <w:b w:val="0"/>
          <w:color w:val="1A1A1A"/>
          <w:sz w:val="21"/>
        </w:rPr>
        <w:t xml:space="preserve"> Daiber A, Oelze M, Wenzel P, et al. Nitrate tolerance as a model of vascular dysfunction: roles for mitochondrial aldehyde dehydrogenase and mitochondrial oxidative stress. Pharmacol Rep. 2009;61:29-43. https://pubmed.ncbi.nlm.nih.gov/19307691/ （摘要层）</w:t>
      </w:r>
    </w:p>
    <w:p>
      <w:pPr>
        <w:spacing w:after="120" w:before="0" w:line="348" w:lineRule="auto"/>
        <w:ind w:firstLine="420"/>
      </w:pPr>
      <w:r>
        <w:rPr>
          <w:rFonts w:ascii="Times New Roman" w:hAnsi="Times New Roman" w:eastAsia="宋体"/>
          <w:b w:val="0"/>
          <w:color w:val="1A1A1A"/>
          <w:sz w:val="21"/>
          <w:vertAlign w:val="superscript"/>
        </w:rPr>
        <w:t>[30]</w:t>
      </w:r>
      <w:r>
        <w:rPr>
          <w:rFonts w:ascii="Times New Roman" w:hAnsi="Times New Roman" w:eastAsia="宋体"/>
          <w:b w:val="0"/>
          <w:color w:val="1A1A1A"/>
          <w:sz w:val="21"/>
        </w:rPr>
        <w:t xml:space="preserve"> NHS. Chest pain. 页面最后复核 2023-08-08；2026-08-12 经官方网关抓取落盘. https://www.nhs.uk/symptoms/chest-pain/</w:t>
      </w:r>
    </w:p>
    <w:p>
      <w:pPr>
        <w:spacing w:after="120" w:before="0" w:line="348" w:lineRule="auto"/>
        <w:ind w:firstLine="420"/>
      </w:pPr>
      <w:r>
        <w:rPr>
          <w:rFonts w:ascii="Times New Roman" w:hAnsi="Times New Roman" w:eastAsia="宋体"/>
          <w:b w:val="0"/>
          <w:color w:val="1A1A1A"/>
          <w:sz w:val="21"/>
          <w:vertAlign w:val="superscript"/>
        </w:rPr>
        <w:t>[31]</w:t>
      </w:r>
      <w:r>
        <w:rPr>
          <w:rFonts w:ascii="Times New Roman" w:hAnsi="Times New Roman" w:eastAsia="宋体"/>
          <w:b w:val="0"/>
          <w:color w:val="1A1A1A"/>
          <w:sz w:val="21"/>
        </w:rPr>
        <w:t xml:space="preserve"> Salah LA, AlTalhab S, Omair A, AlJasser M. Accuracy and Quality of YouTube Videos as a Source of Information on Vitiligo. Clin Cosmet Investig Dermatol. 2022;15:229-35. https://pubmed.ncbi.nlm.nih.gov/35027834/ （摘要层）</w:t>
      </w:r>
    </w:p>
    <w:p>
      <w:pPr>
        <w:spacing w:after="120" w:before="0" w:line="348" w:lineRule="auto"/>
        <w:ind w:firstLine="420"/>
      </w:pPr>
      <w:r>
        <w:rPr>
          <w:rFonts w:ascii="Times New Roman" w:hAnsi="Times New Roman" w:eastAsia="宋体"/>
          <w:b w:val="0"/>
          <w:color w:val="1A1A1A"/>
          <w:sz w:val="21"/>
          <w:vertAlign w:val="superscript"/>
        </w:rPr>
        <w:t>[32]</w:t>
      </w:r>
      <w:r>
        <w:rPr>
          <w:rFonts w:ascii="Times New Roman" w:hAnsi="Times New Roman" w:eastAsia="宋体"/>
          <w:b w:val="0"/>
          <w:color w:val="1A1A1A"/>
          <w:sz w:val="21"/>
        </w:rPr>
        <w:t xml:space="preserve"> Alter IL, Charney SA, Karle WE, et al. An Evaluation of Quality, Reliability, and Accuracy of Vocal Health Content on TikTok. J Voice. 2024. https://pubmed.ncbi.nlm.nih.gov/38218688/ （摘要层）</w:t>
      </w:r>
    </w:p>
    <w:p>
      <w:pPr>
        <w:spacing w:after="120" w:before="0" w:line="348" w:lineRule="auto"/>
        <w:ind w:firstLine="420"/>
      </w:pPr>
      <w:r>
        <w:rPr>
          <w:rFonts w:ascii="Times New Roman" w:hAnsi="Times New Roman" w:eastAsia="宋体"/>
          <w:b w:val="0"/>
          <w:color w:val="1A1A1A"/>
          <w:sz w:val="21"/>
          <w:vertAlign w:val="superscript"/>
        </w:rPr>
        <w:t>[33]</w:t>
      </w:r>
      <w:r>
        <w:rPr>
          <w:rFonts w:ascii="Times New Roman" w:hAnsi="Times New Roman" w:eastAsia="宋体"/>
          <w:b w:val="0"/>
          <w:color w:val="1A1A1A"/>
          <w:sz w:val="21"/>
        </w:rPr>
        <w:t xml:space="preserve"> Greer M, Kamma S, Tran H, et al. Misinformation Persists in Complementary Health: Evaluating the Reliability and Quality of YouTube-Based Information on the Use of Acupuncture for Chronic Pain. J Pain Res. 2024;17:1641-53. https://pubmed.ncbi.nlm.nih.gov/38646592/ （摘要层）</w:t>
      </w:r>
    </w:p>
    <w:p>
      <w:pPr>
        <w:spacing w:after="120" w:before="0" w:line="348" w:lineRule="auto"/>
        <w:ind w:firstLine="420"/>
      </w:pPr>
      <w:r>
        <w:rPr>
          <w:rFonts w:ascii="Times New Roman" w:hAnsi="Times New Roman" w:eastAsia="宋体"/>
          <w:b w:val="0"/>
          <w:color w:val="1A1A1A"/>
          <w:sz w:val="21"/>
          <w:vertAlign w:val="superscript"/>
        </w:rPr>
        <w:t>[34]</w:t>
      </w:r>
      <w:r>
        <w:rPr>
          <w:rFonts w:ascii="Times New Roman" w:hAnsi="Times New Roman" w:eastAsia="宋体"/>
          <w:b w:val="0"/>
          <w:color w:val="1A1A1A"/>
          <w:sz w:val="21"/>
        </w:rPr>
        <w:t xml:space="preserve"> Fisher JH, O'Connor D, Flexman AM, et al. Accuracy and Reliability of Internet Resources for Information on Idiopathic Pulmonary Fibrosis. Am J Respir Crit Care Med. 2016;194:1196-202. https://pubmed.ncbi.nlm.nih.gov/26849779/ （摘要层）</w:t>
      </w:r>
    </w:p>
    <w:p>
      <w:pPr>
        <w:spacing w:after="120" w:before="0" w:line="348" w:lineRule="auto"/>
        <w:ind w:firstLine="420"/>
      </w:pPr>
      <w:r>
        <w:rPr>
          <w:rFonts w:ascii="Times New Roman" w:hAnsi="Times New Roman" w:eastAsia="宋体"/>
          <w:b w:val="0"/>
          <w:color w:val="1A1A1A"/>
          <w:sz w:val="21"/>
          <w:vertAlign w:val="superscript"/>
        </w:rPr>
        <w:t>[35]</w:t>
      </w:r>
      <w:r>
        <w:rPr>
          <w:rFonts w:ascii="Times New Roman" w:hAnsi="Times New Roman" w:eastAsia="宋体"/>
          <w:b w:val="0"/>
          <w:color w:val="1A1A1A"/>
          <w:sz w:val="21"/>
        </w:rPr>
        <w:t xml:space="preserve"> Bastos A, Paiva D, Azevedo A. Quality of health information on acute myocardial infarction and stroke in the world wide web. Acta Med Port. 2014;27:235-43. https://pubmed.ncbi.nlm.nih.gov/24813491/ （摘要层）</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