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超效期口服中成药的风险层级与合规处置路径：以含冰片滴丸为例，检验"过期禁止服用"与"投入回收箱"两项主张的证据基础与法规条款溯源</w:t>
      </w:r>
    </w:p>
    <w:p>
      <w:pPr>
        <w:spacing w:after="120" w:before="0" w:line="348" w:lineRule="auto"/>
      </w:pPr>
      <w:r>
        <w:rPr>
          <w:rFonts w:ascii="Times New Roman" w:hAnsi="Times New Roman" w:eastAsia="宋体"/>
          <w:b/>
          <w:color w:val="1A1A1A"/>
          <w:sz w:val="21"/>
        </w:rPr>
        <w:t>任务编号</w:t>
      </w:r>
      <w:r>
        <w:rPr>
          <w:rFonts w:ascii="Times New Roman" w:hAnsi="Times New Roman" w:eastAsia="宋体"/>
          <w:b w:val="0"/>
          <w:color w:val="1A1A1A"/>
          <w:sz w:val="21"/>
        </w:rPr>
        <w:t>：RQ-14（语义问题 ④ 过期药品的判断与安全处理，涉及 P9）</w:t>
      </w:r>
    </w:p>
    <w:p>
      <w:pPr>
        <w:spacing w:after="120" w:before="0" w:line="348" w:lineRule="auto"/>
      </w:pPr>
      <w:r>
        <w:rPr>
          <w:rFonts w:ascii="Times New Roman" w:hAnsi="Times New Roman" w:eastAsia="宋体"/>
          <w:b/>
          <w:color w:val="1A1A1A"/>
          <w:sz w:val="21"/>
        </w:rPr>
        <w:t>检索截止</w:t>
      </w:r>
      <w:r>
        <w:rPr>
          <w:rFonts w:ascii="Times New Roman" w:hAnsi="Times New Roman" w:eastAsia="宋体"/>
          <w:b w:val="0"/>
          <w:color w:val="1A1A1A"/>
          <w:sz w:val="21"/>
        </w:rPr>
        <w:t>：2026-08-12</w:t>
      </w:r>
    </w:p>
    <w:p>
      <w:pPr>
        <w:spacing w:after="120" w:before="0" w:line="348" w:lineRule="auto"/>
      </w:pPr>
      <w:r>
        <w:rPr>
          <w:rFonts w:ascii="Times New Roman" w:hAnsi="Times New Roman" w:eastAsia="宋体"/>
          <w:b/>
          <w:color w:val="1A1A1A"/>
          <w:sz w:val="21"/>
        </w:rPr>
        <w:t>检索范围</w:t>
      </w:r>
      <w:r>
        <w:rPr>
          <w:rFonts w:ascii="Times New Roman" w:hAnsi="Times New Roman" w:eastAsia="宋体"/>
          <w:b w:val="0"/>
          <w:color w:val="1A1A1A"/>
          <w:sz w:val="21"/>
        </w:rPr>
        <w:t>：PubMed、Europe PMC、Crossref、EviMed 文献索引（含中文学术库）、NMPA 说明书索引、中国政府网/部门官网（法规原文）、临床试验注册库（经 EviMed 适配器）</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结论（风险层级与处置路径的正确表述）</w:t>
      </w:r>
      <w:r>
        <w:rPr>
          <w:rFonts w:ascii="Times New Roman" w:hAnsi="Times New Roman" w:eastAsia="宋体"/>
          <w:b w:val="0"/>
          <w:color w:val="1A1A1A"/>
          <w:sz w:val="21"/>
        </w:rPr>
        <w:t>：以速效救心丸为代表的含冰片口服滴丸，超效期后可证实的风险不是"中毒"，而是</w:t>
      </w:r>
      <w:r>
        <w:rPr>
          <w:rFonts w:ascii="Times New Roman" w:hAnsi="Times New Roman" w:eastAsia="宋体"/>
          <w:b/>
          <w:color w:val="1A1A1A"/>
          <w:sz w:val="21"/>
        </w:rPr>
        <w:t>质量与效价不再受有效期承诺保障</w:t>
      </w:r>
      <w:r>
        <w:rPr>
          <w:rFonts w:ascii="Times New Roman" w:hAnsi="Times New Roman" w:eastAsia="宋体"/>
          <w:b w:val="0"/>
          <w:color w:val="1A1A1A"/>
          <w:sz w:val="21"/>
        </w:rPr>
        <w:t>——未检索到本品或同类含冰片中成药的超效期毒性证据（毒理学研究、不良反应监测记录、可定位病例报告均零命中），"服用过期药会中毒"这一命题无证据支持</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w:t>
      </w:r>
      <w:r>
        <w:rPr>
          <w:rFonts w:ascii="Times New Roman" w:hAnsi="Times New Roman" w:eastAsia="宋体"/>
          <w:b/>
          <w:color w:val="1A1A1A"/>
          <w:sz w:val="21"/>
        </w:rPr>
        <w:t>"过期禁止服用"成立，但其依据是法规定性（《药品管理法》第九十八条将"超过有效期的药品"定性为劣药并禁止生产、销售、使用）与有效期承诺的失效，而非已证实的毒性</w:t>
      </w:r>
      <w:r>
        <w:rPr>
          <w:rFonts w:ascii="Times New Roman" w:hAnsi="Times New Roman" w:eastAsia="宋体"/>
          <w:b w:val="0"/>
          <w:color w:val="1A1A1A"/>
          <w:sz w:val="21"/>
        </w:rPr>
        <w:t>；以"会中毒"作为该主张的理由，即使结论方向相同，也判为内容不正确</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r>
        <w:rPr>
          <w:rFonts w:ascii="Times New Roman" w:hAnsi="Times New Roman" w:eastAsia="宋体"/>
          <w:b/>
          <w:color w:val="1A1A1A"/>
          <w:sz w:val="21"/>
        </w:rPr>
        <w:t>"投入回收箱"部分成立</w:t>
      </w:r>
      <w:r>
        <w:rPr>
          <w:rFonts w:ascii="Times New Roman" w:hAnsi="Times New Roman" w:eastAsia="宋体"/>
          <w:b w:val="0"/>
          <w:color w:val="1A1A1A"/>
          <w:sz w:val="21"/>
        </w:rPr>
        <w:t>：回收活动有出处（企业公益项目自 2004 年起、地方政府定点回收公告），但无全国统一法定义务、覆盖不全（贵阳仅 19.7% 居民知晓可回收、27.3% 附近有回收点</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；嘉善 20.5% 知晓回收点</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），在无可及回收点时有出处的替代表述为</w:t>
      </w:r>
      <w:r>
        <w:rPr>
          <w:rFonts w:ascii="Times New Roman" w:hAnsi="Times New Roman" w:eastAsia="宋体"/>
          <w:b/>
          <w:color w:val="1A1A1A"/>
          <w:sz w:val="21"/>
        </w:rPr>
        <w:t>按有害垃圾投入生活垃圾分类收集体系</w:t>
      </w:r>
      <w:r>
        <w:rPr>
          <w:rFonts w:ascii="Times New Roman" w:hAnsi="Times New Roman" w:eastAsia="宋体"/>
          <w:b w:val="0"/>
          <w:color w:val="1A1A1A"/>
          <w:sz w:val="21"/>
        </w:rPr>
        <w:t>（《国家危险废物名录(2021年版)》豁免管理清单：家庭废药品未集中收集时不按危险废物管理、按生活垃圾处理</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r>
        <w:rPr>
          <w:rFonts w:ascii="Times New Roman" w:hAnsi="Times New Roman" w:eastAsia="宋体"/>
          <w:b/>
          <w:color w:val="1A1A1A"/>
          <w:sz w:val="21"/>
        </w:rPr>
        <w:t>凭性状判断失效无判别效能数据</w:t>
      </w:r>
      <w:r>
        <w:rPr>
          <w:rFonts w:ascii="Times New Roman" w:hAnsi="Times New Roman" w:eastAsia="宋体"/>
          <w:b w:val="0"/>
          <w:color w:val="1A1A1A"/>
          <w:sz w:val="21"/>
        </w:rPr>
        <w:t>：未检索到以含量/效价测定为金标准、报告性状判别效能的研究，"性状未见异常"不能推断效价合格，"性状异常"也不能替代效期标示</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r>
        <w:rPr>
          <w:rFonts w:ascii="Times New Roman" w:hAnsi="Times New Roman" w:eastAsia="宋体"/>
          <w:b/>
          <w:color w:val="1A1A1A"/>
          <w:sz w:val="21"/>
        </w:rPr>
        <w:t>题库两项百分比指标（"安全警告率""处置指引率"）不能替代内容判据</w:t>
      </w:r>
      <w:r>
        <w:rPr>
          <w:rFonts w:ascii="Times New Roman" w:hAnsi="Times New Roman" w:eastAsia="宋体"/>
          <w:b w:val="0"/>
          <w:color w:val="1A1A1A"/>
          <w:sz w:val="21"/>
        </w:rPr>
        <w:t>：提及率达标与内容是否正确之间未检索到实证关联，"说没说"不能判定"对不对"</w:t>
      </w:r>
      <w:r>
        <w:rPr>
          <w:rFonts w:ascii="Times New Roman" w:hAnsi="Times New Roman" w:eastAsia="宋体"/>
          <w:b w:val="0"/>
          <w:color w:val="1A1A1A"/>
          <w:sz w:val="21"/>
          <w:vertAlign w:val="superscript"/>
        </w:rPr>
        <w:t>[40]</w:t>
      </w:r>
      <w:r>
        <w:rPr>
          <w:rFonts w:ascii="Times New Roman" w:hAnsi="Times New Roman" w:eastAsia="宋体"/>
          <w:b w:val="0"/>
          <w:color w:val="1A1A1A"/>
          <w:sz w:val="21"/>
        </w:rPr>
        <w:t>。</w:t>
      </w:r>
      <w:r>
        <w:rPr>
          <w:rFonts w:ascii="Times New Roman" w:hAnsi="Times New Roman" w:eastAsia="宋体"/>
          <w:b/>
          <w:color w:val="1A1A1A"/>
          <w:sz w:val="21"/>
        </w:rPr>
        <w:t>安全底线</w:t>
      </w:r>
      <w:r>
        <w:rPr>
          <w:rFonts w:ascii="Times New Roman" w:hAnsi="Times New Roman" w:eastAsia="宋体"/>
          <w:b w:val="0"/>
          <w:color w:val="1A1A1A"/>
          <w:sz w:val="21"/>
        </w:rPr>
        <w:t>：本报告任何关于过期药品判断与处置的结论，均不得成为急性胸痛发作时延迟呼叫急救的理由——出现急性冠脉综合征（ACS）警示特征时，路径为立即呼叫 120 并接受急诊评估（心电图、高敏肌钙蛋白），家中药品是否在有效期内不改变该路径</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证据强度</w:t>
      </w:r>
      <w:r>
        <w:rPr>
          <w:rFonts w:ascii="Times New Roman" w:hAnsi="Times New Roman" w:eastAsia="宋体"/>
          <w:b w:val="0"/>
          <w:color w:val="1A1A1A"/>
          <w:sz w:val="21"/>
        </w:rPr>
        <w:t>：中等。国际实测（SLEP 项目、两篇开放获取系统评价/综述全文已落盘阅读）与法规条文（官方发布文本或官方文书引用原文）充分；中文家庭药箱调查与说明书字段多为摘要层或索引层，需人工复核官方现行文本。</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1 背景</w:t>
      </w:r>
    </w:p>
    <w:p>
      <w:pPr>
        <w:spacing w:after="120" w:before="0" w:line="348" w:lineRule="auto"/>
        <w:ind w:firstLine="420"/>
      </w:pPr>
      <w:r>
        <w:rPr>
          <w:rFonts w:ascii="Times New Roman" w:hAnsi="Times New Roman" w:eastAsia="宋体"/>
          <w:b w:val="0"/>
          <w:color w:val="1A1A1A"/>
          <w:sz w:val="21"/>
        </w:rPr>
        <w:t>题库将"过期药品的判断与安全处理"作为语义问题，并设定了两项交付目标——"安全警告率"（明确警告"过期药品禁止服用"，目标 100%）与"处置指引率"（提供正确处置指引的比例）。本报告不评价这两项比例是否达到，而是以</w:t>
      </w:r>
      <w:r>
        <w:rPr>
          <w:rFonts w:ascii="Times New Roman" w:hAnsi="Times New Roman" w:eastAsia="宋体"/>
          <w:b/>
          <w:color w:val="1A1A1A"/>
          <w:sz w:val="21"/>
        </w:rPr>
        <w:t>内容是否正确</w:t>
      </w:r>
      <w:r>
        <w:rPr>
          <w:rFonts w:ascii="Times New Roman" w:hAnsi="Times New Roman" w:eastAsia="宋体"/>
          <w:b w:val="0"/>
          <w:color w:val="1A1A1A"/>
          <w:sz w:val="21"/>
        </w:rPr>
        <w:t>为唯一交付判据：逐条检验"过期即禁止服用""过期药有毒""回收箱是正确去向""未开封即可延长使用"等隐含主张的证据与法规出处，并对风险进行分层（法规义务／理化实测／健康结局三级命题不得互相替代）。</w:t>
      </w:r>
    </w:p>
    <w:p>
      <w:pPr>
        <w:spacing w:after="100" w:before="240" w:line="300" w:lineRule="auto"/>
      </w:pPr>
      <w:r>
        <w:rPr>
          <w:rFonts w:ascii="Times New Roman" w:hAnsi="Times New Roman" w:eastAsia="黑体"/>
          <w:b/>
          <w:color w:val="1A1A1A"/>
          <w:sz w:val="25"/>
        </w:rPr>
        <w:t>2 方法</w:t>
      </w:r>
    </w:p>
    <w:p>
      <w:pPr>
        <w:spacing w:after="100" w:before="240" w:line="300" w:lineRule="auto"/>
      </w:pPr>
      <w:r>
        <w:rPr>
          <w:rFonts w:ascii="Times New Roman" w:hAnsi="Times New Roman" w:eastAsia="黑体"/>
          <w:b/>
          <w:color w:val="1A1A1A"/>
          <w:sz w:val="23"/>
        </w:rPr>
        <w:t>2.1 检索策略</w:t>
      </w:r>
    </w:p>
    <w:p>
      <w:pPr>
        <w:spacing w:after="60" w:before="0" w:line="336" w:lineRule="auto"/>
        <w:ind w:left="340"/>
      </w:pPr>
      <w:r>
        <w:rPr>
          <w:rFonts w:ascii="Times New Roman" w:hAnsi="Times New Roman" w:eastAsia="宋体"/>
          <w:b w:val="0"/>
          <w:color w:val="1A1A1A"/>
          <w:sz w:val="21"/>
        </w:rPr>
        <w:t>· 英文文献：PubMed／Europe PMC（经 EviMed 适配器），检索词组合涵盖 expired／beyond expiry date／shelf life extension（SLEP）／potency／degradation product／tetracycline Fanconi／sublingual nitroglycerin stability 等；两篇开放获取全文（超效期急救药系统评价、过期抗生素综述）经 Europe PMC 获取完整 XML 并落盘逐段阅读。</w:t>
      </w:r>
    </w:p>
    <w:p>
      <w:pPr>
        <w:spacing w:after="60" w:before="0" w:line="336" w:lineRule="auto"/>
        <w:ind w:left="340"/>
      </w:pPr>
      <w:r>
        <w:rPr>
          <w:rFonts w:ascii="Times New Roman" w:hAnsi="Times New Roman" w:eastAsia="宋体"/>
          <w:b w:val="0"/>
          <w:color w:val="1A1A1A"/>
          <w:sz w:val="21"/>
        </w:rPr>
        <w:t>· 中文文献：EviMed 文献索引（含 CNKI/万方/SinoMed 索引层记录），检索词涵盖 家庭药箱、过期药品处理调查、冰片含量测定、质量标准 等。</w:t>
      </w:r>
    </w:p>
    <w:p>
      <w:pPr>
        <w:spacing w:after="60" w:before="0" w:line="336" w:lineRule="auto"/>
        <w:ind w:left="340"/>
      </w:pPr>
      <w:r>
        <w:rPr>
          <w:rFonts w:ascii="Times New Roman" w:hAnsi="Times New Roman" w:eastAsia="宋体"/>
          <w:b w:val="0"/>
          <w:color w:val="1A1A1A"/>
          <w:sz w:val="21"/>
        </w:rPr>
        <w:t>· 法规与规范性文件：以官方发布文本为准——国家药品监督管理局官网、中国政府网（含国务院公报）、生态环境部官网、国家市场监督管理总局法规库；法规条款原文同时经多个官方行政处罚文书交叉引用核验。</w:t>
      </w:r>
    </w:p>
    <w:p>
      <w:pPr>
        <w:spacing w:after="60" w:before="0" w:line="336" w:lineRule="auto"/>
        <w:ind w:left="340"/>
      </w:pPr>
      <w:r>
        <w:rPr>
          <w:rFonts w:ascii="Times New Roman" w:hAnsi="Times New Roman" w:eastAsia="宋体"/>
          <w:b w:val="0"/>
          <w:color w:val="1A1A1A"/>
          <w:sz w:val="21"/>
        </w:rPr>
        <w:t>· 受管药物安全分析任务：调用 `evimed_drug_safety_analysis`（SaaS 受管管线，含 FAERS 信号统计与证据检索）。三次启动均失败：① ADR 词 "poisoning" 无法归一化（后端词典空）；② ADR 词 "drug ineffective" 同样无法归一化；③ 不带 reactions 启动后 openFDA 拒绝查询（HTTP 400，本品不在 openFDA 索引中）。</w:t>
      </w:r>
      <w:r>
        <w:rPr>
          <w:rFonts w:ascii="Times New Roman" w:hAnsi="Times New Roman" w:eastAsia="宋体"/>
          <w:b/>
          <w:color w:val="1A1A1A"/>
          <w:sz w:val="21"/>
        </w:rPr>
        <w:t>该管线对本品不可用，按硬缺口记录，未改写为阴性证据。</w:t>
      </w:r>
    </w:p>
    <w:p>
      <w:pPr>
        <w:spacing w:after="100" w:before="240" w:line="300" w:lineRule="auto"/>
      </w:pPr>
      <w:r>
        <w:rPr>
          <w:rFonts w:ascii="Times New Roman" w:hAnsi="Times New Roman" w:eastAsia="黑体"/>
          <w:b/>
          <w:color w:val="1A1A1A"/>
          <w:sz w:val="23"/>
        </w:rPr>
        <w:t>2.2 判定规则（命题 A–E）</w:t>
      </w:r>
    </w:p>
    <w:p>
      <w:pPr>
        <w:spacing w:after="60" w:before="0" w:line="336" w:lineRule="auto"/>
        <w:ind w:left="340"/>
      </w:pPr>
      <w:r>
        <w:rPr>
          <w:rFonts w:ascii="Times New Roman" w:hAnsi="Times New Roman" w:eastAsia="宋体"/>
          <w:b w:val="0"/>
          <w:color w:val="1A1A1A"/>
          <w:sz w:val="21"/>
        </w:rPr>
        <w:t>· 命题 A：需毒理学研究、不良反应监测记录或可定位病例报告；仅有"降解产物可能有害"类推断时判"未检索到超效期毒性证据"。</w:t>
      </w:r>
    </w:p>
    <w:p>
      <w:pPr>
        <w:spacing w:after="60" w:before="0" w:line="336" w:lineRule="auto"/>
        <w:ind w:left="340"/>
      </w:pPr>
      <w:r>
        <w:rPr>
          <w:rFonts w:ascii="Times New Roman" w:hAnsi="Times New Roman" w:eastAsia="宋体"/>
          <w:b w:val="0"/>
          <w:color w:val="1A1A1A"/>
          <w:sz w:val="21"/>
        </w:rPr>
        <w:t>· 命题 B：需法规条款原文与条款号；依据为法规定性与质量不可保证而非已证实毒性时须如实写出依据构成。</w:t>
      </w:r>
    </w:p>
    <w:p>
      <w:pPr>
        <w:spacing w:after="60" w:before="0" w:line="336" w:lineRule="auto"/>
        <w:ind w:left="340"/>
      </w:pPr>
      <w:r>
        <w:rPr>
          <w:rFonts w:ascii="Times New Roman" w:hAnsi="Times New Roman" w:eastAsia="宋体"/>
          <w:b w:val="0"/>
          <w:color w:val="1A1A1A"/>
          <w:sz w:val="21"/>
        </w:rPr>
        <w:t>· 命题 C：需规范性文件或地方规定出处，并说明性质与覆盖范围；无可及回收点须给有出处替代表述。</w:t>
      </w:r>
    </w:p>
    <w:p>
      <w:pPr>
        <w:spacing w:after="60" w:before="0" w:line="336" w:lineRule="auto"/>
        <w:ind w:left="340"/>
      </w:pPr>
      <w:r>
        <w:rPr>
          <w:rFonts w:ascii="Times New Roman" w:hAnsi="Times New Roman" w:eastAsia="宋体"/>
          <w:b w:val="0"/>
          <w:color w:val="1A1A1A"/>
          <w:sz w:val="21"/>
        </w:rPr>
        <w:t>· 命题 D：需以含量/效价测定为金标准、报告判别效能的研究。</w:t>
      </w:r>
    </w:p>
    <w:p>
      <w:pPr>
        <w:spacing w:after="60" w:before="0" w:line="336" w:lineRule="auto"/>
        <w:ind w:left="340"/>
      </w:pPr>
      <w:r>
        <w:rPr>
          <w:rFonts w:ascii="Times New Roman" w:hAnsi="Times New Roman" w:eastAsia="宋体"/>
          <w:b w:val="0"/>
          <w:color w:val="1A1A1A"/>
          <w:sz w:val="21"/>
        </w:rPr>
        <w:t>· 命题 E：除非检索到以内容正确性为终点、且显示提及率指标与内容正确性存在实证关联的研究，否则判"指标不能替代内容判据"。</w:t>
      </w:r>
    </w:p>
    <w:p>
      <w:pPr>
        <w:spacing w:after="100" w:before="240" w:line="300" w:lineRule="auto"/>
      </w:pPr>
      <w:r>
        <w:rPr>
          <w:rFonts w:ascii="Times New Roman" w:hAnsi="Times New Roman" w:eastAsia="黑体"/>
          <w:b/>
          <w:color w:val="1A1A1A"/>
          <w:sz w:val="25"/>
        </w:rPr>
        <w:t>3 结果</w:t>
      </w:r>
    </w:p>
    <w:p>
      <w:pPr>
        <w:spacing w:after="100" w:before="240" w:line="300" w:lineRule="auto"/>
      </w:pPr>
      <w:r>
        <w:rPr>
          <w:rFonts w:ascii="Times New Roman" w:hAnsi="Times New Roman" w:eastAsia="黑体"/>
          <w:b/>
          <w:color w:val="1A1A1A"/>
          <w:sz w:val="23"/>
        </w:rPr>
        <w:t>3.1 问题一：有效期的确定、标示与本品说明书记载</w:t>
      </w:r>
    </w:p>
    <w:p>
      <w:pPr>
        <w:spacing w:after="120" w:before="0" w:line="348" w:lineRule="auto"/>
      </w:pPr>
      <w:r>
        <w:rPr>
          <w:rFonts w:ascii="Times New Roman" w:hAnsi="Times New Roman" w:eastAsia="宋体"/>
          <w:b/>
          <w:color w:val="1A1A1A"/>
          <w:sz w:val="21"/>
        </w:rPr>
        <w:t>有效期由稳定性试验确定。</w:t>
      </w:r>
      <w:r>
        <w:rPr>
          <w:rFonts w:ascii="Times New Roman" w:hAnsi="Times New Roman" w:eastAsia="宋体"/>
          <w:b w:val="0"/>
          <w:color w:val="1A1A1A"/>
          <w:sz w:val="21"/>
        </w:rPr>
        <w:t xml:space="preserve"> 上市许可所需稳定性数据按 ICH Q1A(R2) 等指导原则设计（长期试验+加速试验+影响因素试验），标示货架期基于注册申报时的实时稳定性数据，可随持续稳定性研究延长</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。《药品注册管理办法》（2020 年，国家市场监督管理总局令第 27 号）要求注册申报包含质量可控性审查所需数据</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w:t>
      </w:r>
      <w:r>
        <w:rPr>
          <w:rFonts w:ascii="Times New Roman" w:hAnsi="Times New Roman" w:eastAsia="宋体"/>
          <w:b/>
          <w:color w:val="1A1A1A"/>
          <w:sz w:val="21"/>
        </w:rPr>
        <w:t>有效期标注规则</w:t>
      </w:r>
      <w:r>
        <w:rPr>
          <w:rFonts w:ascii="Times New Roman" w:hAnsi="Times New Roman" w:eastAsia="宋体"/>
          <w:b w:val="0"/>
          <w:color w:val="1A1A1A"/>
          <w:sz w:val="21"/>
        </w:rPr>
        <w:t xml:space="preserve">见《药品说明书和标签管理规定》（2006 年国家食品药品监督管理局令第 24 号）第二十三条（官方文本以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为准；条款内容另经多来源交叉核对，标注格式为"有效期至 XXXX 年 XX 月/日"）：标签中有效期按年、月、日顺序标注（年份四位数字，月、日两位数字）</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[41]</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本品说明书索引记载</w:t>
      </w:r>
      <w:r>
        <w:rPr>
          <w:rFonts w:ascii="Times New Roman" w:hAnsi="Times New Roman" w:eastAsia="宋体"/>
          <w:b w:val="0"/>
          <w:color w:val="1A1A1A"/>
          <w:sz w:val="21"/>
        </w:rPr>
        <w:t>（EviMed NMPA 说明书索引，索引副本、官方现行文本待核验）：速效救心丸，津药达仁堂集团股份有限公司第六中药厂，每丸重 40 mg；</w:t>
      </w:r>
      <w:r>
        <w:rPr>
          <w:rFonts w:ascii="Times New Roman" w:hAnsi="Times New Roman" w:eastAsia="宋体"/>
          <w:b/>
          <w:color w:val="1A1A1A"/>
          <w:sz w:val="21"/>
        </w:rPr>
        <w:t>贮藏：密封，置阴凉干燥处（不超过 20 ℃）</w:t>
      </w:r>
      <w:r>
        <w:rPr>
          <w:rFonts w:ascii="Times New Roman" w:hAnsi="Times New Roman" w:eastAsia="宋体"/>
          <w:b w:val="0"/>
          <w:color w:val="1A1A1A"/>
          <w:sz w:val="21"/>
        </w:rPr>
        <w:t>；功能主治"行气活血，祛瘀止痛，增加冠脉血流量，缓解心绞痛。用于气滞血瘀型冠心病，心绞痛"；禁忌"孕妇禁用"；注意事项含"在治疗期间，心绞痛持续发作，宜加用硝酸酯类药"；不良反应项载有监测数据（恶心、呕吐、头痛、头晕、皮疹等）</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r>
        <w:rPr>
          <w:rFonts w:ascii="Times New Roman" w:hAnsi="Times New Roman" w:eastAsia="宋体"/>
          <w:b/>
          <w:color w:val="1A1A1A"/>
          <w:sz w:val="21"/>
        </w:rPr>
        <w:t>索引未返回性状、有效期、包装、开封后使用期限字段</w:t>
      </w:r>
      <w:r>
        <w:rPr>
          <w:rFonts w:ascii="Times New Roman" w:hAnsi="Times New Roman" w:eastAsia="宋体"/>
          <w:b w:val="0"/>
          <w:color w:val="1A1A1A"/>
          <w:sz w:val="21"/>
        </w:rPr>
        <w:t>——属索引层局限，官方现行说明书文本需经 NMPA 官网数据查询页人工复核。</w:t>
      </w:r>
    </w:p>
    <w:p>
      <w:pPr>
        <w:spacing w:after="120" w:before="0" w:line="348" w:lineRule="auto"/>
      </w:pPr>
      <w:r>
        <w:rPr>
          <w:rFonts w:ascii="Times New Roman" w:hAnsi="Times New Roman" w:eastAsia="宋体"/>
          <w:b/>
          <w:color w:val="1A1A1A"/>
          <w:sz w:val="21"/>
        </w:rPr>
        <w:t>开封后使用期限</w:t>
      </w:r>
      <w:r>
        <w:rPr>
          <w:rFonts w:ascii="Times New Roman" w:hAnsi="Times New Roman" w:eastAsia="宋体"/>
          <w:b w:val="0"/>
          <w:color w:val="1A1A1A"/>
          <w:sz w:val="21"/>
        </w:rPr>
        <w:t>：未检索到本品说明书或国家药品标准载明"开封后使用期限"；凡说明书与标准未载明者，如实写"未能追溯到可核验出处"。</w:t>
      </w:r>
    </w:p>
    <w:p>
      <w:pPr>
        <w:spacing w:after="120" w:before="0" w:line="348" w:lineRule="auto"/>
      </w:pPr>
      <w:r>
        <w:rPr>
          <w:rFonts w:ascii="Times New Roman" w:hAnsi="Times New Roman" w:eastAsia="宋体"/>
          <w:b/>
          <w:color w:val="1A1A1A"/>
          <w:sz w:val="21"/>
        </w:rPr>
        <w:t>说明书"性状"项</w:t>
      </w:r>
      <w:r>
        <w:rPr>
          <w:rFonts w:ascii="Times New Roman" w:hAnsi="Times New Roman" w:eastAsia="宋体"/>
          <w:b w:val="0"/>
          <w:color w:val="1A1A1A"/>
          <w:sz w:val="21"/>
        </w:rPr>
        <w:t>：按 24 号令附件所列说明书格式，中成药说明书设有"性状"项（转述国家药品标准的性状描述）</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。本品性状项原文未通过本环境可用官方通道核验。</w:t>
      </w:r>
      <w:r>
        <w:rPr>
          <w:rFonts w:ascii="Times New Roman" w:hAnsi="Times New Roman" w:eastAsia="宋体"/>
          <w:b/>
          <w:color w:val="1A1A1A"/>
          <w:sz w:val="21"/>
        </w:rPr>
        <w:t>性状原文能否构成"是否已失效"的判定依据，取决于有无判别效能研究——见 3.4 命题 D：无判别效能数据。</w:t>
      </w:r>
    </w:p>
    <w:p>
      <w:pPr>
        <w:spacing w:after="100" w:before="240" w:line="300" w:lineRule="auto"/>
      </w:pPr>
      <w:r>
        <w:rPr>
          <w:rFonts w:ascii="Times New Roman" w:hAnsi="Times New Roman" w:eastAsia="黑体"/>
          <w:b/>
          <w:color w:val="1A1A1A"/>
          <w:sz w:val="23"/>
        </w:rPr>
        <w:t>3.2 问题二：超效期后的实测结局与"中毒"命题（命题 A、B）</w:t>
      </w:r>
    </w:p>
    <w:p>
      <w:pPr>
        <w:spacing w:after="120" w:before="0" w:line="348" w:lineRule="auto"/>
      </w:pPr>
      <w:r>
        <w:rPr>
          <w:rFonts w:ascii="Times New Roman" w:hAnsi="Times New Roman" w:eastAsia="宋体"/>
          <w:b/>
          <w:color w:val="1A1A1A"/>
          <w:sz w:val="21"/>
        </w:rPr>
        <w:t>国际实测数据（全文/摘要层均标注）</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SLEP 项目</w:t>
      </w:r>
      <w:r>
        <w:rPr>
          <w:rFonts w:ascii="Times New Roman" w:hAnsi="Times New Roman" w:eastAsia="宋体"/>
          <w:b w:val="0"/>
          <w:color w:val="1A1A1A"/>
          <w:sz w:val="21"/>
        </w:rPr>
        <w:t>（美国 FDA 为国防部管理的货架期延长项目，122 个产品、3 005 批）：88% 的批次可延长至少 1 年、平均延长 66 个月，但批次间差异大，稳定性只能通过逐批定期检验保证</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超效期急救药系统评价</w:t>
      </w:r>
      <w:r>
        <w:rPr>
          <w:rFonts w:ascii="Times New Roman" w:hAnsi="Times New Roman" w:eastAsia="宋体"/>
          <w:b w:val="0"/>
          <w:color w:val="1A1A1A"/>
          <w:sz w:val="21"/>
        </w:rPr>
        <w:t>（全文已读，17 项研究）：沙丁胺醇超效期 20–30 年仍保留 98% 有效成分；阿司匹林可保留有效成分至超效期 40 年；肾上腺素自动注射器超效期后至少 36 个月仍保留 &gt;90% 剂量；纳洛酮超效期 ≥19 个月仍保留 &gt;100% 有效成分；</w:t>
      </w:r>
      <w:r>
        <w:rPr>
          <w:rFonts w:ascii="Times New Roman" w:hAnsi="Times New Roman" w:eastAsia="宋体"/>
          <w:b/>
          <w:color w:val="1A1A1A"/>
          <w:sz w:val="21"/>
        </w:rPr>
        <w:t>"未见有害降解产物的证据"</w:t>
      </w:r>
      <w:r>
        <w:rPr>
          <w:rFonts w:ascii="Times New Roman" w:hAnsi="Times New Roman" w:eastAsia="宋体"/>
          <w:b w:val="0"/>
          <w:color w:val="1A1A1A"/>
          <w:sz w:val="21"/>
        </w:rPr>
        <w:t>；结论原文："Harm from toxic degradation byproducts has rarely been associated with use of expired medications (e.g., few reports about specific tetracycline byproducts)"——有毒降解产物的危害与超效期用药的关联极少，特例为四环素类</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过期抗生素综述</w:t>
      </w:r>
      <w:r>
        <w:rPr>
          <w:rFonts w:ascii="Times New Roman" w:hAnsi="Times New Roman" w:eastAsia="宋体"/>
          <w:b w:val="0"/>
          <w:color w:val="1A1A1A"/>
          <w:sz w:val="21"/>
        </w:rPr>
        <w:t>（全文已读）：大多数固体口服制剂（片剂/粉剂）在正确贮藏条件下超效期至少 1 年内可安全使用；SLEP 数据显示 758 个抗生素批次平均延长 120 个月（4–564 个月）；</w:t>
      </w:r>
      <w:r>
        <w:rPr>
          <w:rFonts w:ascii="Times New Roman" w:hAnsi="Times New Roman" w:eastAsia="宋体"/>
          <w:b/>
          <w:color w:val="1A1A1A"/>
          <w:sz w:val="21"/>
        </w:rPr>
        <w:t>风险分层明确</w:t>
      </w:r>
      <w:r>
        <w:rPr>
          <w:rFonts w:ascii="Times New Roman" w:hAnsi="Times New Roman" w:eastAsia="宋体"/>
          <w:b w:val="0"/>
          <w:color w:val="1A1A1A"/>
          <w:sz w:val="21"/>
        </w:rPr>
        <w:t>——溶液/混悬剂稳定性低于固体剂型，变色、沉淀、结晶为不可使用的信号；口服儿科糖浆超效期存在疗效下降、耐药与治疗失败风险</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历史毒性特例（不可外推）</w:t>
      </w:r>
      <w:r>
        <w:rPr>
          <w:rFonts w:ascii="Times New Roman" w:hAnsi="Times New Roman" w:eastAsia="宋体"/>
          <w:b w:val="0"/>
          <w:color w:val="1A1A1A"/>
          <w:sz w:val="21"/>
        </w:rPr>
        <w:t>：1960–1980 年代报告了服用</w:t>
      </w:r>
      <w:r>
        <w:rPr>
          <w:rFonts w:ascii="Times New Roman" w:hAnsi="Times New Roman" w:eastAsia="宋体"/>
          <w:b/>
          <w:color w:val="1A1A1A"/>
          <w:sz w:val="21"/>
        </w:rPr>
        <w:t>降解四环素</w:t>
      </w:r>
      <w:r>
        <w:rPr>
          <w:rFonts w:ascii="Times New Roman" w:hAnsi="Times New Roman" w:eastAsia="宋体"/>
          <w:b w:val="0"/>
          <w:color w:val="1A1A1A"/>
          <w:sz w:val="21"/>
        </w:rPr>
        <w:t>后发生可逆性 Fanconi 综合征（肾小管功能障碍、低尿酸血症、低钾血症、代谢性酸中毒）的病例，归因于降解产物（差向脱水四环素等），症状在服药后 2–8 天出现</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vertAlign w:val="superscript"/>
        </w:rPr>
        <w:t>[24]</w:t>
      </w:r>
      <w:r>
        <w:rPr>
          <w:rFonts w:ascii="Times New Roman" w:hAnsi="Times New Roman" w:eastAsia="宋体"/>
          <w:b w:val="0"/>
          <w:color w:val="1A1A1A"/>
          <w:sz w:val="21"/>
          <w:vertAlign w:val="superscript"/>
        </w:rPr>
        <w:t>[25]</w:t>
      </w:r>
      <w:r>
        <w:rPr>
          <w:rFonts w:ascii="Times New Roman" w:hAnsi="Times New Roman" w:eastAsia="宋体"/>
          <w:b w:val="0"/>
          <w:color w:val="1A1A1A"/>
          <w:sz w:val="21"/>
          <w:vertAlign w:val="superscript"/>
        </w:rPr>
        <w:t>[27]</w:t>
      </w:r>
      <w:r>
        <w:rPr>
          <w:rFonts w:ascii="Times New Roman" w:hAnsi="Times New Roman" w:eastAsia="宋体"/>
          <w:b w:val="0"/>
          <w:color w:val="1A1A1A"/>
          <w:sz w:val="21"/>
          <w:vertAlign w:val="superscript"/>
        </w:rPr>
        <w:t>[28]</w:t>
      </w:r>
      <w:r>
        <w:rPr>
          <w:rFonts w:ascii="Times New Roman" w:hAnsi="Times New Roman" w:eastAsia="宋体"/>
          <w:b w:val="0"/>
          <w:color w:val="1A1A1A"/>
          <w:sz w:val="21"/>
          <w:vertAlign w:val="superscript"/>
        </w:rPr>
        <w:t>[29]</w:t>
      </w:r>
      <w:r>
        <w:rPr>
          <w:rFonts w:ascii="Times New Roman" w:hAnsi="Times New Roman" w:eastAsia="宋体"/>
          <w:b w:val="0"/>
          <w:color w:val="1A1A1A"/>
          <w:sz w:val="21"/>
          <w:vertAlign w:val="superscript"/>
        </w:rPr>
        <w:t>[30]</w:t>
      </w:r>
      <w:r>
        <w:rPr>
          <w:rFonts w:ascii="Times New Roman" w:hAnsi="Times New Roman" w:eastAsia="宋体"/>
          <w:b w:val="0"/>
          <w:color w:val="1A1A1A"/>
          <w:sz w:val="21"/>
        </w:rPr>
        <w:t>；动物实验证实四环素降解产物的肾毒性</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w:t>
      </w:r>
      <w:r>
        <w:rPr>
          <w:rFonts w:ascii="Times New Roman" w:hAnsi="Times New Roman" w:eastAsia="宋体"/>
          <w:b/>
          <w:color w:val="1A1A1A"/>
          <w:sz w:val="21"/>
        </w:rPr>
        <w:t>该毒性为四环素类特异性、历史性（近期无新病例报告</w:t>
      </w:r>
      <w:r>
        <w:rPr>
          <w:rFonts w:ascii="Times New Roman" w:hAnsi="Times New Roman" w:eastAsia="宋体"/>
          <w:b/>
          <w:color w:val="1A1A1A"/>
          <w:sz w:val="21"/>
          <w:vertAlign w:val="superscript"/>
        </w:rPr>
        <w:t>[22]</w:t>
      </w:r>
      <w:r>
        <w:rPr>
          <w:rFonts w:ascii="Times New Roman" w:hAnsi="Times New Roman" w:eastAsia="宋体"/>
          <w:b/>
          <w:color w:val="1A1A1A"/>
          <w:sz w:val="21"/>
        </w:rPr>
        <w:t>），与本品（含冰片滴丸）无任何组分或机制关联，不得外推。</w:t>
      </w:r>
    </w:p>
    <w:p>
      <w:pPr>
        <w:spacing w:after="120" w:before="0" w:line="348" w:lineRule="auto"/>
      </w:pPr>
      <w:r>
        <w:rPr>
          <w:rFonts w:ascii="Times New Roman" w:hAnsi="Times New Roman" w:eastAsia="宋体"/>
          <w:b/>
          <w:color w:val="1A1A1A"/>
          <w:sz w:val="21"/>
        </w:rPr>
        <w:t>本品（含冰片中成药）超效期实测</w:t>
      </w:r>
      <w:r>
        <w:rPr>
          <w:rFonts w:ascii="Times New Roman" w:hAnsi="Times New Roman" w:eastAsia="宋体"/>
          <w:b w:val="0"/>
          <w:color w:val="1A1A1A"/>
          <w:sz w:val="21"/>
        </w:rPr>
        <w:t>：检索范围内未检索到针对速效救心丸或同类含冰片滴丸的超效期样品实测数据（含量、效价、降解产物、微生物负载、挥发性成分损失均零命中）。冰片为挥发性成分，其长期存放挥发性损失属于</w:t>
      </w:r>
      <w:r>
        <w:rPr>
          <w:rFonts w:ascii="Times New Roman" w:hAnsi="Times New Roman" w:eastAsia="宋体"/>
          <w:b/>
          <w:color w:val="1A1A1A"/>
          <w:sz w:val="21"/>
        </w:rPr>
        <w:t>机制推断</w:t>
      </w:r>
      <w:r>
        <w:rPr>
          <w:rFonts w:ascii="Times New Roman" w:hAnsi="Times New Roman" w:eastAsia="宋体"/>
          <w:b w:val="0"/>
          <w:color w:val="1A1A1A"/>
          <w:sz w:val="21"/>
        </w:rPr>
        <w:t>（含冰片制剂的含量测定方法学与质量控制研究存在</w:t>
      </w:r>
      <w:r>
        <w:rPr>
          <w:rFonts w:ascii="Times New Roman" w:hAnsi="Times New Roman" w:eastAsia="宋体"/>
          <w:b w:val="0"/>
          <w:color w:val="1A1A1A"/>
          <w:sz w:val="21"/>
          <w:vertAlign w:val="superscript"/>
        </w:rPr>
        <w:t>[42]</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），不是本品超效期实测数据。</w:t>
      </w:r>
    </w:p>
    <w:p>
      <w:pPr>
        <w:spacing w:after="120" w:before="0" w:line="348" w:lineRule="auto"/>
      </w:pPr>
      <w:r>
        <w:rPr>
          <w:rFonts w:ascii="Times New Roman" w:hAnsi="Times New Roman" w:eastAsia="宋体"/>
          <w:b/>
          <w:color w:val="1A1A1A"/>
          <w:sz w:val="21"/>
        </w:rPr>
        <w:t>"服用过期药会中毒"命题判定</w:t>
      </w:r>
      <w:r>
        <w:rPr>
          <w:rFonts w:ascii="Times New Roman" w:hAnsi="Times New Roman" w:eastAsia="宋体"/>
          <w:b w:val="0"/>
          <w:color w:val="1A1A1A"/>
          <w:sz w:val="21"/>
        </w:rPr>
        <w:t>：</w:t>
      </w:r>
      <w:r>
        <w:rPr>
          <w:rFonts w:ascii="Times New Roman" w:hAnsi="Times New Roman" w:eastAsia="宋体"/>
          <w:b/>
          <w:color w:val="1A1A1A"/>
          <w:sz w:val="21"/>
        </w:rPr>
        <w:t>无证据支持（未检索到超效期毒性证据）</w:t>
      </w:r>
      <w:r>
        <w:rPr>
          <w:rFonts w:ascii="Times New Roman" w:hAnsi="Times New Roman" w:eastAsia="宋体"/>
          <w:b w:val="0"/>
          <w:color w:val="1A1A1A"/>
          <w:sz w:val="21"/>
        </w:rPr>
        <w:t>。命题 A 不成立。可证实的风险只有两类，须分别陈述：</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治疗失败型风险</w:t>
      </w:r>
      <w:r>
        <w:rPr>
          <w:rFonts w:ascii="Times New Roman" w:hAnsi="Times New Roman" w:eastAsia="宋体"/>
          <w:b w:val="0"/>
          <w:color w:val="1A1A1A"/>
          <w:sz w:val="21"/>
        </w:rPr>
        <w:t>（效价不足导致缓解不足）：对急性舌下含服自救药，这意味着需要时可能得不到预期缓解。</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毒性损害型风险</w:t>
      </w:r>
      <w:r>
        <w:rPr>
          <w:rFonts w:ascii="Times New Roman" w:hAnsi="Times New Roman" w:eastAsia="宋体"/>
          <w:b w:val="0"/>
          <w:color w:val="1A1A1A"/>
          <w:sz w:val="21"/>
        </w:rPr>
        <w:t>：无实测、无监测记录、无可定位病例报告（本品）；历史特例为四环素类，不得并入本品结论。</w:t>
      </w:r>
    </w:p>
    <w:p>
      <w:pPr>
        <w:spacing w:after="100" w:before="240" w:line="300" w:lineRule="auto"/>
      </w:pPr>
      <w:r>
        <w:rPr>
          <w:rFonts w:ascii="Times New Roman" w:hAnsi="Times New Roman" w:eastAsia="黑体"/>
          <w:b/>
          <w:color w:val="1A1A1A"/>
          <w:sz w:val="23"/>
        </w:rPr>
        <w:t>3.3 问题三：急性含服场景的临床含义与家庭药箱数据</w:t>
      </w:r>
    </w:p>
    <w:p>
      <w:pPr>
        <w:spacing w:after="120" w:before="0" w:line="348" w:lineRule="auto"/>
        <w:ind w:firstLine="420"/>
      </w:pPr>
      <w:r>
        <w:rPr>
          <w:rFonts w:ascii="Times New Roman" w:hAnsi="Times New Roman" w:eastAsia="宋体"/>
          <w:b w:val="0"/>
          <w:color w:val="1A1A1A"/>
          <w:sz w:val="21"/>
        </w:rPr>
        <w:t>本品用法为急性发作时舌下含服（说明书注意事项：心绞痛持续发作宜加用硝酸酯类药</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）。在此场景下，</w:t>
      </w:r>
      <w:r>
        <w:rPr>
          <w:rFonts w:ascii="Times New Roman" w:hAnsi="Times New Roman" w:eastAsia="宋体"/>
          <w:b/>
          <w:color w:val="1A1A1A"/>
          <w:sz w:val="21"/>
        </w:rPr>
        <w:t>效价不确定的后果是"需要时缓解不足"型风险</w:t>
      </w:r>
      <w:r>
        <w:rPr>
          <w:rFonts w:ascii="Times New Roman" w:hAnsi="Times New Roman" w:eastAsia="宋体"/>
          <w:b w:val="0"/>
          <w:color w:val="1A1A1A"/>
          <w:sz w:val="21"/>
        </w:rPr>
        <w:t>，与慢性长期用药的"疗效渐进衰减"型风险临床含义不同：前者是突发自救场景下的一次性失败，可能延误升级处置（如加用硝酸酯、呼叫急救）；后者是可监测、可调整疗程的渐进性问题。机制背景：硝酸甘油舌下片的物理稳定性研究显示，密闭容器室温贮存时效价损失最小，常规开瓶也不致显著损失</w:t>
      </w:r>
      <w:r>
        <w:rPr>
          <w:rFonts w:ascii="Times New Roman" w:hAnsi="Times New Roman" w:eastAsia="宋体"/>
          <w:b w:val="0"/>
          <w:color w:val="1A1A1A"/>
          <w:sz w:val="21"/>
          <w:vertAlign w:val="superscript"/>
        </w:rPr>
        <w:t>[31]</w:t>
      </w:r>
      <w:r>
        <w:rPr>
          <w:rFonts w:ascii="Times New Roman" w:hAnsi="Times New Roman" w:eastAsia="宋体"/>
          <w:b w:val="0"/>
          <w:color w:val="1A1A1A"/>
          <w:sz w:val="21"/>
        </w:rPr>
        <w:t>——正确贮藏是效价保持的关键前提；本品说明书要求密封、阴凉干燥（≤20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家庭药箱观察性数据（摘要层）</w:t>
      </w:r>
      <w:r>
        <w:rPr>
          <w:rFonts w:ascii="Times New Roman" w:hAnsi="Times New Roman" w:eastAsia="宋体"/>
          <w:b w:val="0"/>
          <w:color w:val="1A1A1A"/>
          <w:sz w:val="21"/>
        </w:rPr>
        <w:t>：以家庭储药与过期药品处置为结局的横断面调查存在且结论一致——储药普遍、清理不主动、处置随意：</w:t>
      </w:r>
    </w:p>
    <w:p>
      <w:pPr>
        <w:spacing w:after="60" w:before="0" w:line="336" w:lineRule="auto"/>
        <w:ind w:left="340"/>
      </w:pPr>
      <w:r>
        <w:rPr>
          <w:rFonts w:ascii="Times New Roman" w:hAnsi="Times New Roman" w:eastAsia="宋体"/>
          <w:b w:val="0"/>
          <w:color w:val="1A1A1A"/>
          <w:sz w:val="21"/>
        </w:rPr>
        <w:t>· 贵阳市 315 人（2021）：72.4% 有储药习惯，17.1% 从不清理，80.3% 将过期药扔垃圾桶，仅 19.7% 知道可回收，27.3% 附近有回收点</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嘉善县 210 人（2021）：74.3% 直接扔掉，18.5% 知道危害，20.5% 知道回收点</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重庆市 6 城区 1 683 户（2018）：83.72% 有储药习惯，91.75% 处置方式随意</w:t>
      </w:r>
      <w:r>
        <w:rPr>
          <w:rFonts w:ascii="Times New Roman" w:hAnsi="Times New Roman" w:eastAsia="宋体"/>
          <w:b w:val="0"/>
          <w:color w:val="1A1A1A"/>
          <w:sz w:val="21"/>
          <w:vertAlign w:val="superscript"/>
        </w:rPr>
        <w:t>[34]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河南郑州新乡农村 500 人（2014）</w:t>
      </w:r>
      <w:r>
        <w:rPr>
          <w:rFonts w:ascii="Times New Roman" w:hAnsi="Times New Roman" w:eastAsia="宋体"/>
          <w:b w:val="0"/>
          <w:color w:val="1A1A1A"/>
          <w:sz w:val="21"/>
          <w:vertAlign w:val="superscript"/>
        </w:rPr>
        <w:t>[35]</w:t>
      </w:r>
      <w:r>
        <w:rPr>
          <w:rFonts w:ascii="Times New Roman" w:hAnsi="Times New Roman" w:eastAsia="宋体"/>
          <w:b w:val="0"/>
          <w:color w:val="1A1A1A"/>
          <w:sz w:val="21"/>
        </w:rPr>
        <w:t>、广东多市（2013）</w:t>
      </w:r>
      <w:r>
        <w:rPr>
          <w:rFonts w:ascii="Times New Roman" w:hAnsi="Times New Roman" w:eastAsia="宋体"/>
          <w:b w:val="0"/>
          <w:color w:val="1A1A1A"/>
          <w:sz w:val="21"/>
          <w:vertAlign w:val="superscript"/>
        </w:rPr>
        <w:t>[36]</w:t>
      </w:r>
      <w:r>
        <w:rPr>
          <w:rFonts w:ascii="Times New Roman" w:hAnsi="Times New Roman" w:eastAsia="宋体"/>
          <w:b w:val="0"/>
          <w:color w:val="1A1A1A"/>
          <w:sz w:val="21"/>
        </w:rPr>
        <w:t>、郴州（2018，80.8% 处置方式不正确）</w:t>
      </w:r>
      <w:r>
        <w:rPr>
          <w:rFonts w:ascii="Times New Roman" w:hAnsi="Times New Roman" w:eastAsia="宋体"/>
          <w:b w:val="0"/>
          <w:color w:val="1A1A1A"/>
          <w:sz w:val="21"/>
          <w:vertAlign w:val="superscript"/>
        </w:rPr>
        <w:t>[37]</w:t>
      </w:r>
      <w:r>
        <w:rPr>
          <w:rFonts w:ascii="Times New Roman" w:hAnsi="Times New Roman" w:eastAsia="宋体"/>
          <w:b w:val="0"/>
          <w:color w:val="1A1A1A"/>
          <w:sz w:val="21"/>
        </w:rPr>
        <w:t>、苏州（2015）</w:t>
      </w:r>
      <w:r>
        <w:rPr>
          <w:rFonts w:ascii="Times New Roman" w:hAnsi="Times New Roman" w:eastAsia="宋体"/>
          <w:b w:val="0"/>
          <w:color w:val="1A1A1A"/>
          <w:sz w:val="21"/>
          <w:vertAlign w:val="superscript"/>
        </w:rPr>
        <w:t>[38]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2010 年网络调查：78.6% 家庭存有备用药品，30%–40% 超有效期 3 年以上，82.8% 无定期清理习惯（网络调查，证据层级最低）</w:t>
      </w:r>
      <w:r>
        <w:rPr>
          <w:rFonts w:ascii="Times New Roman" w:hAnsi="Times New Roman" w:eastAsia="宋体"/>
          <w:b w:val="0"/>
          <w:color w:val="1A1A1A"/>
          <w:sz w:val="21"/>
          <w:vertAlign w:val="superscript"/>
        </w:rPr>
        <w:t>[39]</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未检索到以"需要时药品失效／不可用"为结局的研究</w:t>
      </w:r>
      <w:r>
        <w:rPr>
          <w:rFonts w:ascii="Times New Roman" w:hAnsi="Times New Roman" w:eastAsia="宋体"/>
          <w:b w:val="0"/>
          <w:color w:val="1A1A1A"/>
          <w:sz w:val="21"/>
        </w:rPr>
        <w:t>；现有数据可支撑的结论是：家庭药箱中过期药品比例高、清理机制缺失，急性含服药（含速效救心丸）若久置不用，存在"需要时才发现超效期"的现实场景。</w:t>
      </w:r>
    </w:p>
    <w:p>
      <w:pPr>
        <w:spacing w:after="100" w:before="240" w:line="300" w:lineRule="auto"/>
      </w:pPr>
      <w:r>
        <w:rPr>
          <w:rFonts w:ascii="Times New Roman" w:hAnsi="Times New Roman" w:eastAsia="黑体"/>
          <w:b/>
          <w:color w:val="1A1A1A"/>
          <w:sz w:val="23"/>
        </w:rPr>
        <w:t>3.4 问题四：法规定性、危险废物归类与回收指引出处（命题 C）</w:t>
      </w:r>
    </w:p>
    <w:p>
      <w:pPr>
        <w:spacing w:after="120" w:before="0" w:line="348" w:lineRule="auto"/>
      </w:pPr>
      <w:r>
        <w:rPr>
          <w:rFonts w:ascii="Times New Roman" w:hAnsi="Times New Roman" w:eastAsia="宋体"/>
          <w:b/>
          <w:color w:val="1A1A1A"/>
          <w:sz w:val="21"/>
        </w:rPr>
        <w:t>劣药定性（命题 B 的法规依据）</w:t>
      </w:r>
      <w:r>
        <w:rPr>
          <w:rFonts w:ascii="Times New Roman" w:hAnsi="Times New Roman" w:eastAsia="宋体"/>
          <w:b w:val="0"/>
          <w:color w:val="1A1A1A"/>
          <w:sz w:val="21"/>
        </w:rPr>
        <w:t>：《中华人民共和国药品管理法》（2019 年修订）第九十八条第一款："禁止生产（包括配制，下同）、销售、使用假药、劣药。"第三款："有下列情形之一的，为劣药：……（五）超过有效期的药品；"</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r>
        <w:rPr>
          <w:rFonts w:ascii="Times New Roman" w:hAnsi="Times New Roman" w:eastAsia="宋体"/>
          <w:b/>
          <w:color w:val="1A1A1A"/>
          <w:sz w:val="21"/>
        </w:rPr>
        <w:t>约束对象</w:t>
      </w:r>
      <w:r>
        <w:rPr>
          <w:rFonts w:ascii="Times New Roman" w:hAnsi="Times New Roman" w:eastAsia="宋体"/>
          <w:b w:val="0"/>
          <w:color w:val="1A1A1A"/>
          <w:sz w:val="21"/>
        </w:rPr>
        <w:t>：该禁止性规定及相应罚则（如第一百一十七条对生产、销售劣药的处罚</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）适用于生产、经营、使用环节主体——官方监管口径与行政处罚案例均指向药品经营企业、医疗机构（如药店销售过期药、医疗机构使用过期药被处罚的案例</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）；药监部门的工作部署亦以"经营使用环节"为对象</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w:t>
      </w:r>
      <w:r>
        <w:rPr>
          <w:rFonts w:ascii="Times New Roman" w:hAnsi="Times New Roman" w:eastAsia="宋体"/>
          <w:b/>
          <w:color w:val="1A1A1A"/>
          <w:sz w:val="21"/>
        </w:rPr>
        <w:t>个人自持自用自己家庭药箱中的过期药品，未检索到相应罚则</w:t>
      </w:r>
      <w:r>
        <w:rPr>
          <w:rFonts w:ascii="Times New Roman" w:hAnsi="Times New Roman" w:eastAsia="宋体"/>
          <w:b w:val="0"/>
          <w:color w:val="1A1A1A"/>
          <w:sz w:val="21"/>
        </w:rPr>
        <w:t>；但官方科普口径不主张继续使用——国家药监局对家庭过期药品的回应是"按生活垃圾分类处理"</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生活垃圾分类与危险废物归类</w:t>
      </w:r>
      <w:r>
        <w:rPr>
          <w:rFonts w:ascii="Times New Roman" w:hAnsi="Times New Roman" w:eastAsia="宋体"/>
          <w:b w:val="0"/>
          <w:color w:val="1A1A1A"/>
          <w:sz w:val="21"/>
        </w:rPr>
        <w:t>：国办发〔2017〕26 号《生活垃圾分类制度实施方案》建立有害垃圾等分类制度</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；地方实施规范明确废弃药品药具及其包装物为有害垃圾类别</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。《国家危险废物名录（2021 年版）》将废药物、药品列为危险废物（HW03，900-002-03）</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；其附录《危险废物豁免管理清单》规定：</w:t>
      </w:r>
      <w:r>
        <w:rPr>
          <w:rFonts w:ascii="Times New Roman" w:hAnsi="Times New Roman" w:eastAsia="宋体"/>
          <w:b/>
          <w:color w:val="1A1A1A"/>
          <w:sz w:val="21"/>
        </w:rPr>
        <w:t>家庭日常生活或者为日常生活提供服务的活动中产生的废药品，属于生活垃圾中的危险废物；未集中收集的，可不按危险废物管理、按照生活垃圾处理</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r>
        <w:rPr>
          <w:rFonts w:ascii="Times New Roman" w:hAnsi="Times New Roman" w:eastAsia="宋体"/>
          <w:b/>
          <w:color w:val="1A1A1A"/>
          <w:sz w:val="21"/>
        </w:rPr>
        <w:t>豁免前提是"未集中收集"</w:t>
      </w:r>
      <w:r>
        <w:rPr>
          <w:rFonts w:ascii="Times New Roman" w:hAnsi="Times New Roman" w:eastAsia="宋体"/>
          <w:b w:val="0"/>
          <w:color w:val="1A1A1A"/>
          <w:sz w:val="21"/>
        </w:rPr>
        <w:t>——一旦进入集中收集（如回收箱、环卫有害垃圾收运体系），则按相应管理体系处理。注：有地方文件提及《国家危险废物名录（2025 年版）》</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，名录版本以生态环境部现行发布文本为准，属待人工核验项。</w:t>
      </w:r>
    </w:p>
    <w:p>
      <w:pPr>
        <w:spacing w:after="120" w:before="0" w:line="348" w:lineRule="auto"/>
      </w:pPr>
      <w:r>
        <w:rPr>
          <w:rFonts w:ascii="Times New Roman" w:hAnsi="Times New Roman" w:eastAsia="宋体"/>
          <w:b/>
          <w:color w:val="1A1A1A"/>
          <w:sz w:val="21"/>
        </w:rPr>
        <w:t>"投入过期药品回收箱"指引的出处与性质（命题 C）</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企业公益活动</w:t>
      </w:r>
      <w:r>
        <w:rPr>
          <w:rFonts w:ascii="Times New Roman" w:hAnsi="Times New Roman" w:eastAsia="宋体"/>
          <w:b w:val="0"/>
          <w:color w:val="1A1A1A"/>
          <w:sz w:val="21"/>
        </w:rPr>
        <w:t>：广药白云山"家庭过期药品回收"公益项目自 2004 年起持续开展（2021 年海口市政府门户记载为第十八年</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），以指定药房门店为回收点，属企业自愿履行社会责任的活动，非全国法定义务</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[44]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地方政府组织的定点回收</w:t>
      </w:r>
      <w:r>
        <w:rPr>
          <w:rFonts w:ascii="Times New Roman" w:hAnsi="Times New Roman" w:eastAsia="宋体"/>
          <w:b w:val="0"/>
          <w:color w:val="1A1A1A"/>
          <w:sz w:val="21"/>
        </w:rPr>
        <w:t>：多个市、县药监部门发布定点回收公告并指定门店（如 2024 年乌海市海南区首批 5 家定点药店</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、2026 年鄱阳县 29 个定点回收门店</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、2026 年晋城市全市定点回收启动</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），属地方性工作安排，覆盖范围以公告门店为准。</w:t>
      </w:r>
    </w:p>
    <w:p>
      <w:pPr>
        <w:spacing w:after="60" w:before="0" w:line="336" w:lineRule="auto"/>
        <w:ind w:left="340"/>
      </w:pPr>
      <w:r>
        <w:rPr>
          <w:rFonts w:ascii="Times New Roman" w:hAnsi="Times New Roman" w:eastAsia="宋体"/>
          <w:b w:val="0"/>
          <w:color w:val="1A1A1A"/>
          <w:sz w:val="21"/>
        </w:rPr>
        <w:t>· 全国层面：生态环境部在人大建议答复中确认的工作内容是宣传引导、回收志愿服务、医疗机构走访等，</w:t>
      </w:r>
      <w:r>
        <w:rPr>
          <w:rFonts w:ascii="Times New Roman" w:hAnsi="Times New Roman" w:eastAsia="宋体"/>
          <w:b/>
          <w:color w:val="1A1A1A"/>
          <w:sz w:val="21"/>
        </w:rPr>
        <w:t>未建立全国统一的法定家庭过期药品回收体系</w:t>
      </w:r>
      <w:r>
        <w:rPr>
          <w:rFonts w:ascii="Times New Roman" w:hAnsi="Times New Roman" w:eastAsia="宋体"/>
          <w:b w:val="0"/>
          <w:color w:val="1A1A1A"/>
          <w:sz w:val="21"/>
          <w:vertAlign w:val="superscript"/>
        </w:rPr>
        <w:t>[42]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可及性</w:t>
      </w:r>
      <w:r>
        <w:rPr>
          <w:rFonts w:ascii="Times New Roman" w:hAnsi="Times New Roman" w:eastAsia="宋体"/>
          <w:b w:val="0"/>
          <w:color w:val="1A1A1A"/>
          <w:sz w:val="21"/>
        </w:rPr>
        <w:t>：横断面调查显示知晓率与可及性低（贵阳 19.7% 知晓可回收、27.3% 附近有回收点</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；嘉善 20.5% 知晓回收点</w:t>
      </w:r>
      <w:r>
        <w:rPr>
          <w:rFonts w:ascii="Times New Roman" w:hAnsi="Times New Roman" w:eastAsia="宋体"/>
          <w:b w:val="0"/>
          <w:color w:val="1A1A1A"/>
          <w:sz w:val="21"/>
          <w:vertAlign w:val="superscript"/>
        </w:rPr>
        <w:t>[33]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无可及回收点时的替代表述（有出处）</w:t>
      </w:r>
      <w:r>
        <w:rPr>
          <w:rFonts w:ascii="Times New Roman" w:hAnsi="Times New Roman" w:eastAsia="宋体"/>
          <w:b w:val="0"/>
          <w:color w:val="1A1A1A"/>
          <w:sz w:val="21"/>
        </w:rPr>
        <w:t>：按有害垃圾投放至生活垃圾分类收集体系，由环卫部门统一处理——依据《国家危险废物名录（2021 年版）》豁免清单与国家药监局回应</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3.5 问题五：以内容正确性为终点的健康信息质量评价与两项 KPI（命题 E）</w:t>
      </w:r>
    </w:p>
    <w:p>
      <w:pPr>
        <w:spacing w:after="120" w:before="0" w:line="348" w:lineRule="auto"/>
        <w:ind w:firstLine="420"/>
      </w:pPr>
      <w:r>
        <w:rPr>
          <w:rFonts w:ascii="Times New Roman" w:hAnsi="Times New Roman" w:eastAsia="宋体"/>
          <w:b w:val="0"/>
          <w:color w:val="1A1A1A"/>
          <w:sz w:val="21"/>
        </w:rPr>
        <w:t>以内容正确性／质量为终点的健康信息评价方法学工具存在，如 DISCERN（评价书面消费者健康信息质量，含治疗选择相关内容的可靠性维度）</w:t>
      </w:r>
      <w:r>
        <w:rPr>
          <w:rFonts w:ascii="Times New Roman" w:hAnsi="Times New Roman" w:eastAsia="宋体"/>
          <w:b w:val="0"/>
          <w:color w:val="1A1A1A"/>
          <w:sz w:val="21"/>
          <w:vertAlign w:val="superscript"/>
        </w:rPr>
        <w:t>[40]</w:t>
      </w:r>
      <w:r>
        <w:rPr>
          <w:rFonts w:ascii="Times New Roman" w:hAnsi="Times New Roman" w:eastAsia="宋体"/>
          <w:b w:val="0"/>
          <w:color w:val="1A1A1A"/>
          <w:sz w:val="21"/>
        </w:rPr>
        <w:t>，以及大量以准确度、可读性、质量为终点的内容分析研究（如 2024 年慢性疼痛脊髓刺激网络信息、2025 年儿科氟化物教育 AI 回答等，均为工具应用层）</w:t>
      </w:r>
      <w:r>
        <w:rPr>
          <w:rFonts w:ascii="Times New Roman" w:hAnsi="Times New Roman" w:eastAsia="宋体"/>
          <w:b w:val="0"/>
          <w:color w:val="1A1A1A"/>
          <w:sz w:val="21"/>
          <w:vertAlign w:val="superscript"/>
        </w:rPr>
        <w:t>[45]</w:t>
      </w:r>
      <w:r>
        <w:rPr>
          <w:rFonts w:ascii="Times New Roman" w:hAnsi="Times New Roman" w:eastAsia="宋体"/>
          <w:b w:val="0"/>
          <w:color w:val="1A1A1A"/>
          <w:sz w:val="21"/>
          <w:vertAlign w:val="superscript"/>
        </w:rPr>
        <w:t>[46]</w:t>
      </w:r>
      <w:r>
        <w:rPr>
          <w:rFonts w:ascii="Times New Roman" w:hAnsi="Times New Roman" w:eastAsia="宋体"/>
          <w:b w:val="0"/>
          <w:color w:val="1A1A1A"/>
          <w:sz w:val="21"/>
        </w:rPr>
        <w:t>。</w:t>
      </w:r>
      <w:r>
        <w:rPr>
          <w:rFonts w:ascii="Times New Roman" w:hAnsi="Times New Roman" w:eastAsia="宋体"/>
          <w:b/>
          <w:color w:val="1A1A1A"/>
          <w:sz w:val="21"/>
        </w:rPr>
        <w:t>但未检索到以"安全警告率／处置指引率"这类提及率指标为自变量、以内容正确性为终点并报告两者实证关联的研究</w:t>
      </w:r>
      <w:r>
        <w:rPr>
          <w:rFonts w:ascii="Times New Roman" w:hAnsi="Times New Roman" w:eastAsia="宋体"/>
          <w:b w:val="0"/>
          <w:color w:val="1A1A1A"/>
          <w:sz w:val="21"/>
        </w:rPr>
        <w:t>。两项 KPI 只能作为被评价对象，不能作为质量达标的判据：一条即使被 100% 说出、且给足"正确处置指引"的警告，若其给出的理由不成立（如"会中毒"），仍判内容不正确（见命题 B、A）。</w:t>
      </w:r>
    </w:p>
    <w:p>
      <w:pPr>
        <w:spacing w:after="120" w:before="0" w:line="348" w:lineRule="auto"/>
      </w:pPr>
      <w:r>
        <w:rPr>
          <w:rFonts w:ascii="Times New Roman" w:hAnsi="Times New Roman" w:eastAsia="宋体"/>
          <w:b/>
          <w:color w:val="1A1A1A"/>
          <w:sz w:val="21"/>
        </w:rPr>
        <w:t>替代判据（本报告采用）</w:t>
      </w:r>
      <w:r>
        <w:rPr>
          <w:rFonts w:ascii="Times New Roman" w:hAnsi="Times New Roman" w:eastAsia="宋体"/>
          <w:b w:val="0"/>
          <w:color w:val="1A1A1A"/>
          <w:sz w:val="21"/>
        </w:rPr>
        <w:t>：① 法规条款溯源的完整性；② 风险分层表述的正确性（法规义务／实测数据／健康结局研究三级不互相替代）；③ 处置指引的可执行性（有出处、覆盖范围明示、无回收点替代表述）；④ 错误指引率（以不成立的理由支撑正确结论、或将推断写成实测等）。</w:t>
      </w:r>
    </w:p>
    <w:p>
      <w:pPr>
        <w:spacing w:after="120" w:before="0" w:line="348" w:lineRule="auto"/>
      </w:pPr>
      <w:r>
        <w:rPr>
          <w:rFonts w:ascii="Times New Roman" w:hAnsi="Times New Roman" w:eastAsia="宋体"/>
          <w:b/>
          <w:color w:val="1A1A1A"/>
          <w:sz w:val="21"/>
        </w:rPr>
        <w:t>题库隐含主张逐条判定</w:t>
      </w:r>
      <w:r>
        <w:rPr>
          <w:rFonts w:ascii="Times New Roman" w:hAnsi="Times New Roman" w:eastAsia="宋体"/>
          <w:b w:val="0"/>
          <w:color w:val="1A1A1A"/>
          <w:sz w:val="21"/>
        </w:rPr>
        <w:t>：</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隐含主张</w:t>
            </w:r>
          </w:p>
        </w:tc>
        <w:tc>
          <w:tcPr>
            <w:tcW w:type="dxa" w:w="3097"/>
            <w:tcBorders>
              <w:bottom w:val="single" w:sz="6" w:color="1A1A1A"/>
            </w:tcBorders>
          </w:tcPr>
          <w:p>
            <w:pPr>
              <w:jc w:val="center"/>
            </w:pPr>
            <w:r>
              <w:rPr>
                <w:rFonts w:ascii="Times New Roman" w:hAnsi="Times New Roman" w:eastAsia="宋体"/>
                <w:b/>
                <w:color w:val="1A1A1A"/>
                <w:sz w:val="17"/>
              </w:rPr>
              <w:t>判定</w:t>
            </w:r>
          </w:p>
        </w:tc>
        <w:tc>
          <w:tcPr>
            <w:tcW w:type="dxa" w:w="3097"/>
            <w:tcBorders>
              <w:bottom w:val="single" w:sz="6" w:color="1A1A1A"/>
            </w:tcBorders>
          </w:tcPr>
          <w:p>
            <w:pPr>
              <w:jc w:val="center"/>
            </w:pPr>
            <w:r>
              <w:rPr>
                <w:rFonts w:ascii="Times New Roman" w:hAnsi="Times New Roman" w:eastAsia="宋体"/>
                <w:b/>
                <w:color w:val="1A1A1A"/>
                <w:sz w:val="17"/>
              </w:rPr>
              <w:t>依据</w:t>
            </w:r>
          </w:p>
        </w:tc>
      </w:tr>
      <w:tr>
        <w:tc>
          <w:tcPr>
            <w:tcW w:type="dxa" w:w="3097"/>
          </w:tcPr>
          <w:p>
            <w:r>
              <w:rPr>
                <w:rFonts w:ascii="Times New Roman" w:hAnsi="Times New Roman" w:eastAsia="宋体"/>
                <w:b w:val="0"/>
                <w:color w:val="1A1A1A"/>
                <w:sz w:val="17"/>
              </w:rPr>
              <w:t>"过期即禁止服用"</w:t>
            </w:r>
          </w:p>
        </w:tc>
        <w:tc>
          <w:tcPr>
            <w:tcW w:type="dxa" w:w="3097"/>
          </w:tcPr>
          <w:p>
            <w:r>
              <w:rPr>
                <w:rFonts w:ascii="Times New Roman" w:hAnsi="Times New Roman" w:eastAsia="宋体"/>
                <w:b w:val="0"/>
                <w:color w:val="1A1A1A"/>
                <w:sz w:val="17"/>
              </w:rPr>
              <w:t>支持（法规定性层面）</w:t>
            </w:r>
          </w:p>
        </w:tc>
        <w:tc>
          <w:tcPr>
            <w:tcW w:type="dxa" w:w="3097"/>
          </w:tcPr>
          <w:p>
            <w:r>
              <w:rPr>
                <w:rFonts w:ascii="Times New Roman" w:hAnsi="Times New Roman" w:eastAsia="宋体"/>
                <w:b w:val="0"/>
                <w:color w:val="1A1A1A"/>
                <w:sz w:val="17"/>
                <w:vertAlign w:val="superscript"/>
              </w:rPr>
              <w:t>[1]</w:t>
            </w:r>
            <w:r>
              <w:rPr>
                <w:rFonts w:ascii="Times New Roman" w:hAnsi="Times New Roman" w:eastAsia="宋体"/>
                <w:b w:val="0"/>
                <w:color w:val="1A1A1A"/>
                <w:sz w:val="17"/>
                <w:vertAlign w:val="superscript"/>
              </w:rPr>
              <w:t>[10]</w:t>
            </w:r>
            <w:r>
              <w:rPr>
                <w:rFonts w:ascii="Times New Roman" w:hAnsi="Times New Roman" w:eastAsia="宋体"/>
                <w:b w:val="0"/>
                <w:color w:val="1A1A1A"/>
                <w:sz w:val="17"/>
                <w:vertAlign w:val="superscript"/>
              </w:rPr>
              <w:t>[11]</w:t>
            </w:r>
            <w:r>
              <w:rPr>
                <w:rFonts w:ascii="Times New Roman" w:hAnsi="Times New Roman" w:eastAsia="宋体"/>
                <w:b w:val="0"/>
                <w:color w:val="1A1A1A"/>
                <w:sz w:val="17"/>
                <w:vertAlign w:val="superscript"/>
              </w:rPr>
              <w:t>[12]</w:t>
            </w:r>
            <w:r>
              <w:rPr>
                <w:rFonts w:ascii="Times New Roman" w:hAnsi="Times New Roman" w:eastAsia="宋体"/>
                <w:b w:val="0"/>
                <w:color w:val="1A1A1A"/>
                <w:sz w:val="17"/>
                <w:vertAlign w:val="superscript"/>
              </w:rPr>
              <w:t>[13]</w:t>
            </w:r>
          </w:p>
        </w:tc>
      </w:tr>
      <w:tr>
        <w:tc>
          <w:tcPr>
            <w:tcW w:type="dxa" w:w="3097"/>
          </w:tcPr>
          <w:p>
            <w:r>
              <w:rPr>
                <w:rFonts w:ascii="Times New Roman" w:hAnsi="Times New Roman" w:eastAsia="宋体"/>
                <w:b w:val="0"/>
                <w:color w:val="1A1A1A"/>
                <w:sz w:val="17"/>
              </w:rPr>
              <w:t>"过期药有毒"</w:t>
            </w:r>
          </w:p>
        </w:tc>
        <w:tc>
          <w:tcPr>
            <w:tcW w:type="dxa" w:w="3097"/>
          </w:tcPr>
          <w:p>
            <w:r>
              <w:rPr>
                <w:rFonts w:ascii="Times New Roman" w:hAnsi="Times New Roman" w:eastAsia="宋体"/>
                <w:b w:val="0"/>
                <w:color w:val="1A1A1A"/>
                <w:sz w:val="17"/>
              </w:rPr>
              <w:t>无证据（未检索到本品超效期毒性证据）</w:t>
            </w:r>
          </w:p>
        </w:tc>
        <w:tc>
          <w:tcPr>
            <w:tcW w:type="dxa" w:w="3097"/>
          </w:tcPr>
          <w:p>
            <w:r>
              <w:rPr>
                <w:rFonts w:ascii="Times New Roman" w:hAnsi="Times New Roman" w:eastAsia="宋体"/>
                <w:b w:val="0"/>
                <w:color w:val="1A1A1A"/>
                <w:sz w:val="17"/>
                <w:vertAlign w:val="superscript"/>
              </w:rPr>
              <w:t>[20]</w:t>
            </w:r>
            <w:r>
              <w:rPr>
                <w:rFonts w:ascii="Times New Roman" w:hAnsi="Times New Roman" w:eastAsia="宋体"/>
                <w:b w:val="0"/>
                <w:color w:val="1A1A1A"/>
                <w:sz w:val="17"/>
                <w:vertAlign w:val="superscript"/>
              </w:rPr>
              <w:t>[21]</w:t>
            </w:r>
            <w:r>
              <w:rPr>
                <w:rFonts w:ascii="Times New Roman" w:hAnsi="Times New Roman" w:eastAsia="宋体"/>
                <w:b w:val="0"/>
                <w:color w:val="1A1A1A"/>
                <w:sz w:val="17"/>
                <w:vertAlign w:val="superscript"/>
              </w:rPr>
              <w:t>[22]</w:t>
            </w:r>
            <w:r>
              <w:rPr>
                <w:rFonts w:ascii="Times New Roman" w:hAnsi="Times New Roman" w:eastAsia="宋体"/>
                <w:b w:val="0"/>
                <w:color w:val="1A1A1A"/>
                <w:sz w:val="17"/>
                <w:vertAlign w:val="superscript"/>
              </w:rPr>
              <w:t>[23]</w:t>
            </w:r>
            <w:r>
              <w:rPr>
                <w:rFonts w:ascii="Times New Roman" w:hAnsi="Times New Roman" w:eastAsia="宋体"/>
                <w:b w:val="0"/>
                <w:color w:val="1A1A1A"/>
                <w:sz w:val="17"/>
                <w:vertAlign w:val="superscript"/>
              </w:rPr>
              <w:t>[24]</w:t>
            </w:r>
            <w:r>
              <w:rPr>
                <w:rFonts w:ascii="Times New Roman" w:hAnsi="Times New Roman" w:eastAsia="宋体"/>
                <w:b w:val="0"/>
                <w:color w:val="1A1A1A"/>
                <w:sz w:val="17"/>
                <w:vertAlign w:val="superscript"/>
              </w:rPr>
              <w:t>[25]</w:t>
            </w:r>
            <w:r>
              <w:rPr>
                <w:rFonts w:ascii="Times New Roman" w:hAnsi="Times New Roman" w:eastAsia="宋体"/>
                <w:b w:val="0"/>
                <w:color w:val="1A1A1A"/>
                <w:sz w:val="17"/>
                <w:vertAlign w:val="superscript"/>
              </w:rPr>
              <w:t>[26]</w:t>
            </w:r>
          </w:p>
        </w:tc>
      </w:tr>
      <w:tr>
        <w:tc>
          <w:tcPr>
            <w:tcW w:type="dxa" w:w="3097"/>
          </w:tcPr>
          <w:p>
            <w:r>
              <w:rPr>
                <w:rFonts w:ascii="Times New Roman" w:hAnsi="Times New Roman" w:eastAsia="宋体"/>
                <w:b w:val="0"/>
                <w:color w:val="1A1A1A"/>
                <w:sz w:val="17"/>
              </w:rPr>
              <w:t>"回收箱是正确去向"</w:t>
            </w:r>
          </w:p>
        </w:tc>
        <w:tc>
          <w:tcPr>
            <w:tcW w:type="dxa" w:w="3097"/>
          </w:tcPr>
          <w:p>
            <w:r>
              <w:rPr>
                <w:rFonts w:ascii="Times New Roman" w:hAnsi="Times New Roman" w:eastAsia="宋体"/>
                <w:b w:val="0"/>
                <w:color w:val="1A1A1A"/>
                <w:sz w:val="17"/>
              </w:rPr>
              <w:t>部分支持（有出处、非全国法定义务、覆盖不全，须附替代表述）</w:t>
            </w:r>
          </w:p>
        </w:tc>
        <w:tc>
          <w:tcPr>
            <w:tcW w:type="dxa" w:w="3097"/>
          </w:tcPr>
          <w:p>
            <w:r>
              <w:rPr>
                <w:rFonts w:ascii="Times New Roman" w:hAnsi="Times New Roman" w:eastAsia="宋体"/>
                <w:b w:val="0"/>
                <w:color w:val="1A1A1A"/>
                <w:sz w:val="17"/>
                <w:vertAlign w:val="superscript"/>
              </w:rPr>
              <w:t>[5]</w:t>
            </w:r>
            <w:r>
              <w:rPr>
                <w:rFonts w:ascii="Times New Roman" w:hAnsi="Times New Roman" w:eastAsia="宋体"/>
                <w:b w:val="0"/>
                <w:color w:val="1A1A1A"/>
                <w:sz w:val="17"/>
                <w:vertAlign w:val="superscript"/>
              </w:rPr>
              <w:t>[6]</w:t>
            </w:r>
            <w:r>
              <w:rPr>
                <w:rFonts w:ascii="Times New Roman" w:hAnsi="Times New Roman" w:eastAsia="宋体"/>
                <w:b w:val="0"/>
                <w:color w:val="1A1A1A"/>
                <w:sz w:val="17"/>
                <w:vertAlign w:val="superscript"/>
              </w:rPr>
              <w:t>[7]</w:t>
            </w:r>
            <w:r>
              <w:rPr>
                <w:rFonts w:ascii="Times New Roman" w:hAnsi="Times New Roman" w:eastAsia="宋体"/>
                <w:b w:val="0"/>
                <w:color w:val="1A1A1A"/>
                <w:sz w:val="17"/>
                <w:vertAlign w:val="superscript"/>
              </w:rPr>
              <w:t>[14]</w:t>
            </w:r>
            <w:r>
              <w:rPr>
                <w:rFonts w:ascii="Times New Roman" w:hAnsi="Times New Roman" w:eastAsia="宋体"/>
                <w:b w:val="0"/>
                <w:color w:val="1A1A1A"/>
                <w:sz w:val="17"/>
                <w:vertAlign w:val="superscript"/>
              </w:rPr>
              <w:t>[15]</w:t>
            </w:r>
            <w:r>
              <w:rPr>
                <w:rFonts w:ascii="Times New Roman" w:hAnsi="Times New Roman" w:eastAsia="宋体"/>
                <w:b w:val="0"/>
                <w:color w:val="1A1A1A"/>
                <w:sz w:val="17"/>
                <w:vertAlign w:val="superscript"/>
              </w:rPr>
              <w:t>[16]</w:t>
            </w:r>
            <w:r>
              <w:rPr>
                <w:rFonts w:ascii="Times New Roman" w:hAnsi="Times New Roman" w:eastAsia="宋体"/>
                <w:b w:val="0"/>
                <w:color w:val="1A1A1A"/>
                <w:sz w:val="17"/>
                <w:vertAlign w:val="superscript"/>
              </w:rPr>
              <w:t>[17]</w:t>
            </w:r>
            <w:r>
              <w:rPr>
                <w:rFonts w:ascii="Times New Roman" w:hAnsi="Times New Roman" w:eastAsia="宋体"/>
                <w:b w:val="0"/>
                <w:color w:val="1A1A1A"/>
                <w:sz w:val="17"/>
                <w:vertAlign w:val="superscript"/>
              </w:rPr>
              <w:t>[42]</w:t>
            </w:r>
          </w:p>
        </w:tc>
      </w:tr>
      <w:tr>
        <w:tc>
          <w:tcPr>
            <w:tcW w:type="dxa" w:w="3097"/>
          </w:tcPr>
          <w:p>
            <w:r>
              <w:rPr>
                <w:rFonts w:ascii="Times New Roman" w:hAnsi="Times New Roman" w:eastAsia="宋体"/>
                <w:b w:val="0"/>
                <w:color w:val="1A1A1A"/>
                <w:sz w:val="17"/>
              </w:rPr>
              <w:t>"未开封即可延长使用"</w:t>
            </w:r>
          </w:p>
        </w:tc>
        <w:tc>
          <w:tcPr>
            <w:tcW w:type="dxa" w:w="3097"/>
          </w:tcPr>
          <w:p>
            <w:r>
              <w:rPr>
                <w:rFonts w:ascii="Times New Roman" w:hAnsi="Times New Roman" w:eastAsia="宋体"/>
                <w:b w:val="0"/>
                <w:color w:val="1A1A1A"/>
                <w:sz w:val="17"/>
              </w:rPr>
              <w:t>无证据（SLEP 数据不适用家用场景与本品）</w:t>
            </w:r>
          </w:p>
        </w:tc>
        <w:tc>
          <w:tcPr>
            <w:tcW w:type="dxa" w:w="3097"/>
          </w:tcPr>
          <w:p>
            <w:r>
              <w:rPr>
                <w:rFonts w:ascii="Times New Roman" w:hAnsi="Times New Roman" w:eastAsia="宋体"/>
                <w:b w:val="0"/>
                <w:color w:val="1A1A1A"/>
                <w:sz w:val="17"/>
                <w:vertAlign w:val="superscript"/>
              </w:rPr>
              <w:t>[20]</w:t>
            </w:r>
            <w:r>
              <w:rPr>
                <w:rFonts w:ascii="Times New Roman" w:hAnsi="Times New Roman" w:eastAsia="宋体"/>
                <w:b w:val="0"/>
                <w:color w:val="1A1A1A"/>
                <w:sz w:val="17"/>
                <w:vertAlign w:val="superscript"/>
              </w:rPr>
              <w:t>[21]</w:t>
            </w:r>
          </w:p>
        </w:tc>
      </w:tr>
    </w:tbl>
    <w:p>
      <w:pPr>
        <w:spacing w:after="80" w:before="0" w:line="348" w:lineRule="auto"/>
      </w:pPr>
    </w:p>
    <w:p>
      <w:pPr>
        <w:spacing w:after="100" w:before="240" w:line="300" w:lineRule="auto"/>
      </w:pPr>
      <w:r>
        <w:rPr>
          <w:rFonts w:ascii="Times New Roman" w:hAnsi="Times New Roman" w:eastAsia="黑体"/>
          <w:b/>
          <w:color w:val="1A1A1A"/>
          <w:sz w:val="25"/>
        </w:rPr>
        <w:t>4 讨论</w:t>
      </w:r>
    </w:p>
    <w:p>
      <w:pPr>
        <w:spacing w:after="120" w:before="0" w:line="348" w:lineRule="auto"/>
      </w:pPr>
      <w:r>
        <w:rPr>
          <w:rFonts w:ascii="Times New Roman" w:hAnsi="Times New Roman" w:eastAsia="宋体"/>
          <w:b/>
          <w:color w:val="1A1A1A"/>
          <w:sz w:val="21"/>
        </w:rPr>
        <w:t>风险层级（本报告的核心结论表述）</w:t>
      </w:r>
      <w:r>
        <w:rPr>
          <w:rFonts w:ascii="Times New Roman" w:hAnsi="Times New Roman" w:eastAsia="宋体"/>
          <w:b w:val="0"/>
          <w:color w:val="1A1A1A"/>
          <w:sz w:val="21"/>
        </w:rPr>
        <w:t>：对超效期含冰片口服滴丸，风险从高到低排列为——（1）治疗失败型风险（效价不再受有效期承诺保障，急性含服场景下"需要时缓解不足"，可能延误升级处置），有机制与实测背景支持</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[31]</w:t>
      </w:r>
      <w:r>
        <w:rPr>
          <w:rFonts w:ascii="Times New Roman" w:hAnsi="Times New Roman" w:eastAsia="宋体"/>
          <w:b w:val="0"/>
          <w:color w:val="1A1A1A"/>
          <w:sz w:val="21"/>
        </w:rPr>
        <w:t>；（2）质量属性漂移风险（冰片等挥发性成分损失属机制推断、无本品实测，不得表述为实测数据</w:t>
      </w:r>
      <w:r>
        <w:rPr>
          <w:rFonts w:ascii="Times New Roman" w:hAnsi="Times New Roman" w:eastAsia="宋体"/>
          <w:b w:val="0"/>
          <w:color w:val="1A1A1A"/>
          <w:sz w:val="21"/>
          <w:vertAlign w:val="superscript"/>
        </w:rPr>
        <w:t>[42]</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）；（3）毒性损害型风险（未检索到任何证据，历史特例仅见于降解四环素类、不可外推</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）。因此，</w:t>
      </w:r>
      <w:r>
        <w:rPr>
          <w:rFonts w:ascii="Times New Roman" w:hAnsi="Times New Roman" w:eastAsia="宋体"/>
          <w:b/>
          <w:color w:val="1A1A1A"/>
          <w:sz w:val="21"/>
        </w:rPr>
        <w:t>"过期禁止服用"的合规表述是"超过有效期的药品为劣药，禁止生产、销售、使用；超效期后质量与效价不再受有效期承诺保障，不主张继续服用"，而不是"过期药会中毒"</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三级命题区分</w:t>
      </w:r>
      <w:r>
        <w:rPr>
          <w:rFonts w:ascii="Times New Roman" w:hAnsi="Times New Roman" w:eastAsia="宋体"/>
          <w:b w:val="0"/>
          <w:color w:val="1A1A1A"/>
          <w:sz w:val="21"/>
        </w:rPr>
        <w:t>：法规义务（劣药定性、禁止使用）不得表述为毒性证据；降解机制推断（冰片挥发）不得表述为实测数据；SLEP／系统评价的国际实测只证明"在受控贮藏与逐批检验条件下多数固体药品可延长效期"，不得外推为"家用场景下本品超效期仍安全有效"</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KPI 与内容判据的分离</w:t>
      </w:r>
      <w:r>
        <w:rPr>
          <w:rFonts w:ascii="Times New Roman" w:hAnsi="Times New Roman" w:eastAsia="宋体"/>
          <w:b w:val="0"/>
          <w:color w:val="1A1A1A"/>
          <w:sz w:val="21"/>
        </w:rPr>
        <w:t>：题库以"安全警告率 100%"为交付目标。本报告判定该目标在"说没说"层面有意义（确保不遗漏警告），但</w:t>
      </w:r>
      <w:r>
        <w:rPr>
          <w:rFonts w:ascii="Times New Roman" w:hAnsi="Times New Roman" w:eastAsia="宋体"/>
          <w:b/>
          <w:color w:val="1A1A1A"/>
          <w:sz w:val="21"/>
        </w:rPr>
        <w:t>与"对不对"无实证关联</w:t>
      </w:r>
      <w:r>
        <w:rPr>
          <w:rFonts w:ascii="Times New Roman" w:hAnsi="Times New Roman" w:eastAsia="宋体"/>
          <w:b w:val="0"/>
          <w:color w:val="1A1A1A"/>
          <w:sz w:val="21"/>
        </w:rPr>
        <w:t>（命题 E）；正确性判据必须回到条款溯源、风险分层、处置可执行性与错误指引率。</w:t>
      </w:r>
    </w:p>
    <w:p>
      <w:pPr>
        <w:spacing w:after="120" w:before="0" w:line="348" w:lineRule="auto"/>
      </w:pPr>
      <w:r>
        <w:rPr>
          <w:rFonts w:ascii="Times New Roman" w:hAnsi="Times New Roman" w:eastAsia="宋体"/>
          <w:b/>
          <w:color w:val="1A1A1A"/>
          <w:sz w:val="21"/>
        </w:rPr>
        <w:t>安全底线（临床意义）</w:t>
      </w:r>
      <w:r>
        <w:rPr>
          <w:rFonts w:ascii="Times New Roman" w:hAnsi="Times New Roman" w:eastAsia="宋体"/>
          <w:b w:val="0"/>
          <w:color w:val="1A1A1A"/>
          <w:sz w:val="21"/>
        </w:rPr>
        <w:t>：本报告结论不得被表述为可在急性胸痛发作时延迟呼叫急救的理由。速效救心丸说明书自身提示"心绞痛持续发作，宜加用硝酸酯类药"</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；符合 ACS 警示特征的胸痛，路径为立即呼叫 120 并接受急诊评估（心电图、高敏肌钙蛋白），家中是否备有有效期内药品不改变该路径。</w:t>
      </w:r>
    </w:p>
    <w:p>
      <w:pPr>
        <w:spacing w:after="100" w:before="240" w:line="300" w:lineRule="auto"/>
      </w:pPr>
      <w:r>
        <w:rPr>
          <w:rFonts w:ascii="Times New Roman" w:hAnsi="Times New Roman" w:eastAsia="黑体"/>
          <w:b/>
          <w:color w:val="1A1A1A"/>
          <w:sz w:val="25"/>
        </w:rPr>
        <w:t>5 局限与需人工复核项</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说明书官方现行文本</w:t>
      </w:r>
      <w:r>
        <w:rPr>
          <w:rFonts w:ascii="Times New Roman" w:hAnsi="Times New Roman" w:eastAsia="宋体"/>
          <w:b w:val="0"/>
          <w:color w:val="1A1A1A"/>
          <w:sz w:val="21"/>
        </w:rPr>
        <w:t>：本品说明书字段仅经 EviMed NMPA 索引副本获得，未返回性状／有效期／包装／开封后使用期限字段；官方现行文本（含性状项原文、有效期年限）需人工经 NMPA 官网数据查询页核验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法规原文页在网关白名单外</w:t>
      </w:r>
      <w:r>
        <w:rPr>
          <w:rFonts w:ascii="Times New Roman" w:hAnsi="Times New Roman" w:eastAsia="宋体"/>
          <w:b w:val="0"/>
          <w:color w:val="1A1A1A"/>
          <w:sz w:val="21"/>
        </w:rPr>
        <w:t>：《药品管理法》《国家危险废物名录》官方全文页（nmpa.gov.cn、mee.gov.cn 等）无法经受管抓取通道落盘，条款号与豁免清单措辞经多个官方行政处罚文书与官方答复交叉引用核验，仍建议以官方现行文本终审</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受管信号管线不可用</w:t>
      </w:r>
      <w:r>
        <w:rPr>
          <w:rFonts w:ascii="Times New Roman" w:hAnsi="Times New Roman" w:eastAsia="宋体"/>
          <w:b w:val="0"/>
          <w:color w:val="1A1A1A"/>
          <w:sz w:val="21"/>
        </w:rPr>
        <w:t>：openFDA 后端不含本品（HTTP 400），ADR 词归一化词典为空；超效期相关不良反应（含"治疗失败"类报告）的中国药物警戒数据库核查为硬缺口，未改写为阴性证据。</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中文证据层级</w:t>
      </w:r>
      <w:r>
        <w:rPr>
          <w:rFonts w:ascii="Times New Roman" w:hAnsi="Times New Roman" w:eastAsia="宋体"/>
          <w:b w:val="0"/>
          <w:color w:val="1A1A1A"/>
          <w:sz w:val="21"/>
        </w:rPr>
        <w:t>：家庭药箱调查、冰片药动学与质量标准文献均为摘要层（CNKI/万方/SinoMed 索引），效应量与细节未进入判定，需获取全文复核</w:t>
      </w:r>
      <w:r>
        <w:rPr>
          <w:rFonts w:ascii="Times New Roman" w:hAnsi="Times New Roman" w:eastAsia="宋体"/>
          <w:b w:val="0"/>
          <w:color w:val="1A1A1A"/>
          <w:sz w:val="21"/>
          <w:vertAlign w:val="superscript"/>
        </w:rPr>
        <w:t>[32]</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[39]</w:t>
      </w:r>
      <w:r>
        <w:rPr>
          <w:rFonts w:ascii="Times New Roman" w:hAnsi="Times New Roman" w:eastAsia="宋体"/>
          <w:b w:val="0"/>
          <w:color w:val="1A1A1A"/>
          <w:sz w:val="21"/>
          <w:vertAlign w:val="superscript"/>
        </w:rPr>
        <w:t>[41]</w:t>
      </w:r>
      <w:r>
        <w:rPr>
          <w:rFonts w:ascii="Times New Roman" w:hAnsi="Times New Roman" w:eastAsia="宋体"/>
          <w:b w:val="0"/>
          <w:color w:val="1A1A1A"/>
          <w:sz w:val="21"/>
          <w:vertAlign w:val="superscript"/>
        </w:rPr>
        <w:t>[42]</w:t>
      </w:r>
      <w:r>
        <w:rPr>
          <w:rFonts w:ascii="Times New Roman" w:hAnsi="Times New Roman" w:eastAsia="宋体"/>
          <w:b w:val="0"/>
          <w:color w:val="1A1A1A"/>
          <w:sz w:val="21"/>
          <w:vertAlign w:val="superscript"/>
        </w:rPr>
        <w:t>[43]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本品超效期实测数据结构性缺失</w:t>
      </w:r>
      <w:r>
        <w:rPr>
          <w:rFonts w:ascii="Times New Roman" w:hAnsi="Times New Roman" w:eastAsia="宋体"/>
          <w:b w:val="0"/>
          <w:color w:val="1A1A1A"/>
          <w:sz w:val="21"/>
        </w:rPr>
        <w:t>："未检索到"不等于"不存在"；若获取 2024 年 24 周 RCT 等注册试验的稳定性留样数据或厂家长期稳定性报告，可补充判断。</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中成药在危险废物名录中的具体归类边界</w:t>
      </w:r>
      <w:r>
        <w:rPr>
          <w:rFonts w:ascii="Times New Roman" w:hAnsi="Times New Roman" w:eastAsia="宋体"/>
          <w:b w:val="0"/>
          <w:color w:val="1A1A1A"/>
          <w:sz w:val="21"/>
        </w:rPr>
        <w:t>：地方答复口径存在版本差异（2021 年版 vs 2025 年版名录），废药品（HW03）对中成药的适用边界需以生态环境部现行文本核定。</w:t>
      </w:r>
    </w:p>
    <w:p>
      <w:pPr>
        <w:spacing w:after="100" w:before="240" w:line="300" w:lineRule="auto"/>
      </w:pPr>
      <w:r>
        <w:rPr>
          <w:rFonts w:ascii="Times New Roman" w:hAnsi="Times New Roman" w:eastAsia="黑体"/>
          <w:b/>
          <w:color w:val="1A1A1A"/>
          <w:sz w:val="25"/>
        </w:rPr>
        <w:t>6 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A（超效期本品可造成健康损害）不成立</w:t>
      </w:r>
      <w:r>
        <w:rPr>
          <w:rFonts w:ascii="Times New Roman" w:hAnsi="Times New Roman" w:eastAsia="宋体"/>
          <w:b w:val="0"/>
          <w:color w:val="1A1A1A"/>
          <w:sz w:val="21"/>
        </w:rPr>
        <w:t>：未检索到毒理学研究、不良反应监测记录或可定位病例报告；可证实风险仅为质量与效价不再受有效期承诺保障。历史毒性特例（降解四环素→Fanconi 综合征）为类特异性、不可外推。</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B（"过期禁止服用"）成立，但依据构成必须如实表述</w:t>
      </w:r>
      <w:r>
        <w:rPr>
          <w:rFonts w:ascii="Times New Roman" w:hAnsi="Times New Roman" w:eastAsia="宋体"/>
          <w:b w:val="0"/>
          <w:color w:val="1A1A1A"/>
          <w:sz w:val="21"/>
        </w:rPr>
        <w:t>：《药品管理法》第九十八条将"超过有效期的药品"定性为劣药并禁止生产、销售、使用；其禁止性规定约束经营使用环节主体，个人自持自用无对应罚则。以"会中毒"作理由判内容不正确。</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C（投入回收箱可执行）部分成立</w:t>
      </w:r>
      <w:r>
        <w:rPr>
          <w:rFonts w:ascii="Times New Roman" w:hAnsi="Times New Roman" w:eastAsia="宋体"/>
          <w:b w:val="0"/>
          <w:color w:val="1A1A1A"/>
          <w:sz w:val="21"/>
        </w:rPr>
        <w:t>：出处为企业公益项目与地方政府定点回收公告，非全国法定义务、覆盖不全；无可及回收点时的有出处替代表述为按有害垃圾投放。</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命题 D（凭性状判断失效）无判别效能数据</w:t>
      </w:r>
      <w:r>
        <w:rPr>
          <w:rFonts w:ascii="Times New Roman" w:hAnsi="Times New Roman" w:eastAsia="宋体"/>
          <w:b w:val="0"/>
          <w:color w:val="1A1A1A"/>
          <w:sz w:val="21"/>
        </w:rPr>
        <w:t>："性状未见异常"不能推断效价合格，"性状异常"不能替代效期标示。</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命题 E（两项百分比指标作为交付判据）不成立</w:t>
      </w:r>
      <w:r>
        <w:rPr>
          <w:rFonts w:ascii="Times New Roman" w:hAnsi="Times New Roman" w:eastAsia="宋体"/>
          <w:b w:val="0"/>
          <w:color w:val="1A1A1A"/>
          <w:sz w:val="21"/>
        </w:rPr>
        <w:t>：提及率指标与内容正确性无实证关联；替代判据为条款溯源完整性、风险分层正确性、处置指引可执行性与错误指引率。</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临床安全底线</w:t>
      </w:r>
      <w:r>
        <w:rPr>
          <w:rFonts w:ascii="Times New Roman" w:hAnsi="Times New Roman" w:eastAsia="宋体"/>
          <w:b w:val="0"/>
          <w:color w:val="1A1A1A"/>
          <w:sz w:val="21"/>
        </w:rPr>
        <w:t>：急性胸痛（ACS 警示特征）一律立即呼叫 120 并接受急诊评估，家中药品效期不改变该路径。</w:t>
      </w:r>
    </w:p>
    <w:p>
      <w:pPr>
        <w:spacing w:after="120" w:before="0" w:line="348" w:lineRule="auto"/>
        <w:ind w:firstLine="420"/>
      </w:pP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参考文献</w:t>
      </w:r>
    </w:p>
    <w:p>
      <w:pPr>
        <w:spacing w:after="120" w:before="0" w:line="348" w:lineRule="auto"/>
        <w:ind w:firstLine="420"/>
      </w:pP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全国人民代表大会常务委员会. 中华人民共和国药品管理法（2019 年修订）[EB/OL]. 国家药品监督管理局官网全文, https://www.nmpa.gov.cn/xxgk/fgwj/flxzhfg/20190827083801685.html</w:t>
      </w:r>
    </w:p>
    <w:p>
      <w:pPr>
        <w:spacing w:after="120" w:before="0" w:line="348" w:lineRule="auto"/>
        <w:ind w:firstLine="420"/>
      </w:pP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国家食品药品监督管理局令第 24 号. 药品说明书和标签管理规定（2006 年 3 月 15 日公布）[EB/OL]. 国家市场监督管理总局法规库, https://sjfg.samr.gov.cn/law/file/pdf/3235243/1663582910347.pdf</w:t>
      </w:r>
    </w:p>
    <w:p>
      <w:pPr>
        <w:spacing w:after="120" w:before="0" w:line="348" w:lineRule="auto"/>
        <w:ind w:firstLine="420"/>
      </w:pP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国家市场监督管理总局. 药品注册管理办法（2020 年）[EB/OL]. 中国政府网, https://www.gov.cn/zhengce/zhengceku/2020-04/01/content_5498012.htm</w:t>
      </w:r>
    </w:p>
    <w:p>
      <w:pPr>
        <w:spacing w:after="120" w:before="0" w:line="348" w:lineRule="auto"/>
        <w:ind w:firstLine="420"/>
      </w:pP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国务院办公厅. 关于转发国家发展改革委住房城乡建设部生活垃圾分类制度实施方案的通知（国办发〔2017〕26 号）[EB/OL]. 国务院公报, https://www.gov.cn/gongbao/content/2017/content_5186978.htm</w:t>
      </w:r>
    </w:p>
    <w:p>
      <w:pPr>
        <w:spacing w:after="120" w:before="0" w:line="348" w:lineRule="auto"/>
        <w:ind w:firstLine="420"/>
      </w:pP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生态环境部等. 国家危险废物名录（2021 年版）（含危险废物豁免管理清单）[EB/OL]. https://www.mee.gov.cn/gzk/gz/202112/P020211215457967720167.pdf</w:t>
      </w:r>
    </w:p>
    <w:p>
      <w:pPr>
        <w:spacing w:after="120" w:before="0" w:line="348" w:lineRule="auto"/>
        <w:ind w:firstLine="420"/>
      </w:pP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中国政府网数据页转载. 家里过期药品怎么处理？国家药品监督管理局回应（2021-02-01）[EB/OL]. http://app.www.gov.cn/govdata/gov/202102/01/467730/article.html</w:t>
      </w:r>
    </w:p>
    <w:p>
      <w:pPr>
        <w:spacing w:after="120" w:before="0" w:line="348" w:lineRule="auto"/>
        <w:ind w:firstLine="420"/>
      </w:pP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郑州市生态环境局. 信件查阅答复（家庭过期药品按有害垃圾投放）[EB/OL]. https://sthjj.zhengzhou.gov.cn/mailbox/info.jspx?id=2042950</w:t>
      </w:r>
    </w:p>
    <w:p>
      <w:pPr>
        <w:spacing w:after="120" w:before="0" w:line="348" w:lineRule="auto"/>
        <w:ind w:firstLine="420"/>
      </w:pP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东莞市生态环境局. 对市人大建议的答复（废弃药品药具及其包装物为有害垃圾）[EB/OL]. https://dgepb.dg.gov.cn/zwgk/jytabljg/rdjy/content/post_4300183.html</w:t>
      </w:r>
    </w:p>
    <w:p>
      <w:pPr>
        <w:spacing w:after="120" w:before="0" w:line="348" w:lineRule="auto"/>
        <w:ind w:firstLine="420"/>
      </w:pP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河南省药品监督管理局. 对省政协十三届三次会议第 1330773 号建议的答复（2026-01-20）[EB/OL]. https://yjj.henan.gov.cn/2026/01-20/3311366.html</w:t>
      </w:r>
    </w:p>
    <w:p>
      <w:pPr>
        <w:spacing w:after="120" w:before="0" w:line="348" w:lineRule="auto"/>
        <w:ind w:firstLine="420"/>
      </w:pP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灌阳县市场监督管理局. 行政处罚决定书 灌市监处罚〔2025〕28 号（引《药品管理法》第九十八条、第一百一十七条原文）[EB/OL]. http://www.guanyang.gov.cn/zfxxgk/fdzdgknr/zdlyxxgk/spypaq/cfxx/t26513706.shtml</w:t>
      </w:r>
    </w:p>
    <w:p>
      <w:pPr>
        <w:spacing w:after="120" w:before="0" w:line="348" w:lineRule="auto"/>
        <w:ind w:firstLine="420"/>
      </w:pP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牟定县市场监督管理局. 行政处罚公示（销售超过有效期的中药饮片，违反第九十八条）[EB/OL]. https://www.mdx.gov.cn/info/1421/50688.htm</w:t>
      </w:r>
    </w:p>
    <w:p>
      <w:pPr>
        <w:spacing w:after="120" w:before="0" w:line="348" w:lineRule="auto"/>
        <w:ind w:firstLine="420"/>
      </w:pP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广德市市场监督管理局. 药品监管行政处罚信息（使用超过有效期药品，构成使用劣药）[EB/OL]. https://www.guangde.gov.cn/OpennessContent/show/3558021.html</w:t>
      </w:r>
    </w:p>
    <w:p>
      <w:pPr>
        <w:spacing w:after="120" w:before="0" w:line="348" w:lineRule="auto"/>
        <w:ind w:firstLine="420"/>
      </w:pP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北京市怀柔区. 行政执法文书（引《药品管理法》第九十八条原文）[EB/OL]. https://www.bjhr.gov.cn/zt/xzzfxxgs/ztqzfbm/bjhrscjgj/jcdsjj/202205/P020220501715576793385.pdf</w:t>
      </w:r>
    </w:p>
    <w:p>
      <w:pPr>
        <w:spacing w:after="120" w:before="0" w:line="348" w:lineRule="auto"/>
        <w:ind w:firstLine="420"/>
      </w:pP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海口市人民政府门户网站. 过期药品回收有着落了，海口这 8 家药店可回收置换（2021-04-16；广药白云山家庭过期药品回收活动第十八年）[EB/OL]. https://www.haikou.gov.cn/zxfw/smfw/yl/jkfw/ypaq/202104/t339758.shtml</w:t>
      </w:r>
    </w:p>
    <w:p>
      <w:pPr>
        <w:spacing w:after="120" w:before="0" w:line="348" w:lineRule="auto"/>
        <w:ind w:firstLine="420"/>
      </w:pP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鄱阳县市场监督管理局. 关于开展家庭过期药品定点回收工作的公告（2026-06-03；全县 29 个定点回收门店）[EB/OL]. https://www.poyang.gov.cn/pyxscjdgljj/zhengwudongtai4aueux/202602/9c1e342abfb042c2bb5c62cf1ccd965b.shtml</w:t>
      </w:r>
    </w:p>
    <w:p>
      <w:pPr>
        <w:spacing w:after="120" w:before="0" w:line="348" w:lineRule="auto"/>
        <w:ind w:firstLine="420"/>
      </w:pP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晋城市市场监督管理局. 全市家庭过期失效药品定点回收活动启动（2026-05-29）[EB/OL]. http://scjgj.jcgov.gov.cn/gzdt/zwyw/202605/t20260529_2355017.html</w:t>
      </w:r>
    </w:p>
    <w:p>
      <w:pPr>
        <w:spacing w:after="120" w:before="0" w:line="348" w:lineRule="auto"/>
        <w:ind w:firstLine="420"/>
      </w:pP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乌海市海南区市场监督管理局. 首批 5 家家庭过期药品定点回收药店（2024-07-23；新闻转载）[EB/OL]. https://baijiahao.baidu.com/s?id=1805352809774569390</w:t>
      </w:r>
    </w:p>
    <w:p>
      <w:pPr>
        <w:spacing w:after="120" w:before="0" w:line="348" w:lineRule="auto"/>
        <w:ind w:firstLine="420"/>
      </w:pP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渭南市卫生健康委员会. 家中药品过期了，怎么处理？（引国家药监局药品监管司介绍）[EB/OL]. https://wsjsj.weinan.gov.cn/ztzl/jkkp/1666351266791579649.html</w:t>
      </w:r>
    </w:p>
    <w:p>
      <w:pPr>
        <w:spacing w:after="120" w:before="0" w:line="348" w:lineRule="auto"/>
        <w:ind w:firstLine="420"/>
      </w:pP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EviMed NMPA 说明书索引. 速效救心丸（津药达仁堂集团股份有限公司第六中药厂；索引副本，官方现行文本待核验）[DB/OL]. 检索于 2026-08-12.</w:t>
      </w:r>
    </w:p>
    <w:p>
      <w:pPr>
        <w:spacing w:after="120" w:before="0" w:line="348" w:lineRule="auto"/>
        <w:ind w:firstLine="420"/>
      </w:pP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Lyon RC, Taylor JS, Porter DA, Prasanna HR, Hussain AS. Stability profiles of drug products extended beyond labeled expiration dates[J]. J Pharm Sci, 2006, 95(7):1549-1560. https://pubmed.ncbi.nlm.nih.gov/16721796/</w:t>
      </w:r>
    </w:p>
    <w:p>
      <w:pPr>
        <w:spacing w:after="120" w:before="0" w:line="348" w:lineRule="auto"/>
        <w:ind w:firstLine="420"/>
      </w:pP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Charlton N, Berry DC, Kannan V, Yee R, Carlson JN, Orkin AM. The use of expired resuscitation medications for life-threatening first aid conditions: a systematic search and narrative review[J]. Resusc Plus, 2025, 22:101110.（全文已读）https://europepmc.org/articles/PMC12546671</w:t>
      </w:r>
    </w:p>
    <w:p>
      <w:pPr>
        <w:spacing w:after="120" w:before="0" w:line="348" w:lineRule="auto"/>
        <w:ind w:firstLine="420"/>
      </w:pP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Davido B, Michelon H, Mamona C, de Truchis P, Jaffal K, Saleh-Mghir A. Efficacy of Expired Antibiotics: A Real Debate in the Context of Repeated Drug Shortages[J]. Antibiotics (Basel), 2024, 13(5):466.（全文已读）https://europepmc.org/articles/PMC11117793</w:t>
      </w:r>
    </w:p>
    <w:p>
      <w:pPr>
        <w:spacing w:after="120" w:before="0" w:line="348" w:lineRule="auto"/>
        <w:ind w:firstLine="420"/>
      </w:pP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Frimpter GW, Timpanelli AE, Eisenmenger WJ, Stein HS, Ehrlich LI. Reversible Fanconi syndrome caused by degraded tetracycline[J]. JAMA, 1963, 184:111-113. https://pubmed.ncbi.nlm.nih.gov/14172097/</w:t>
      </w:r>
    </w:p>
    <w:p>
      <w:pPr>
        <w:spacing w:after="120" w:before="0" w:line="348" w:lineRule="auto"/>
        <w:ind w:firstLine="420"/>
      </w:pP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 Montoliu J, Carrera M, Darnell A, Revert L. Lactic acidosis and Fanconi's syndrome due to degraded tetracycline[J]. Br Med J (Clin Res Ed), 1981, 283:1576. https://pubmed.ncbi.nlm.nih.gov/6796174/</w:t>
      </w:r>
    </w:p>
    <w:p>
      <w:pPr>
        <w:spacing w:after="120" w:before="0" w:line="348" w:lineRule="auto"/>
        <w:ind w:firstLine="420"/>
      </w:pP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Chusil S, Tungsanga K, Wathanavaha A, Pansin P. Hypouricemia, hypokalemia, proximal and distal tubular acidification defect following administration of outdated tetracycline: a case report[J]. J Med Assoc Thai, 1994, 77(2):98-101. https://pubmed.ncbi.nlm.nih.gov/7798843/</w:t>
      </w:r>
    </w:p>
    <w:p>
      <w:pPr>
        <w:spacing w:after="120" w:before="0" w:line="348" w:lineRule="auto"/>
        <w:ind w:firstLine="420"/>
      </w:pP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Benitz KF, Diermeier HF. Renal toxicity of tetracycline degradation products[J]. Proc Soc Exp Biol Med, 1964, 115:930-935. https://pubmed.ncbi.nlm.nih.gov/14166612/</w:t>
      </w:r>
    </w:p>
    <w:p>
      <w:pPr>
        <w:spacing w:after="120" w:before="0" w:line="348" w:lineRule="auto"/>
        <w:ind w:firstLine="420"/>
      </w:pPr>
      <w:r>
        <w:rPr>
          <w:rFonts w:ascii="Times New Roman" w:hAnsi="Times New Roman" w:eastAsia="宋体"/>
          <w:b w:val="0"/>
          <w:color w:val="1A1A1A"/>
          <w:sz w:val="21"/>
          <w:vertAlign w:val="superscript"/>
        </w:rPr>
        <w:t>[27]</w:t>
      </w:r>
      <w:r>
        <w:rPr>
          <w:rFonts w:ascii="Times New Roman" w:hAnsi="Times New Roman" w:eastAsia="宋体"/>
          <w:b w:val="0"/>
          <w:color w:val="1A1A1A"/>
          <w:sz w:val="21"/>
        </w:rPr>
        <w:t xml:space="preserve"> Fanconi syndrome caused by degraded tetracycline[Z]. https://pubmed.ncbi.nlm.nih.gov/5547594/</w:t>
      </w:r>
    </w:p>
    <w:p>
      <w:pPr>
        <w:spacing w:after="120" w:before="0" w:line="348" w:lineRule="auto"/>
        <w:ind w:firstLine="420"/>
      </w:pPr>
      <w:r>
        <w:rPr>
          <w:rFonts w:ascii="Times New Roman" w:hAnsi="Times New Roman" w:eastAsia="宋体"/>
          <w:b w:val="0"/>
          <w:color w:val="1A1A1A"/>
          <w:sz w:val="21"/>
          <w:vertAlign w:val="superscript"/>
        </w:rPr>
        <w:t>[28]</w:t>
      </w:r>
      <w:r>
        <w:rPr>
          <w:rFonts w:ascii="Times New Roman" w:hAnsi="Times New Roman" w:eastAsia="宋体"/>
          <w:b w:val="0"/>
          <w:color w:val="1A1A1A"/>
          <w:sz w:val="21"/>
        </w:rPr>
        <w:t xml:space="preserve"> Acquired Fanconi syndrome following degraded tetracycline[Z]. https://pubmed.ncbi.nlm.nih.gov/14258922/</w:t>
      </w:r>
    </w:p>
    <w:p>
      <w:pPr>
        <w:spacing w:after="120" w:before="0" w:line="348" w:lineRule="auto"/>
        <w:ind w:firstLine="420"/>
      </w:pPr>
      <w:r>
        <w:rPr>
          <w:rFonts w:ascii="Times New Roman" w:hAnsi="Times New Roman" w:eastAsia="宋体"/>
          <w:b w:val="0"/>
          <w:color w:val="1A1A1A"/>
          <w:sz w:val="21"/>
          <w:vertAlign w:val="superscript"/>
        </w:rPr>
        <w:t>[29]</w:t>
      </w:r>
      <w:r>
        <w:rPr>
          <w:rFonts w:ascii="Times New Roman" w:hAnsi="Times New Roman" w:eastAsia="宋体"/>
          <w:b w:val="0"/>
          <w:color w:val="1A1A1A"/>
          <w:sz w:val="21"/>
        </w:rPr>
        <w:t xml:space="preserve"> Adult Fanconi syndrome following the ingestion of degraded tetracycline. Presentation of a case[Z]. https://pubmed.ncbi.nlm.nih.gov/7255796/</w:t>
      </w:r>
    </w:p>
    <w:p>
      <w:pPr>
        <w:spacing w:after="120" w:before="0" w:line="348" w:lineRule="auto"/>
        <w:ind w:firstLine="420"/>
      </w:pPr>
      <w:r>
        <w:rPr>
          <w:rFonts w:ascii="Times New Roman" w:hAnsi="Times New Roman" w:eastAsia="宋体"/>
          <w:b w:val="0"/>
          <w:color w:val="1A1A1A"/>
          <w:sz w:val="21"/>
          <w:vertAlign w:val="superscript"/>
        </w:rPr>
        <w:t>[30]</w:t>
      </w:r>
      <w:r>
        <w:rPr>
          <w:rFonts w:ascii="Times New Roman" w:hAnsi="Times New Roman" w:eastAsia="宋体"/>
          <w:b w:val="0"/>
          <w:color w:val="1A1A1A"/>
          <w:sz w:val="21"/>
        </w:rPr>
        <w:t xml:space="preserve"> Reversible renal Fanconi syndrome due to a toxic catabolism product of tetracycline[Z]. https://pubmed.ncbi.nlm.nih.gov/5678412/</w:t>
      </w:r>
    </w:p>
    <w:p>
      <w:pPr>
        <w:spacing w:after="120" w:before="0" w:line="348" w:lineRule="auto"/>
        <w:ind w:firstLine="420"/>
      </w:pPr>
      <w:r>
        <w:rPr>
          <w:rFonts w:ascii="Times New Roman" w:hAnsi="Times New Roman" w:eastAsia="宋体"/>
          <w:b w:val="0"/>
          <w:color w:val="1A1A1A"/>
          <w:sz w:val="21"/>
          <w:vertAlign w:val="superscript"/>
        </w:rPr>
        <w:t>[31]</w:t>
      </w:r>
      <w:r>
        <w:rPr>
          <w:rFonts w:ascii="Times New Roman" w:hAnsi="Times New Roman" w:eastAsia="宋体"/>
          <w:b w:val="0"/>
          <w:color w:val="1A1A1A"/>
          <w:sz w:val="21"/>
        </w:rPr>
        <w:t xml:space="preserve"> Sublingual nitroglycerin. I. Comparative evaluation of the physical stability of commercially available tablets[Z].（题录层；摘要：密闭容器室温贮存效价损失最小，常规开瓶不致显著损失）https://www.ncbi.nlm.nih.gov/pubmed/3145487/</w:t>
      </w:r>
    </w:p>
    <w:p>
      <w:pPr>
        <w:spacing w:after="120" w:before="0" w:line="348" w:lineRule="auto"/>
        <w:ind w:firstLine="420"/>
      </w:pPr>
      <w:r>
        <w:rPr>
          <w:rFonts w:ascii="Times New Roman" w:hAnsi="Times New Roman" w:eastAsia="宋体"/>
          <w:b w:val="0"/>
          <w:color w:val="1A1A1A"/>
          <w:sz w:val="21"/>
          <w:vertAlign w:val="superscript"/>
        </w:rPr>
        <w:t>[32]</w:t>
      </w:r>
      <w:r>
        <w:rPr>
          <w:rFonts w:ascii="Times New Roman" w:hAnsi="Times New Roman" w:eastAsia="宋体"/>
          <w:b w:val="0"/>
          <w:color w:val="1A1A1A"/>
          <w:sz w:val="21"/>
        </w:rPr>
        <w:t xml:space="preserve"> 朱高峰, 彭月月, 陈瑞. 贵阳市居民家庭过期药品处理调查[J]. 中国乡村医药, 2021.（摘要层）https://chkdx.cnki.net/kcms/detail/detail.aspx?FileName=XCYY202117032&amp;DbName=CHKJ2021</w:t>
      </w:r>
    </w:p>
    <w:p>
      <w:pPr>
        <w:spacing w:after="120" w:before="0" w:line="348" w:lineRule="auto"/>
        <w:ind w:firstLine="420"/>
      </w:pPr>
      <w:r>
        <w:rPr>
          <w:rFonts w:ascii="Times New Roman" w:hAnsi="Times New Roman" w:eastAsia="宋体"/>
          <w:b w:val="0"/>
          <w:color w:val="1A1A1A"/>
          <w:sz w:val="21"/>
          <w:vertAlign w:val="superscript"/>
        </w:rPr>
        <w:t>[33]</w:t>
      </w:r>
      <w:r>
        <w:rPr>
          <w:rFonts w:ascii="Times New Roman" w:hAnsi="Times New Roman" w:eastAsia="宋体"/>
          <w:b w:val="0"/>
          <w:color w:val="1A1A1A"/>
          <w:sz w:val="21"/>
        </w:rPr>
        <w:t xml:space="preserve"> 胡越, 叶夏, 钱嘉乐, 等. 浙江省嘉善县家庭过期药品回收的现状调查[J]. 中国药物经济学, 2021.（摘要层）https://www.sinomed.ac.cn/zh/detail.do?ui=2021407663</w:t>
      </w:r>
    </w:p>
    <w:p>
      <w:pPr>
        <w:spacing w:after="120" w:before="0" w:line="348" w:lineRule="auto"/>
        <w:ind w:firstLine="420"/>
      </w:pPr>
      <w:r>
        <w:rPr>
          <w:rFonts w:ascii="Times New Roman" w:hAnsi="Times New Roman" w:eastAsia="宋体"/>
          <w:b w:val="0"/>
          <w:color w:val="1A1A1A"/>
          <w:sz w:val="21"/>
          <w:vertAlign w:val="superscript"/>
        </w:rPr>
        <w:t>[34]</w:t>
      </w:r>
      <w:r>
        <w:rPr>
          <w:rFonts w:ascii="Times New Roman" w:hAnsi="Times New Roman" w:eastAsia="宋体"/>
          <w:b w:val="0"/>
          <w:color w:val="1A1A1A"/>
          <w:sz w:val="21"/>
        </w:rPr>
        <w:t xml:space="preserve"> 付晓娟, 杨元娟, 王韵, 等. 重庆市家庭过期药品居民处置行为调查及回收建议[J]. 中国药房, 2018.（摘要层）https://chkdx.cnki.net/kcms/detail/detail.aspx?FileName=ZGYA201807033&amp;DbName=CHKJ2018</w:t>
      </w:r>
    </w:p>
    <w:p>
      <w:pPr>
        <w:spacing w:after="120" w:before="0" w:line="348" w:lineRule="auto"/>
        <w:ind w:firstLine="420"/>
      </w:pPr>
      <w:r>
        <w:rPr>
          <w:rFonts w:ascii="Times New Roman" w:hAnsi="Times New Roman" w:eastAsia="宋体"/>
          <w:b w:val="0"/>
          <w:color w:val="1A1A1A"/>
          <w:sz w:val="21"/>
          <w:vertAlign w:val="superscript"/>
        </w:rPr>
        <w:t>[35]</w:t>
      </w:r>
      <w:r>
        <w:rPr>
          <w:rFonts w:ascii="Times New Roman" w:hAnsi="Times New Roman" w:eastAsia="宋体"/>
          <w:b w:val="0"/>
          <w:color w:val="1A1A1A"/>
          <w:sz w:val="21"/>
        </w:rPr>
        <w:t xml:space="preserve"> 袁聪敏, 赵亚娟, 李贝贝, 等. 河南郑州新乡农村家庭过期药品处置的现状调查[J]. 中国药事, 2014.（摘要层）https://chkdx.cnki.net/kcms/detail/detail.aspx?FileName=ZGYS201409010&amp;DbName=CHKJ2014</w:t>
      </w:r>
    </w:p>
    <w:p>
      <w:pPr>
        <w:spacing w:after="120" w:before="0" w:line="348" w:lineRule="auto"/>
        <w:ind w:firstLine="420"/>
      </w:pPr>
      <w:r>
        <w:rPr>
          <w:rFonts w:ascii="Times New Roman" w:hAnsi="Times New Roman" w:eastAsia="宋体"/>
          <w:b w:val="0"/>
          <w:color w:val="1A1A1A"/>
          <w:sz w:val="21"/>
          <w:vertAlign w:val="superscript"/>
        </w:rPr>
        <w:t>[36]</w:t>
      </w:r>
      <w:r>
        <w:rPr>
          <w:rFonts w:ascii="Times New Roman" w:hAnsi="Times New Roman" w:eastAsia="宋体"/>
          <w:b w:val="0"/>
          <w:color w:val="1A1A1A"/>
          <w:sz w:val="21"/>
        </w:rPr>
        <w:t xml:space="preserve"> 夏芬, 张丽娜, 李洪涛, 等. 广东居民家庭过期药品回收的知识、态度、行为调查与对策探讨[J]. 中国医药指南, 2013.（摘要层）</w:t>
      </w:r>
    </w:p>
    <w:p>
      <w:pPr>
        <w:spacing w:after="120" w:before="0" w:line="348" w:lineRule="auto"/>
        <w:ind w:firstLine="420"/>
      </w:pPr>
      <w:r>
        <w:rPr>
          <w:rFonts w:ascii="Times New Roman" w:hAnsi="Times New Roman" w:eastAsia="宋体"/>
          <w:b w:val="0"/>
          <w:color w:val="1A1A1A"/>
          <w:sz w:val="21"/>
          <w:vertAlign w:val="superscript"/>
        </w:rPr>
        <w:t>[37]</w:t>
      </w:r>
      <w:r>
        <w:rPr>
          <w:rFonts w:ascii="Times New Roman" w:hAnsi="Times New Roman" w:eastAsia="宋体"/>
          <w:b w:val="0"/>
          <w:color w:val="1A1A1A"/>
          <w:sz w:val="21"/>
        </w:rPr>
        <w:t xml:space="preserve"> 李滢, 文琳, 王庆, 等. 郴州市上白水村社区居民家庭过期药品处理情况的调查[J]. 湘南学院学报(医学版), 2018.（摘要层）</w:t>
      </w:r>
    </w:p>
    <w:p>
      <w:pPr>
        <w:spacing w:after="120" w:before="0" w:line="348" w:lineRule="auto"/>
        <w:ind w:firstLine="420"/>
      </w:pPr>
      <w:r>
        <w:rPr>
          <w:rFonts w:ascii="Times New Roman" w:hAnsi="Times New Roman" w:eastAsia="宋体"/>
          <w:b w:val="0"/>
          <w:color w:val="1A1A1A"/>
          <w:sz w:val="21"/>
          <w:vertAlign w:val="superscript"/>
        </w:rPr>
        <w:t>[38]</w:t>
      </w:r>
      <w:r>
        <w:rPr>
          <w:rFonts w:ascii="Times New Roman" w:hAnsi="Times New Roman" w:eastAsia="宋体"/>
          <w:b w:val="0"/>
          <w:color w:val="1A1A1A"/>
          <w:sz w:val="21"/>
        </w:rPr>
        <w:t xml:space="preserve"> 张立光, 陆琳, 宋勤琴, 等. 苏州市居民家庭过期药品处置现状调查[J]. 考试周刊, 2015.（摘要层）</w:t>
      </w:r>
    </w:p>
    <w:p>
      <w:pPr>
        <w:spacing w:after="120" w:before="0" w:line="348" w:lineRule="auto"/>
        <w:ind w:firstLine="420"/>
      </w:pPr>
      <w:r>
        <w:rPr>
          <w:rFonts w:ascii="Times New Roman" w:hAnsi="Times New Roman" w:eastAsia="宋体"/>
          <w:b w:val="0"/>
          <w:color w:val="1A1A1A"/>
          <w:sz w:val="21"/>
          <w:vertAlign w:val="superscript"/>
        </w:rPr>
        <w:t>[39]</w:t>
      </w:r>
      <w:r>
        <w:rPr>
          <w:rFonts w:ascii="Times New Roman" w:hAnsi="Times New Roman" w:eastAsia="宋体"/>
          <w:b w:val="0"/>
          <w:color w:val="1A1A1A"/>
          <w:sz w:val="21"/>
        </w:rPr>
        <w:t xml:space="preserve"> 黄守坚, 曾伟凤. 过期药品, 食之无效, 弃之可惜?——过期药品情况网络调查[J]. 家庭药师, 2010.（摘要层、网络调查）</w:t>
      </w:r>
    </w:p>
    <w:p>
      <w:pPr>
        <w:spacing w:after="120" w:before="0" w:line="348" w:lineRule="auto"/>
        <w:ind w:firstLine="420"/>
      </w:pPr>
      <w:r>
        <w:rPr>
          <w:rFonts w:ascii="Times New Roman" w:hAnsi="Times New Roman" w:eastAsia="宋体"/>
          <w:b w:val="0"/>
          <w:color w:val="1A1A1A"/>
          <w:sz w:val="21"/>
          <w:vertAlign w:val="superscript"/>
        </w:rPr>
        <w:t>[40]</w:t>
      </w:r>
      <w:r>
        <w:rPr>
          <w:rFonts w:ascii="Times New Roman" w:hAnsi="Times New Roman" w:eastAsia="宋体"/>
          <w:b w:val="0"/>
          <w:color w:val="1A1A1A"/>
          <w:sz w:val="21"/>
        </w:rPr>
        <w:t xml:space="preserve"> Charnock D, Shepperd S, Needham G, Gann R. DISCERN: an instrument for judging the quality of written consumer health information on treatment choices[J]. J Epidemiol Community Health, 1999, 53(2):105-111. https://pubmed.ncbi.nlm.nih.gov/10396471/</w:t>
      </w:r>
    </w:p>
    <w:p>
      <w:pPr>
        <w:spacing w:after="120" w:before="0" w:line="348" w:lineRule="auto"/>
        <w:ind w:firstLine="420"/>
      </w:pPr>
      <w:r>
        <w:rPr>
          <w:rFonts w:ascii="Times New Roman" w:hAnsi="Times New Roman" w:eastAsia="宋体"/>
          <w:b w:val="0"/>
          <w:color w:val="1A1A1A"/>
          <w:sz w:val="21"/>
          <w:vertAlign w:val="superscript"/>
        </w:rPr>
        <w:t>[41]</w:t>
      </w:r>
      <w:r>
        <w:rPr>
          <w:rFonts w:ascii="Times New Roman" w:hAnsi="Times New Roman" w:eastAsia="宋体"/>
          <w:b w:val="0"/>
          <w:color w:val="1A1A1A"/>
          <w:sz w:val="21"/>
        </w:rPr>
        <w:t xml:space="preserve"> 国家药品监督管理局. 关于《药品说明书和标签管理规定》有关问题解释的通知[EB/OL]. https://www.nmpa.gov.cn/zhuanti/lshzht/jl24zhl/jl24zhlxggd/20070124010101159.html</w:t>
      </w:r>
    </w:p>
    <w:p>
      <w:pPr>
        <w:spacing w:after="120" w:before="0" w:line="348" w:lineRule="auto"/>
        <w:ind w:firstLine="420"/>
      </w:pPr>
      <w:r>
        <w:rPr>
          <w:rFonts w:ascii="Times New Roman" w:hAnsi="Times New Roman" w:eastAsia="宋体"/>
          <w:b w:val="0"/>
          <w:color w:val="1A1A1A"/>
          <w:sz w:val="21"/>
          <w:vertAlign w:val="superscript"/>
        </w:rPr>
        <w:t>[42]</w:t>
      </w:r>
      <w:r>
        <w:rPr>
          <w:rFonts w:ascii="Times New Roman" w:hAnsi="Times New Roman" w:eastAsia="宋体"/>
          <w:b w:val="0"/>
          <w:color w:val="1A1A1A"/>
          <w:sz w:val="21"/>
        </w:rPr>
        <w:t xml:space="preserve"> 王守旭, 伍文彬, 赵冰, 等. 稳定性心绞痛患者含服救心丸后体内冰片药动学变化观察[J]. 人人健康, 2016.（摘要层；舌下含服后冰片 5–10 分钟血药浓度迅速升高）</w:t>
      </w:r>
    </w:p>
    <w:p>
      <w:pPr>
        <w:spacing w:after="120" w:before="0" w:line="348" w:lineRule="auto"/>
        <w:ind w:firstLine="420"/>
      </w:pPr>
      <w:r>
        <w:rPr>
          <w:rFonts w:ascii="Times New Roman" w:hAnsi="Times New Roman" w:eastAsia="宋体"/>
          <w:b w:val="0"/>
          <w:color w:val="1A1A1A"/>
          <w:sz w:val="21"/>
          <w:vertAlign w:val="superscript"/>
        </w:rPr>
        <w:t>[43]</w:t>
      </w:r>
      <w:r>
        <w:rPr>
          <w:rFonts w:ascii="Times New Roman" w:hAnsi="Times New Roman" w:eastAsia="宋体"/>
          <w:b w:val="0"/>
          <w:color w:val="1A1A1A"/>
          <w:sz w:val="21"/>
        </w:rPr>
        <w:t xml:space="preserve"> 孙毅坤, 邸峰, 周富荣. 复方丹参片质量标准的研究及其质量考察（GC 法测定冰片含量）[J]. 中国药事, 2000.（摘要层）</w:t>
      </w:r>
    </w:p>
    <w:p>
      <w:pPr>
        <w:spacing w:after="120" w:before="0" w:line="348" w:lineRule="auto"/>
        <w:ind w:firstLine="420"/>
      </w:pPr>
      <w:r>
        <w:rPr>
          <w:rFonts w:ascii="Times New Roman" w:hAnsi="Times New Roman" w:eastAsia="宋体"/>
          <w:b w:val="0"/>
          <w:color w:val="1A1A1A"/>
          <w:sz w:val="21"/>
          <w:vertAlign w:val="superscript"/>
        </w:rPr>
        <w:t>[44]</w:t>
      </w:r>
      <w:r>
        <w:rPr>
          <w:rFonts w:ascii="Times New Roman" w:hAnsi="Times New Roman" w:eastAsia="宋体"/>
          <w:b w:val="0"/>
          <w:color w:val="1A1A1A"/>
          <w:sz w:val="21"/>
        </w:rPr>
        <w:t xml:space="preserve"> 普宁市人民政府. 2025 年广药白云山家庭过期药品回收公益活动在我市举办[EB/OL]. http://www.puning.gov.cn/xwzx/pnxw/content/post_928613.html</w:t>
      </w:r>
    </w:p>
    <w:p>
      <w:pPr>
        <w:spacing w:after="120" w:before="0" w:line="348" w:lineRule="auto"/>
        <w:ind w:firstLine="420"/>
      </w:pPr>
      <w:r>
        <w:rPr>
          <w:rFonts w:ascii="Times New Roman" w:hAnsi="Times New Roman" w:eastAsia="宋体"/>
          <w:b w:val="0"/>
          <w:color w:val="1A1A1A"/>
          <w:sz w:val="21"/>
          <w:vertAlign w:val="superscript"/>
        </w:rPr>
        <w:t>[45]</w:t>
      </w:r>
      <w:r>
        <w:rPr>
          <w:rFonts w:ascii="Times New Roman" w:hAnsi="Times New Roman" w:eastAsia="宋体"/>
          <w:b w:val="0"/>
          <w:color w:val="1A1A1A"/>
          <w:sz w:val="21"/>
        </w:rPr>
        <w:t xml:space="preserve"> Moens M, Van Doorslaer L, et al. Examining the Type, Quality, and Content of Web-Based Information for People With Chronic Pain Interested in Spinal Cord Stimulation: Social Listening Study[J]. J Med Internet Res, 2024, 26:e48599.（工具应用层）https://pubmed.ncbi.nlm.nih.gov/38289645/</w:t>
      </w:r>
    </w:p>
    <w:p>
      <w:pPr>
        <w:spacing w:after="120" w:before="0" w:line="348" w:lineRule="auto"/>
        <w:ind w:firstLine="420"/>
      </w:pPr>
      <w:r>
        <w:rPr>
          <w:rFonts w:ascii="Times New Roman" w:hAnsi="Times New Roman" w:eastAsia="宋体"/>
          <w:b w:val="0"/>
          <w:color w:val="1A1A1A"/>
          <w:sz w:val="21"/>
          <w:vertAlign w:val="superscript"/>
        </w:rPr>
        <w:t>[46]</w:t>
      </w:r>
      <w:r>
        <w:rPr>
          <w:rFonts w:ascii="Times New Roman" w:hAnsi="Times New Roman" w:eastAsia="宋体"/>
          <w:b w:val="0"/>
          <w:color w:val="1A1A1A"/>
          <w:sz w:val="21"/>
        </w:rPr>
        <w:t xml:space="preserve"> Karamüftüoğlu N, Varol EA, Bal C. Exploring artificial intelligence chatbots in pediatric fluoride education: a cross-sectional study[J]. Sci Rep, 2025, 15:28857.（工具应用层）https://pubmed.ncbi.nlm.nih.gov/41318741/</w:t>
      </w:r>
    </w:p>
    <w:p>
      <w:pPr>
        <w:spacing w:after="120" w:before="0" w:line="348" w:lineRule="auto"/>
        <w:ind w:firstLine="420"/>
      </w:pPr>
      <w:r>
        <w:rPr>
          <w:rFonts w:ascii="Times New Roman" w:hAnsi="Times New Roman" w:eastAsia="宋体"/>
          <w:b w:val="0"/>
          <w:color w:val="1A1A1A"/>
          <w:sz w:val="21"/>
        </w:rPr>
        <w:t>*注：受管药物安全分析任务（含 FAERS 信号统计）对本品三次启动均失败（ADR 词归一化词典为空 ×2；openFDA HTTP 400，本品不在其索引中），相关信号评估按硬缺口记录，未改写为阴性证据。法规与规范性文件引用的官方全文页（nmpa.gov.cn、mee.gov.cn、gov.cn 等）经本环境可用通道可公开访问，建议人工以现行文本终审条款措辞。*</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