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服用速效救心丸后的头晕与乏力能否归因于药物本身：发生率、因果关系评定与分层处置阈值的证据评价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ind w:firstLine="420"/>
      </w:pPr>
      <w:r>
        <w:rPr>
          <w:rFonts w:ascii="Times New Roman" w:hAnsi="Times New Roman" w:eastAsia="宋体"/>
          <w:b w:val="0"/>
          <w:color w:val="1A1A1A"/>
          <w:sz w:val="21"/>
        </w:rPr>
        <w:t xml:space="preserve">头晕、乏力、头痛、口干等已被现行 NMPA 说明书"不良反应"项记载为"监测数据显示本品可见"的反应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。但全部可及证据中没有对这些症状给出"有分母＋主动采集＋对照组＋区间估计"的发生率估计：唯一的安慰剂对照试验（174 例、4 周、每周电话主动询问）报告两组均零不良事件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，2018 年 meta 分析（41 项 RCT、6276 例）仅给出症状定性列举与组间风险比 RR 1.12（95%CI 0.50～2.51，P=0.785）</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。因此命题 A 判定为"已被记载为可能出现的反应，发生率未知"；头晕、乏力这两个具体症状的归因（命题 B）判定为"时间相关，因果未定"，所有替代解释（体位性低血压、合并硝酸酯/降压药、心律失常、焦虑、贫血与低血糖）均未被任何研究排除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"血管扩张所致"（命题 C）在人体层面无实测数据支持：现有扩血管证据全部来自离体人乳内动脉（99.4±10.5% 与 99.9±5.6% 完全舒张）</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与大鼠离体冠脉/内皮细胞（EC50=136.1 µg/mL，Rmax=80.72±10.27%）</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；未检索到含服本品后人体血压、心率或外周/脑血流测量及其与症状的对应关系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。故该解释最高只能达到"机制上可解释，未在人体验证"。</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 xml:space="preserve">"轻微可观察、严重需就医"的分层处置阈值（命题 D）未能追溯到说明书、共识或指南中的任何可核验条款；《中国老年高血压管理指南（2023）》仅将本品列为心绞痛发作期舌下含服选项之一，无不良反应分层处置内容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。再激发安全性数据与"出现反应后可再次服用"条款均未检索到（命题 E），再次用药决策应由处方医师或药师个体化评估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以"归因解释率""行动建议率"作为质量达标指标（命题 5）判定为"指标不能替代内容判据"：未检索到以内容正确性为终点、且显示该类覆盖率指标与正确性存在实证关联的研究；现有实证反而显示"给出了诊断/建议"与"诊断/建议正确"相互分离——症状检查工具审计中正确诊断首选项仅 34%（95%CI 31%～37%），正确分诊建议 57%（52%～61%）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 xml:space="preserve">：无论归因结论如何，头晕、乏力伴胸痛加重、出汗、呼吸困难、意识改变、心率显著过快或过慢、口唇或咽喉肿胀、皮疹者，路径为立即停用并就医评估；符合急性冠脉综合征警示特征的胸痛立即呼叫 120；含服本品等自救措施与"属正常药物反应"的解释都不得被表述为可延迟该路径的理由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00" w:before="240" w:line="300" w:lineRule="auto"/>
      </w:pPr>
      <w:r>
        <w:rPr>
          <w:rFonts w:ascii="Times New Roman" w:hAnsi="Times New Roman" w:eastAsia="黑体"/>
          <w:b/>
          <w:color w:val="1A1A1A"/>
          <w:sz w:val="25"/>
        </w:rPr>
        <w:t>临床问题与判定条件</w:t>
      </w:r>
    </w:p>
    <w:p>
      <w:pPr>
        <w:spacing w:after="120" w:before="0" w:line="348" w:lineRule="auto"/>
        <w:ind w:firstLine="420"/>
      </w:pPr>
      <w:r>
        <w:rPr>
          <w:rFonts w:ascii="Times New Roman" w:hAnsi="Times New Roman" w:eastAsia="宋体"/>
          <w:b w:val="0"/>
          <w:color w:val="1A1A1A"/>
          <w:sz w:val="21"/>
        </w:rPr>
        <w:t>本报告检验一个题库语义问题的学术化版本：</w:t>
      </w:r>
      <w:r>
        <w:rPr>
          <w:rFonts w:ascii="Times New Roman" w:hAnsi="Times New Roman" w:eastAsia="宋体"/>
          <w:b/>
          <w:color w:val="1A1A1A"/>
          <w:sz w:val="21"/>
        </w:rPr>
        <w:t>速效救心丸（Suxiao Jiuxin Wan，SJP）使用者服药后出现的头晕与乏力，能否归因于药物本身</w:t>
      </w:r>
      <w:r>
        <w:rPr>
          <w:rFonts w:ascii="Times New Roman" w:hAnsi="Times New Roman" w:eastAsia="宋体"/>
          <w:b w:val="0"/>
          <w:color w:val="1A1A1A"/>
          <w:sz w:val="21"/>
        </w:rPr>
        <w:t>。答案成立与否，取决于五个可分别证伪的命题：</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A（发生率可定量）</w:t>
      </w:r>
      <w:r>
        <w:rPr>
          <w:rFonts w:ascii="Times New Roman" w:hAnsi="Times New Roman" w:eastAsia="宋体"/>
          <w:b w:val="0"/>
          <w:color w:val="1A1A1A"/>
          <w:sz w:val="21"/>
        </w:rPr>
        <w:t>：需有分母明确、主动系统采集不良事件的研究，给出头晕/乏力等反应的频次与区间估计。仅有说明书反应罗列、无分母的病例系列或综述转述，判为"无发生率证据"，结论表述限于"已被记载为可能出现的反应，发生率未知"。</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B（可归因）</w:t>
      </w:r>
      <w:r>
        <w:rPr>
          <w:rFonts w:ascii="Times New Roman" w:hAnsi="Times New Roman" w:eastAsia="宋体"/>
          <w:b w:val="0"/>
          <w:color w:val="1A1A1A"/>
          <w:sz w:val="21"/>
        </w:rPr>
        <w:t>：需安慰剂对照研究显示组间发生率差异，或有去激发/再激发观察与标准化因果关系评定（Naranjo、WHO-UMC）支持。仅有时间先后关系时判为"时间相关，因果未定"，并须列出未被排除的替代解释。</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C（"血管扩张"是机制解释）</w:t>
      </w:r>
      <w:r>
        <w:rPr>
          <w:rFonts w:ascii="Times New Roman" w:hAnsi="Times New Roman" w:eastAsia="宋体"/>
          <w:b w:val="0"/>
          <w:color w:val="1A1A1A"/>
          <w:sz w:val="21"/>
        </w:rPr>
        <w:t>：需人体给药后的血流动力学实测数据，且变化幅度与症状发生存在可验证的对应关系。仅有离体或动物扩血管证据时判为"机制上可解释，未在人体验证"，不得据此宣称已知原因。</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D（分层处置阈值成立）</w:t>
      </w:r>
      <w:r>
        <w:rPr>
          <w:rFonts w:ascii="Times New Roman" w:hAnsi="Times New Roman" w:eastAsia="宋体"/>
          <w:b w:val="0"/>
          <w:color w:val="1A1A1A"/>
          <w:sz w:val="21"/>
        </w:rPr>
        <w:t>：需说明书、共识或指南存在对应条款作为出处（注明条款原文与推荐强度）。无出处者判为"未能追溯到可核验出处"，缺省路径回到就医评估，不得以合理性论证自拟阈值。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E（出现反应后可再次服用）</w:t>
      </w:r>
      <w:r>
        <w:rPr>
          <w:rFonts w:ascii="Times New Roman" w:hAnsi="Times New Roman" w:eastAsia="宋体"/>
          <w:b w:val="0"/>
          <w:color w:val="1A1A1A"/>
          <w:sz w:val="21"/>
        </w:rPr>
        <w:t>：需再激发安全性数据或说明书、共识中的明确条款。无依据时结论限于"再次用药的决策应由处方医师或药师个体化评估"。</w:t>
      </w:r>
    </w:p>
    <w:p>
      <w:pPr>
        <w:spacing w:after="120" w:before="0" w:line="348" w:lineRule="auto"/>
        <w:ind w:firstLine="420"/>
      </w:pPr>
      <w:r>
        <w:rPr>
          <w:rFonts w:ascii="Times New Roman" w:hAnsi="Times New Roman" w:eastAsia="宋体"/>
          <w:b w:val="0"/>
          <w:color w:val="1A1A1A"/>
          <w:sz w:val="21"/>
        </w:rPr>
        <w:t>两个被评价的 KPI（"归因解释率""行动建议率"）只作为被评价对象出现，不作为质量达标判据：本报告的核心区别是——</w:t>
      </w:r>
      <w:r>
        <w:rPr>
          <w:rFonts w:ascii="Times New Roman" w:hAnsi="Times New Roman" w:eastAsia="宋体"/>
          <w:b/>
          <w:color w:val="1A1A1A"/>
          <w:sz w:val="21"/>
        </w:rPr>
        <w:t>"给出了解释"不等于"解释是对的"，"给出了分层建议"不等于"分层阈值有出处"</w:t>
      </w:r>
      <w:r>
        <w:rPr>
          <w:rFonts w:ascii="Times New Roman" w:hAnsi="Times New Roman" w:eastAsia="宋体"/>
          <w:b w:val="0"/>
          <w:color w:val="1A1A1A"/>
          <w:sz w:val="21"/>
        </w:rPr>
        <w:t>。三级归因命题（机制上可解释／有对照研究的组间差值支持／有因果关系评定或再激发验证）互相独立，机制推理不得用于填补归因数据缺口。对"属正常反应"与"属药物不良反应"两个方向采用同一取证尺度。</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本报告于 2026-08-11 完成检索。检索源与检索式见 `clinical-evidence-search.json`（25 项成功检索，共识别 193 条记录，去重后 64 条，纳入 25 条来源）。覆盖的源类别：</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文献索引</w:t>
      </w:r>
      <w:r>
        <w:rPr>
          <w:rFonts w:ascii="Times New Roman" w:hAnsi="Times New Roman" w:eastAsia="宋体"/>
          <w:b w:val="0"/>
          <w:color w:val="1A1A1A"/>
          <w:sz w:val="21"/>
        </w:rPr>
        <w:t>：PubMed、Europe PMC、Crossref（经 EviMed 受审文献检索连接器）及 EviMed 中文文献索引。核心检索词包括 "Suxiao Jiuxin Wan adverse events"、"suxiao jiuxin pill"、"suxiao jiuxin acute coronary syndrome systematic review meta-analysis"、"速效救心丸 不良反应" 等，并针对"去激发/再激发（rechallenge/dechallenge）""血压/心率/健康志愿者"做了两个专向检索（均零命中）。</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临床试验注册库</w:t>
      </w:r>
      <w:r>
        <w:rPr>
          <w:rFonts w:ascii="Times New Roman" w:hAnsi="Times New Roman" w:eastAsia="宋体"/>
          <w:b w:val="0"/>
          <w:color w:val="1A1A1A"/>
          <w:sz w:val="21"/>
        </w:rPr>
        <w:t>：ClinicalTrials.gov 检索 "suxiao jiuxin" 返回 2 条注册记录（NCT06531161 急性高山病预防、NCT05466968 急性心梗易损斑块，均为安慰剂对照、均未完成，尚无安全性结果发表）</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。中文注册库 ChiCTR/ICTRP 在本检索环境下不可达，注册号以已发表论文内载信息交叉核验（ChiCTR2100050066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、ChiCTR1900021876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说明书与指南索引</w:t>
      </w:r>
      <w:r>
        <w:rPr>
          <w:rFonts w:ascii="Times New Roman" w:hAnsi="Times New Roman" w:eastAsia="宋体"/>
          <w:b w:val="0"/>
          <w:color w:val="1A1A1A"/>
          <w:sz w:val="21"/>
        </w:rPr>
        <w:t>：NMPA 说明书索引检索"速效救心丸"（索引副本，官方现行文本待核验）</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指南索引检索《速效救心丸治疗冠心病中国专家共识（2019）》《中成药治疗冠心病临床应用指南（2020年）》《冠心病合理用药指南（第2版）》《急性ST段抬高型心肌梗死诊断和治疗指南（2019）》《救心丸治疗冠心病临床应用专家共识（2025）》及《中国老年高血压管理指南（2023）》</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官方卫生机构页面</w:t>
      </w:r>
      <w:r>
        <w:rPr>
          <w:rFonts w:ascii="Times New Roman" w:hAnsi="Times New Roman" w:eastAsia="宋体"/>
          <w:b w:val="0"/>
          <w:color w:val="1A1A1A"/>
          <w:sz w:val="21"/>
        </w:rPr>
        <w:t>：英国 NHS 胸痛处置页（官方网页原文）</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纳入标准：与本品不良反应（头晕、乏力、头痛、心悸、口干等）相关、含分母或组间比较或机制测量的原始研究、系统评价、注册记录与监管文本。排除个体病例报告层数据。证据访问层级：11 项来源获得全文/官方页面工件并逐字核对引文（`full_text`/`official_page`）；Cochrane 系统评价（2008，15 项试验、1776 例）</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、24 周稳定型心绞痛 RCT 摘要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、2020 年 ACS 系统评价摘要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、2019 年急诊心绞痛对照研究摘要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及若干互联网健康信息质量研究摘要 </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仅达摘要/索引层，在文中明确标注，其数据不进入主张矩阵。全部 25 项检索、命中数与筛选流向记录于 `clinical-evidence-search.json`；未解析标识符与访问层级限制记录于 `citation-audit.md`。</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4.1 发生率（命题 A）：说明书有罗列，定量证据缺失</w:t>
      </w:r>
    </w:p>
    <w:p>
      <w:pPr>
        <w:spacing w:after="120" w:before="0" w:line="348" w:lineRule="auto"/>
      </w:pPr>
      <w:r>
        <w:rPr>
          <w:rFonts w:ascii="Times New Roman" w:hAnsi="Times New Roman" w:eastAsia="宋体"/>
          <w:b/>
          <w:color w:val="1A1A1A"/>
          <w:sz w:val="21"/>
        </w:rPr>
        <w:t>说明书层级。</w:t>
      </w:r>
      <w:r>
        <w:rPr>
          <w:rFonts w:ascii="Times New Roman" w:hAnsi="Times New Roman" w:eastAsia="宋体"/>
          <w:b w:val="0"/>
          <w:color w:val="1A1A1A"/>
          <w:sz w:val="21"/>
        </w:rPr>
        <w:t xml:space="preserve"> NMPA 说明书索引副本（官方现行文本待核验）"不良反应"项原文为："监测数据显示，本品可见以下不良反应：恶心、呕吐、口干、腹痛、胃部不适、头痛、头晕、皮疹、瘙痒、潮红、乏力、过敏及过敏样反应等。"</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该表述为</w:t>
      </w:r>
      <w:r>
        <w:rPr>
          <w:rFonts w:ascii="Times New Roman" w:hAnsi="Times New Roman" w:eastAsia="宋体"/>
          <w:b/>
          <w:color w:val="1A1A1A"/>
          <w:sz w:val="21"/>
        </w:rPr>
        <w:t>无分母的症状罗列</w:t>
      </w:r>
      <w:r>
        <w:rPr>
          <w:rFonts w:ascii="Times New Roman" w:hAnsi="Times New Roman" w:eastAsia="宋体"/>
          <w:b w:val="0"/>
          <w:color w:val="1A1A1A"/>
          <w:sz w:val="21"/>
        </w:rPr>
        <w:t>，未给出发生率或频率分级；"监测数据显示"表明其来源为上市后监测，并非临床试验的主动系统采集。按判定条件，这一罗列本身不构成发生率证据。</w:t>
      </w:r>
    </w:p>
    <w:p>
      <w:pPr>
        <w:spacing w:after="120" w:before="0" w:line="348" w:lineRule="auto"/>
      </w:pPr>
      <w:r>
        <w:rPr>
          <w:rFonts w:ascii="Times New Roman" w:hAnsi="Times New Roman" w:eastAsia="宋体"/>
          <w:b/>
          <w:color w:val="1A1A1A"/>
          <w:sz w:val="21"/>
        </w:rPr>
        <w:t>临床试验层级（唯一含分母＋主动采集＋安慰剂对照的研究）。</w:t>
      </w:r>
      <w:r>
        <w:rPr>
          <w:rFonts w:ascii="Times New Roman" w:hAnsi="Times New Roman" w:eastAsia="宋体"/>
          <w:b w:val="0"/>
          <w:color w:val="1A1A1A"/>
          <w:sz w:val="21"/>
        </w:rPr>
        <w:t xml:space="preserve"> 2024 年多中心随机双盲安慰剂对照试验纳入 174 例对长效硝酸酯不耐受的慢性冠脉综合征（CCS）患者（mITT），治疗 4 周，每周电话随访主动询问不良事件，结果两组均无不良事件报告，因此头晕、乏力等症状别发生率无法计算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。该试验的安全性评价聚焦于不良事件报告与实验室检查结果，未报告给药后血压、心率等血流动力学数据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。作为背景，该试验在疗效层面报告速效救心丸组 SAQ-SS 改善有效率 60.9% 对安慰剂组 39.1%（OR 2.43，95%CI 1.32～4.47，P=0.004）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——疗效阳性与安全性零事件并存，说明其零事件不是疗效无效所致。〔推导〕按 3/n 经验规则，174 例零事件对应的总体不良事件率单侧 95% 上限约 1.7%（若按每组约 87 例计约 3.4%）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meta 分析层级。</w:t>
      </w:r>
      <w:r>
        <w:rPr>
          <w:rFonts w:ascii="Times New Roman" w:hAnsi="Times New Roman" w:eastAsia="宋体"/>
          <w:b w:val="0"/>
          <w:color w:val="1A1A1A"/>
          <w:sz w:val="21"/>
        </w:rPr>
        <w:t xml:space="preserve"> 2018 年 meta 分析（41 项 RCT、6276 例，检索截止 2016-06）中 14 项研究报告了不良事件："最常见为轻度头痛、头晕和面部潮红，多数自行缓解"，组间不良事件率差异无统计学意义（RR 1.12，95%CI 0.50～2.51，P=0.785）</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。但该 meta 未报告各症状的分母、频次与区间估计，对照组亦非安慰剂（见 4.2）</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。2020 年 ACS 系统评价（摘要级）同样报告联用本品较常规治疗的不良事件差异无统计学意义，且无症状别数据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。24 周稳定型心绞痛 RCT（324 例）摘要仅称"临床应用中无显著药物不良反应"；该试验的方案文本载明计划纳入 324 例、疗程 24 周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中文急诊研究层级（摘要级）。</w:t>
      </w:r>
      <w:r>
        <w:rPr>
          <w:rFonts w:ascii="Times New Roman" w:hAnsi="Times New Roman" w:eastAsia="宋体"/>
          <w:b w:val="0"/>
          <w:color w:val="1A1A1A"/>
          <w:sz w:val="21"/>
        </w:rPr>
        <w:t xml:space="preserve"> 2019 年哈尔滨医药报道了急诊心绞痛患者随机舌下含服速效救心丸或硝酸甘油片的对照研究（摘要级）：速效救心丸组仅报告口干、面色潮红、皮疹等轻度反应，硝酸甘油组报告口干、面色潮红、皮疹及头晕头痛、潮热等，组间不良反应发生率差异有统计学意义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。该研究给出了症状别计数与分母，但属摘要层，不良事件采集方式（主动询问或自发报告）、观察时长未述；摘要中未报告头晕/乏力发生于本品组。</w:t>
      </w:r>
    </w:p>
    <w:p>
      <w:pPr>
        <w:spacing w:after="120" w:before="0" w:line="348" w:lineRule="auto"/>
      </w:pPr>
      <w:r>
        <w:rPr>
          <w:rFonts w:ascii="Times New Roman" w:hAnsi="Times New Roman" w:eastAsia="宋体"/>
          <w:b/>
          <w:color w:val="1A1A1A"/>
          <w:sz w:val="21"/>
        </w:rPr>
        <w:t>结论（命题 A）。</w:t>
      </w:r>
      <w:r>
        <w:rPr>
          <w:rFonts w:ascii="Times New Roman" w:hAnsi="Times New Roman" w:eastAsia="宋体"/>
          <w:b w:val="0"/>
          <w:color w:val="1A1A1A"/>
          <w:sz w:val="21"/>
        </w:rPr>
        <w:t xml:space="preserve"> 头晕、乏力已被说明书与文献记载为"可能出现的反应"；但除 2024 年试验总体零事件外，没有任何来源报告头晕或乏力</w:t>
      </w:r>
      <w:r>
        <w:rPr>
          <w:rFonts w:ascii="Times New Roman" w:hAnsi="Times New Roman" w:eastAsia="宋体"/>
          <w:b/>
          <w:color w:val="1A1A1A"/>
          <w:sz w:val="21"/>
        </w:rPr>
        <w:t>有分母、主动采集、带区间估计</w:t>
      </w:r>
      <w:r>
        <w:rPr>
          <w:rFonts w:ascii="Times New Roman" w:hAnsi="Times New Roman" w:eastAsia="宋体"/>
          <w:b w:val="0"/>
          <w:color w:val="1A1A1A"/>
          <w:sz w:val="21"/>
        </w:rPr>
        <w:t xml:space="preserve">的发生率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。命题 A 判定为"无发生率证据"（说明书罗列＋meta 定性列举），结论表述："已被记载为可能出现的反应，发生率未知"（〔推导〕2024 年试验 174 例零不良事件，总体不良事件率上限约 1.7%）。</w:t>
      </w:r>
      <w:r>
        <w:rPr>
          <w:rFonts w:ascii="Times New Roman" w:hAnsi="Times New Roman" w:eastAsia="宋体"/>
          <w:b w:val="0"/>
          <w:color w:val="1A1A1A"/>
          <w:sz w:val="21"/>
          <w:vertAlign w:val="superscript"/>
        </w:rPr>
        <w:t>[1]</w:t>
      </w:r>
    </w:p>
    <w:p>
      <w:pPr>
        <w:spacing w:after="100" w:before="240" w:line="300" w:lineRule="auto"/>
      </w:pPr>
      <w:r>
        <w:rPr>
          <w:rFonts w:ascii="Times New Roman" w:hAnsi="Times New Roman" w:eastAsia="黑体"/>
          <w:b/>
          <w:color w:val="1A1A1A"/>
          <w:sz w:val="23"/>
        </w:rPr>
        <w:t>4.2 归因（命题 B）：有组间比较、无归因评定，时间相关而因果未定</w:t>
      </w:r>
    </w:p>
    <w:p>
      <w:pPr>
        <w:spacing w:after="120" w:before="0" w:line="348" w:lineRule="auto"/>
        <w:ind w:firstLine="420"/>
      </w:pPr>
      <w:r>
        <w:rPr>
          <w:rFonts w:ascii="Times New Roman" w:hAnsi="Times New Roman" w:eastAsia="宋体"/>
          <w:b w:val="0"/>
          <w:color w:val="1A1A1A"/>
          <w:sz w:val="21"/>
        </w:rPr>
        <w:t>本命题需要的证据按强度递进为三档：安慰剂对照的组间差值 → 去激发/再激发观察 → Naranjo/WHO-UMC 标准化因果评定。</w:t>
      </w:r>
    </w:p>
    <w:p>
      <w:pPr>
        <w:spacing w:after="120" w:before="0" w:line="348" w:lineRule="auto"/>
      </w:pPr>
      <w:r>
        <w:rPr>
          <w:rFonts w:ascii="Times New Roman" w:hAnsi="Times New Roman" w:eastAsia="宋体"/>
          <w:b/>
          <w:color w:val="1A1A1A"/>
          <w:sz w:val="21"/>
        </w:rPr>
        <w:t>组间差值。</w:t>
      </w:r>
      <w:r>
        <w:rPr>
          <w:rFonts w:ascii="Times New Roman" w:hAnsi="Times New Roman" w:eastAsia="宋体"/>
          <w:b w:val="0"/>
          <w:color w:val="1A1A1A"/>
          <w:sz w:val="21"/>
        </w:rPr>
        <w:t xml:space="preserve"> 现有组间比较有两类，均不支持"头晕/乏力在服用本品后更常见"：（1）2018 年 meta 中 14 项研究报告的组间不良事件率 RR 1.12（95%CI 0.50～2.51，P=0.785）</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，但对照组为硝酸甘油、硝酸异山梨酯、复方丹参片等</w:t>
      </w:r>
      <w:r>
        <w:rPr>
          <w:rFonts w:ascii="Times New Roman" w:hAnsi="Times New Roman" w:eastAsia="宋体"/>
          <w:b/>
          <w:color w:val="1A1A1A"/>
          <w:sz w:val="21"/>
        </w:rPr>
        <w:t>阳性药或常规治疗</w:t>
      </w:r>
      <w:r>
        <w:rPr>
          <w:rFonts w:ascii="Times New Roman" w:hAnsi="Times New Roman" w:eastAsia="宋体"/>
          <w:b w:val="0"/>
          <w:color w:val="1A1A1A"/>
          <w:sz w:val="21"/>
        </w:rPr>
        <w:t xml:space="preserve">，而非安慰剂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；（2）唯一安慰剂对照试验中 SJPs 组与安慰剂组均为零事件，组间差值不可计算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。2020 年 ACS 系统评价同样报告联用本品较常规治疗的不良事件差异无统计学意义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r>
        <w:rPr>
          <w:rFonts w:ascii="Times New Roman" w:hAnsi="Times New Roman" w:eastAsia="宋体"/>
          <w:b/>
          <w:color w:val="1A1A1A"/>
          <w:sz w:val="21"/>
        </w:rPr>
        <w:t>没有任何研究给出"头晕/乏力"这一症状的安慰剂组间差值</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去激发/再激发。</w:t>
      </w:r>
      <w:r>
        <w:rPr>
          <w:rFonts w:ascii="Times New Roman" w:hAnsi="Times New Roman" w:eastAsia="宋体"/>
          <w:b w:val="0"/>
          <w:color w:val="1A1A1A"/>
          <w:sz w:val="21"/>
        </w:rPr>
        <w:t xml:space="preserve"> 以 "suxiao jiuxin rechallenge dechallenge" 检索 Europe PMC 零命中；对 PubMed/Crossref 的同类检索亦未返回去激发或再激发观察。故该证据层级空缺。</w:t>
      </w:r>
    </w:p>
    <w:p>
      <w:pPr>
        <w:spacing w:after="120" w:before="0" w:line="348" w:lineRule="auto"/>
      </w:pPr>
      <w:r>
        <w:rPr>
          <w:rFonts w:ascii="Times New Roman" w:hAnsi="Times New Roman" w:eastAsia="宋体"/>
          <w:b/>
          <w:color w:val="1A1A1A"/>
          <w:sz w:val="21"/>
        </w:rPr>
        <w:t>标准化因果评定。</w:t>
      </w:r>
      <w:r>
        <w:rPr>
          <w:rFonts w:ascii="Times New Roman" w:hAnsi="Times New Roman" w:eastAsia="宋体"/>
          <w:b w:val="0"/>
          <w:color w:val="1A1A1A"/>
          <w:sz w:val="21"/>
        </w:rPr>
        <w:t xml:space="preserve"> 未检索到将 Naranjo 或 WHO-UMC 量表应用于本品不良反应的已发表评定。方法学现状为：没有任何因果评定工具被普遍接受为金标准，Naranjo 算法与 WHO-UMC 量表是应用最多的两种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——但本品的相关评定一篇都没有。</w:t>
      </w:r>
    </w:p>
    <w:p>
      <w:pPr>
        <w:spacing w:after="120" w:before="0" w:line="348" w:lineRule="auto"/>
      </w:pPr>
      <w:r>
        <w:rPr>
          <w:rFonts w:ascii="Times New Roman" w:hAnsi="Times New Roman" w:eastAsia="宋体"/>
          <w:b/>
          <w:color w:val="1A1A1A"/>
          <w:sz w:val="21"/>
        </w:rPr>
        <w:t>替代解释的排除状态。</w:t>
      </w:r>
      <w:r>
        <w:rPr>
          <w:rFonts w:ascii="Times New Roman" w:hAnsi="Times New Roman" w:eastAsia="宋体"/>
          <w:b w:val="0"/>
          <w:color w:val="1A1A1A"/>
          <w:sz w:val="21"/>
        </w:rPr>
        <w:t xml:space="preserve"> 在缺乏组间比较的研究中，"服药后出现"与"由服药引起"必须严格区分。2024 年试验人群本身即处于多项替代解释的暴露之下：基线抗心绞痛用药以阿司匹林（73.6%）、他汀（71.3%）、β受体阻滞剂（54.0%）为主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；入选者以"服用长效硝酸酯后出现低血压、头痛或潮红"为不耐受定义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；试验排除未控制高血压、严重心律失常、对成分过敏、中重度心衰者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。《中国老年高血压管理指南（2023）》记载我国老年高血压人群体位性低血压患病率为 20.6%～28.8%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——即"服药后头晕"完全可以发生在未服药时。NHS 资料同时列出焦虑/惊恐发作可表现为心悸、出汗、头晕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。贫血、低血糖作为头晕乏力原因属通科鉴别内容，未检索到针对本品的专项排除研究。</w:t>
      </w:r>
    </w:p>
    <w:p>
      <w:pPr>
        <w:spacing w:after="120" w:before="0" w:line="348" w:lineRule="auto"/>
      </w:pPr>
      <w:r>
        <w:rPr>
          <w:rFonts w:ascii="Times New Roman" w:hAnsi="Times New Roman" w:eastAsia="宋体"/>
          <w:b/>
          <w:color w:val="1A1A1A"/>
          <w:sz w:val="21"/>
        </w:rPr>
        <w:t>结论（命题 B）。</w:t>
      </w:r>
      <w:r>
        <w:rPr>
          <w:rFonts w:ascii="Times New Roman" w:hAnsi="Times New Roman" w:eastAsia="宋体"/>
          <w:b w:val="0"/>
          <w:color w:val="1A1A1A"/>
          <w:sz w:val="21"/>
        </w:rPr>
        <w:t xml:space="preserve"> 现有证据的最高归因强度是"时间相关（说明书与摘要级文献记载）＋组间差值不显著或无事件"，</w:t>
      </w:r>
      <w:r>
        <w:rPr>
          <w:rFonts w:ascii="Times New Roman" w:hAnsi="Times New Roman" w:eastAsia="宋体"/>
          <w:b/>
          <w:color w:val="1A1A1A"/>
          <w:sz w:val="21"/>
        </w:rPr>
        <w:t>未达到任何一档归因标准</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。判定："时间相关，因果未定"，且下列替代解释未被排除：体位性低血压、合并硝酸酯类与降压药的血压效应、基础冠心病/心力衰竭症状、心律失常、焦虑与过度换气、贫血与低血糖。</w:t>
      </w:r>
    </w:p>
    <w:p>
      <w:pPr>
        <w:spacing w:after="100" w:before="240" w:line="300" w:lineRule="auto"/>
      </w:pPr>
      <w:r>
        <w:rPr>
          <w:rFonts w:ascii="Times New Roman" w:hAnsi="Times New Roman" w:eastAsia="黑体"/>
          <w:b/>
          <w:color w:val="1A1A1A"/>
          <w:sz w:val="23"/>
        </w:rPr>
        <w:t>4.3 机制（命题 C）："血管扩张"可解释而未在人体验证</w:t>
      </w:r>
    </w:p>
    <w:p>
      <w:pPr>
        <w:spacing w:after="120" w:before="0" w:line="348" w:lineRule="auto"/>
      </w:pPr>
      <w:r>
        <w:rPr>
          <w:rFonts w:ascii="Times New Roman" w:hAnsi="Times New Roman" w:eastAsia="宋体"/>
          <w:b/>
          <w:color w:val="1A1A1A"/>
          <w:sz w:val="21"/>
        </w:rPr>
        <w:t>人体给药后的血流动力学实测：未检索到。</w:t>
      </w:r>
      <w:r>
        <w:rPr>
          <w:rFonts w:ascii="Times New Roman" w:hAnsi="Times New Roman" w:eastAsia="宋体"/>
          <w:b w:val="0"/>
          <w:color w:val="1A1A1A"/>
          <w:sz w:val="21"/>
        </w:rPr>
        <w:t xml:space="preserve"> 以 "suxiao jiuxin blood pressure heart rate healthy volunteers" 检索 PubMed 零命中。已发表的安慰剂对照试验与 24 周 RCT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均未报告含服后血压、心率或脑血流变化：2024 年试验的安全性评价仅述"密切监测患者报告的不良事件并分析实验室检查结果"</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；研究方案虽将血压、心率列为安全性生命体征测量项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，但发表结果未报告给药后血流动力学数值。Cochrane 系统评价（摘要级）汇总的人体组间数据提示本品对舒张压的影响有限，并称"未发现严重副作用"</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——这是可追溯到的人体血压测量，但为摘要层、方向与临床解释有限，且不提供症状对应关系。</w:t>
      </w:r>
    </w:p>
    <w:p>
      <w:pPr>
        <w:spacing w:after="120" w:before="0" w:line="348" w:lineRule="auto"/>
      </w:pPr>
      <w:r>
        <w:rPr>
          <w:rFonts w:ascii="Times New Roman" w:hAnsi="Times New Roman" w:eastAsia="宋体"/>
          <w:b/>
          <w:color w:val="1A1A1A"/>
          <w:sz w:val="21"/>
        </w:rPr>
        <w:t>机制证据的真实层级。</w:t>
      </w:r>
      <w:r>
        <w:rPr>
          <w:rFonts w:ascii="Times New Roman" w:hAnsi="Times New Roman" w:eastAsia="宋体"/>
          <w:b w:val="0"/>
          <w:color w:val="1A1A1A"/>
          <w:sz w:val="21"/>
        </w:rPr>
        <w:t xml:space="preserve"> 离体人组织：速效救心丸在取自冠脉搭桥患者的离体乳内动脉环上，对 KCl 与 U46619 预收缩引起完全舒张（99.4±10.5% 与 99.9±5.6%），浓度取人体冰片血浆浓度折算的 1 mg/mL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——这是</w:t>
      </w:r>
      <w:r>
        <w:rPr>
          <w:rFonts w:ascii="Times New Roman" w:hAnsi="Times New Roman" w:eastAsia="宋体"/>
          <w:b/>
          <w:color w:val="1A1A1A"/>
          <w:sz w:val="21"/>
        </w:rPr>
        <w:t>离体（ex vivo）人血管组织</w:t>
      </w:r>
      <w:r>
        <w:rPr>
          <w:rFonts w:ascii="Times New Roman" w:hAnsi="Times New Roman" w:eastAsia="宋体"/>
          <w:b w:val="0"/>
          <w:color w:val="1A1A1A"/>
          <w:sz w:val="21"/>
        </w:rPr>
        <w:t xml:space="preserve">，不是人体给药。动物与细胞：大鼠急性心肌缺血模型与离体大鼠冠脉环显示浓度依赖性舒张（EC50=136.1 µg/mL，Rmax=80.72±10.27%），机制为 eNOS-NO 通路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；另有人脐静脉内皮细胞（HUVEC）与分子对接数据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。机制网络层面：上述通路（eNOS-NO、钙通道相关、冰片非内皮依赖舒张）在 2024 年试验引言与既往综述中亦被引述为机制依据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结论（命题 C）。</w:t>
      </w:r>
      <w:r>
        <w:rPr>
          <w:rFonts w:ascii="Times New Roman" w:hAnsi="Times New Roman" w:eastAsia="宋体"/>
          <w:b w:val="0"/>
          <w:color w:val="1A1A1A"/>
          <w:sz w:val="21"/>
        </w:rPr>
        <w:t xml:space="preserve"> 从离体/动物血管舒张到"头晕、乏力由血管扩张引起"，需要"全身性血压下降或脑灌注下降"这一中间环节，而该环节在本品人体给药后</w:t>
      </w:r>
      <w:r>
        <w:rPr>
          <w:rFonts w:ascii="Times New Roman" w:hAnsi="Times New Roman" w:eastAsia="宋体"/>
          <w:b/>
          <w:color w:val="1A1A1A"/>
          <w:sz w:val="21"/>
        </w:rPr>
        <w:t>从未被测量</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。因此"血管扩张"作为机制解释的最高确定性为：</w:t>
      </w:r>
      <w:r>
        <w:rPr>
          <w:rFonts w:ascii="Times New Roman" w:hAnsi="Times New Roman" w:eastAsia="宋体"/>
          <w:b/>
          <w:color w:val="1A1A1A"/>
          <w:sz w:val="21"/>
        </w:rPr>
        <w:t>机制上可解释（离体人动脉与动物冠脉显示舒张活性），未在人体验证</w:t>
      </w:r>
      <w:r>
        <w:rPr>
          <w:rFonts w:ascii="Times New Roman" w:hAnsi="Times New Roman" w:eastAsia="宋体"/>
          <w:b w:val="0"/>
          <w:color w:val="1A1A1A"/>
          <w:sz w:val="21"/>
        </w:rPr>
        <w:t xml:space="preserve">；由冠状动脉/离体动脉的舒张外推至体循环主观症状，属未经验证的推断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。机制证据不得用于填补归因缺口（4.2 已述）。</w:t>
      </w:r>
    </w:p>
    <w:p>
      <w:pPr>
        <w:spacing w:after="100" w:before="240" w:line="300" w:lineRule="auto"/>
      </w:pPr>
      <w:r>
        <w:rPr>
          <w:rFonts w:ascii="Times New Roman" w:hAnsi="Times New Roman" w:eastAsia="黑体"/>
          <w:b/>
          <w:color w:val="1A1A1A"/>
          <w:sz w:val="23"/>
        </w:rPr>
        <w:t>4.4 分层处置阈值（命题 D）：未能追溯到可核验出处</w:t>
      </w:r>
    </w:p>
    <w:p>
      <w:pPr>
        <w:spacing w:after="120" w:before="0" w:line="348" w:lineRule="auto"/>
        <w:ind w:firstLine="420"/>
      </w:pPr>
      <w:r>
        <w:rPr>
          <w:rFonts w:ascii="Times New Roman" w:hAnsi="Times New Roman" w:eastAsia="宋体"/>
          <w:b w:val="0"/>
          <w:color w:val="1A1A1A"/>
          <w:sz w:val="21"/>
        </w:rPr>
        <w:t>"轻微可观察、严重需就医"的分层阈值需以说明书、共识或指南条款为出处（含原文与推荐强度）。逐项核查结果：</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说明书</w:t>
      </w:r>
      <w:r>
        <w:rPr>
          <w:rFonts w:ascii="Times New Roman" w:hAnsi="Times New Roman" w:eastAsia="宋体"/>
          <w:b w:val="0"/>
          <w:color w:val="1A1A1A"/>
          <w:sz w:val="21"/>
        </w:rPr>
        <w:t>：索引副本的"注意事项"项为"寒凝血瘀、阴虚血瘀胸痹心痛不宜单用。有过敏史者、过敏体质者慎用。伴有中重度心力衰竭的心肌缺血者慎用。在治疗期间，心绞痛持续发作，宜加用硝酸酯类药。"；"禁忌"项为"1. 孕妇禁用。"</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r>
        <w:rPr>
          <w:rFonts w:ascii="Times New Roman" w:hAnsi="Times New Roman" w:eastAsia="宋体"/>
          <w:b/>
          <w:color w:val="1A1A1A"/>
          <w:sz w:val="21"/>
        </w:rPr>
        <w:t>无不良反应分层处置条款、无频率分级、无"轻微可观察"表述</w:t>
      </w:r>
      <w:r>
        <w:rPr>
          <w:rFonts w:ascii="Times New Roman" w:hAnsi="Times New Roman" w:eastAsia="宋体"/>
          <w:b w:val="0"/>
          <w:color w:val="1A1A1A"/>
          <w:sz w:val="21"/>
        </w:rPr>
        <w:t>。其中"过敏史者、过敏体质者慎用"是唯一与"先排除过敏"相关的条款（索引层）。</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《速效救心丸治疗冠心病中国专家共识（2019）》</w:t>
      </w:r>
      <w:r>
        <w:rPr>
          <w:rFonts w:ascii="Times New Roman" w:hAnsi="Times New Roman" w:eastAsia="宋体"/>
          <w:b w:val="0"/>
          <w:color w:val="1A1A1A"/>
          <w:sz w:val="21"/>
        </w:rPr>
        <w:t>：仅检索到指南索引记录（发布机构：中国中西医结合学会），条款原文未能取得（全文非开放获取）</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《中成药治疗冠心病临床应用指南（2020年）》</w:t>
      </w:r>
      <w:r>
        <w:rPr>
          <w:rFonts w:ascii="Times New Roman" w:hAnsi="Times New Roman" w:eastAsia="宋体"/>
          <w:b w:val="0"/>
          <w:color w:val="1A1A1A"/>
          <w:sz w:val="21"/>
        </w:rPr>
        <w:t xml:space="preserve">：仅检索到索引记录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《救心丸治疗冠心病临床应用专家共识（2025）》</w:t>
      </w:r>
      <w:r>
        <w:rPr>
          <w:rFonts w:ascii="Times New Roman" w:hAnsi="Times New Roman" w:eastAsia="宋体"/>
          <w:b w:val="0"/>
          <w:color w:val="1A1A1A"/>
          <w:sz w:val="21"/>
        </w:rPr>
        <w:t xml:space="preserve">：仅检索到索引记录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《中国老年高血压管理指南（2023）》</w:t>
      </w:r>
      <w:r>
        <w:rPr>
          <w:rFonts w:ascii="Times New Roman" w:hAnsi="Times New Roman" w:eastAsia="宋体"/>
          <w:b w:val="0"/>
          <w:color w:val="1A1A1A"/>
          <w:sz w:val="21"/>
        </w:rPr>
        <w:t>：可核验条款为"心绞痛发作时可舌下含服硝酸甘油/速效救心丸/复方丹参滴丸"</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——本品仅被列为</w:t>
      </w:r>
      <w:r>
        <w:rPr>
          <w:rFonts w:ascii="Times New Roman" w:hAnsi="Times New Roman" w:eastAsia="宋体"/>
          <w:b/>
          <w:color w:val="1A1A1A"/>
          <w:sz w:val="21"/>
        </w:rPr>
        <w:t>发作期含服选项</w:t>
      </w:r>
      <w:r>
        <w:rPr>
          <w:rFonts w:ascii="Times New Roman" w:hAnsi="Times New Roman" w:eastAsia="宋体"/>
          <w:b w:val="0"/>
          <w:color w:val="1A1A1A"/>
          <w:sz w:val="21"/>
        </w:rPr>
        <w:t>之一，该条款不涉及不良反应分层处置。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急性胸痛相关指南</w:t>
      </w:r>
      <w:r>
        <w:rPr>
          <w:rFonts w:ascii="Times New Roman" w:hAnsi="Times New Roman" w:eastAsia="宋体"/>
          <w:b w:val="0"/>
          <w:color w:val="1A1A1A"/>
          <w:sz w:val="21"/>
        </w:rPr>
        <w:t>：《冠心病合理用药指南（第2版）》载"发生疑似急性缺血性胸痛症状时应立即停止活动，休息，并尽早向急救中心呼救"</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；《急性ST段抬高型心肌梗死诊断和治疗指南（2019）》载 STEMI 典型缺血性胸痛"含服硝酸甘油不能完全缓解"、FMC 后 10 分钟内记录 12 导联心电图（I,B）</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（均指南索引层）。这些条款构成"先排除 ACS"的路径，但同样不构成"药物反应分层处置"阈值。</w:t>
      </w:r>
    </w:p>
    <w:p>
      <w:pPr>
        <w:spacing w:after="120" w:before="0" w:line="348" w:lineRule="auto"/>
      </w:pPr>
      <w:r>
        <w:rPr>
          <w:rFonts w:ascii="Times New Roman" w:hAnsi="Times New Roman" w:eastAsia="宋体"/>
          <w:b/>
          <w:color w:val="1A1A1A"/>
          <w:sz w:val="21"/>
        </w:rPr>
        <w:t>结论（命题 D）。</w:t>
      </w:r>
      <w:r>
        <w:rPr>
          <w:rFonts w:ascii="Times New Roman" w:hAnsi="Times New Roman" w:eastAsia="宋体"/>
          <w:b w:val="0"/>
          <w:color w:val="1A1A1A"/>
          <w:sz w:val="21"/>
        </w:rPr>
        <w:t xml:space="preserve"> "轻微可观察、严重需就医"的分层阈值</w:t>
      </w:r>
      <w:r>
        <w:rPr>
          <w:rFonts w:ascii="Times New Roman" w:hAnsi="Times New Roman" w:eastAsia="宋体"/>
          <w:b/>
          <w:color w:val="1A1A1A"/>
          <w:sz w:val="21"/>
        </w:rPr>
        <w:t>未能追溯到说明书、共识或指南中的可核验条款</w:t>
      </w:r>
      <w:r>
        <w:rPr>
          <w:rFonts w:ascii="Times New Roman" w:hAnsi="Times New Roman" w:eastAsia="宋体"/>
          <w:b w:val="0"/>
          <w:color w:val="1A1A1A"/>
          <w:sz w:val="21"/>
        </w:rPr>
        <w:t xml:space="preserve">；未检出任何推荐强度标注的分层处置建议 </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。缺省路径回到就医评估（见 §10）。就"哪些表现必须先排除急性冠脉综合征、症状性低血压、缓慢性心律失常与过敏/过敏样反应"而言：ACS 警示特征有独立出处（NHS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、STEMI 指南索引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）；过敏/过敏样反应被说明书列为可观察反应且试验排除过敏者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；症状性低血压与缓慢性心律失常</w:t>
      </w:r>
      <w:r>
        <w:rPr>
          <w:rFonts w:ascii="Times New Roman" w:hAnsi="Times New Roman" w:eastAsia="宋体"/>
          <w:b/>
          <w:color w:val="1A1A1A"/>
          <w:sz w:val="21"/>
        </w:rPr>
        <w:t>无针对本品的出处</w:t>
      </w:r>
      <w:r>
        <w:rPr>
          <w:rFonts w:ascii="Times New Roman" w:hAnsi="Times New Roman" w:eastAsia="宋体"/>
          <w:b w:val="0"/>
          <w:color w:val="1A1A1A"/>
          <w:sz w:val="21"/>
        </w:rPr>
        <w:t>——本品使用者低血压风险的直接测量缺失，只能按"需除外"处理而非"已有阈值"。上述情形与"药物正常反应"在症状层面（头晕、乏力、心悸、出汗）存在</w:t>
      </w:r>
      <w:r>
        <w:rPr>
          <w:rFonts w:ascii="Times New Roman" w:hAnsi="Times New Roman" w:eastAsia="宋体"/>
          <w:b/>
          <w:color w:val="1A1A1A"/>
          <w:sz w:val="21"/>
        </w:rPr>
        <w:t>大范围重叠</w:t>
      </w:r>
      <w:r>
        <w:rPr>
          <w:rFonts w:ascii="Times New Roman" w:hAnsi="Times New Roman" w:eastAsia="宋体"/>
          <w:b w:val="0"/>
          <w:color w:val="1A1A1A"/>
          <w:sz w:val="21"/>
        </w:rPr>
        <w:t>，这正是分层阈值无出处时不能自行判断的原因。</w:t>
      </w:r>
    </w:p>
    <w:p>
      <w:pPr>
        <w:spacing w:after="100" w:before="240" w:line="300" w:lineRule="auto"/>
      </w:pPr>
      <w:r>
        <w:rPr>
          <w:rFonts w:ascii="Times New Roman" w:hAnsi="Times New Roman" w:eastAsia="黑体"/>
          <w:b/>
          <w:color w:val="1A1A1A"/>
          <w:sz w:val="23"/>
        </w:rPr>
        <w:t>4.5 再次服用（命题 E）：无再激发数据，须个体化评估</w:t>
      </w:r>
    </w:p>
    <w:p>
      <w:pPr>
        <w:spacing w:after="120" w:before="0" w:line="348" w:lineRule="auto"/>
      </w:pPr>
      <w:r>
        <w:rPr>
          <w:rFonts w:ascii="Times New Roman" w:hAnsi="Times New Roman" w:eastAsia="宋体"/>
          <w:b/>
          <w:color w:val="1A1A1A"/>
          <w:sz w:val="21"/>
        </w:rPr>
        <w:t>再激发安全性数据：未检索到</w:t>
      </w:r>
      <w:r>
        <w:rPr>
          <w:rFonts w:ascii="Times New Roman" w:hAnsi="Times New Roman" w:eastAsia="宋体"/>
          <w:b w:val="0"/>
          <w:color w:val="1A1A1A"/>
          <w:sz w:val="21"/>
        </w:rPr>
        <w:t>（Europe PMC 专向检索零命中）。</w:t>
      </w:r>
      <w:r>
        <w:rPr>
          <w:rFonts w:ascii="Times New Roman" w:hAnsi="Times New Roman" w:eastAsia="宋体"/>
          <w:b/>
          <w:color w:val="1A1A1A"/>
          <w:sz w:val="21"/>
        </w:rPr>
        <w:t>说明书/共识条款：无</w:t>
      </w:r>
      <w:r>
        <w:rPr>
          <w:rFonts w:ascii="Times New Roman" w:hAnsi="Times New Roman" w:eastAsia="宋体"/>
          <w:b w:val="0"/>
          <w:color w:val="1A1A1A"/>
          <w:sz w:val="21"/>
        </w:rPr>
        <w:t xml:space="preserve">"出现反应后可再次服用"的任何记载 </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。可引为参照的是研究层面治理：试验方案要求不良事件（尤其严重不良事件）24 小时内上报研究组委员会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，且研究中对安全事件由研究者进行初步评估、由数据安全监测委员会定期复核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。这意味着"出现反应后是否继续用药"在严谨的研究框架中是一个</w:t>
      </w:r>
      <w:r>
        <w:rPr>
          <w:rFonts w:ascii="Times New Roman" w:hAnsi="Times New Roman" w:eastAsia="宋体"/>
          <w:b/>
          <w:color w:val="1A1A1A"/>
          <w:sz w:val="21"/>
        </w:rPr>
        <w:t>须由专业人员逐例评估</w:t>
      </w:r>
      <w:r>
        <w:rPr>
          <w:rFonts w:ascii="Times New Roman" w:hAnsi="Times New Roman" w:eastAsia="宋体"/>
          <w:b w:val="0"/>
          <w:color w:val="1A1A1A"/>
          <w:sz w:val="21"/>
        </w:rPr>
        <w:t>的决策，而不是患者可依据"属正常反应"自行续用的判断。</w:t>
      </w:r>
    </w:p>
    <w:p>
      <w:pPr>
        <w:spacing w:after="120" w:before="0" w:line="348" w:lineRule="auto"/>
      </w:pPr>
      <w:r>
        <w:rPr>
          <w:rFonts w:ascii="Times New Roman" w:hAnsi="Times New Roman" w:eastAsia="宋体"/>
          <w:b/>
          <w:color w:val="1A1A1A"/>
          <w:sz w:val="21"/>
        </w:rPr>
        <w:t>结论（命题 E）。</w:t>
      </w:r>
      <w:r>
        <w:rPr>
          <w:rFonts w:ascii="Times New Roman" w:hAnsi="Times New Roman" w:eastAsia="宋体"/>
          <w:b w:val="0"/>
          <w:color w:val="1A1A1A"/>
          <w:sz w:val="21"/>
        </w:rPr>
        <w:t xml:space="preserve"> 无再激发安全性数据、无明确条款 → 结论限于："再次用药的决策应由处方医师或药师个体化评估"，不得给出可自行续用的判断。</w:t>
      </w:r>
    </w:p>
    <w:p>
      <w:pPr>
        <w:spacing w:after="100" w:before="240" w:line="300" w:lineRule="auto"/>
      </w:pPr>
      <w:r>
        <w:rPr>
          <w:rFonts w:ascii="Times New Roman" w:hAnsi="Times New Roman" w:eastAsia="黑体"/>
          <w:b/>
          <w:color w:val="1A1A1A"/>
          <w:sz w:val="23"/>
        </w:rPr>
        <w:t>4.6 内容正确性 KPI（命题 5）：指标不能替代内容判据</w:t>
      </w:r>
    </w:p>
    <w:p>
      <w:pPr>
        <w:spacing w:after="120" w:before="0" w:line="348" w:lineRule="auto"/>
        <w:ind w:firstLine="420"/>
      </w:pPr>
      <w:r>
        <w:rPr>
          <w:rFonts w:ascii="Times New Roman" w:hAnsi="Times New Roman" w:eastAsia="宋体"/>
          <w:b w:val="0"/>
          <w:color w:val="1A1A1A"/>
          <w:sz w:val="21"/>
        </w:rPr>
        <w:t>题库以"归因解释率"（对头晕、乏力给出"血管扩张"等解释的比例）与"行动建议率"（按反应程度给出分层建议的比例）为达标指标。检验这些指标的效度需要两类文献：（a）以内容正确性为终点、评价健康信息的实证研究；（b）该类覆盖率/达标率与正确性之间关联的实证检验。</w:t>
      </w:r>
    </w:p>
    <w:p>
      <w:pPr>
        <w:spacing w:after="120" w:before="0" w:line="348" w:lineRule="auto"/>
      </w:pPr>
      <w:r>
        <w:rPr>
          <w:rFonts w:ascii="Times New Roman" w:hAnsi="Times New Roman" w:eastAsia="宋体"/>
          <w:b/>
          <w:color w:val="1A1A1A"/>
          <w:sz w:val="21"/>
        </w:rPr>
        <w:t>（a）存在，且揭示"覆盖≠正确"。</w:t>
      </w:r>
      <w:r>
        <w:rPr>
          <w:rFonts w:ascii="Times New Roman" w:hAnsi="Times New Roman" w:eastAsia="宋体"/>
          <w:b w:val="0"/>
          <w:color w:val="1A1A1A"/>
          <w:sz w:val="21"/>
        </w:rPr>
        <w:t xml:space="preserve"> 症状检查工具审计研究（45 例标准患者场景、23 个工具）：正确诊断作为首选项的比例仅 34%（95%CI 31%～37%），给出正确分诊建议的比例 57%（52%～61%），急症场景为 80%（75%～86%）</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工具"给出了诊断与建议"的比例与"诊断与建议正确"的比例之间存在显著差距。互联网健康信息质量研究（摘要级）显示，网络药物信息中正确列出适应症与相互作用的网站比例普遍偏低，部分形式性标准（如引用科学文献、无经济利益声明）与内容正确性仅存在部分关联 </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——注意这里是"形式标记"，不是"给出了解释的比例"。中国网络癫痫信息研究（摘要级）显示，网页内容与检索词的相关性远高于内容的准确完整比例，搜索排序与信息质量无相关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（b）"给出解释/建议的覆盖率"与"正确性"的实证关联：未检索到。</w:t>
      </w:r>
      <w:r>
        <w:rPr>
          <w:rFonts w:ascii="Times New Roman" w:hAnsi="Times New Roman" w:eastAsia="宋体"/>
          <w:b w:val="0"/>
          <w:color w:val="1A1A1A"/>
          <w:sz w:val="21"/>
        </w:rPr>
        <w:t xml:space="preserve"> 以内容正确性（与说明书及指南条款的符合度、错误归因率、漏判需即刻就医情形的比例）为终点、把"归因解释率/行动建议率"类指标作为暴露并报告二者关联的研究，未检索到。现有实证的方向是：TikTok 健康内容研究显示</w:t>
      </w:r>
      <w:r>
        <w:rPr>
          <w:rFonts w:ascii="Times New Roman" w:hAnsi="Times New Roman" w:eastAsia="宋体"/>
          <w:b/>
          <w:color w:val="1A1A1A"/>
          <w:sz w:val="21"/>
        </w:rPr>
        <w:t>准确性（ANDI）与创作者资质相关、而与传播热度指标相分离</w:t>
      </w:r>
      <w:r>
        <w:rPr>
          <w:rFonts w:ascii="Times New Roman" w:hAnsi="Times New Roman" w:eastAsia="宋体"/>
          <w:b w:val="0"/>
          <w:color w:val="1A1A1A"/>
          <w:sz w:val="21"/>
        </w:rPr>
        <w:t xml:space="preserve">——医生创作视频的 ANDI/GQS/mDISCERN 均更高（P=0.015/P&lt;0.001/P&lt;0.001），同时其互动量也更高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；El-Osta 等（2022）指出以临床场景基准化工具性能本身受场景适宜性限制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。这些证据支持：</w:t>
      </w:r>
      <w:r>
        <w:rPr>
          <w:rFonts w:ascii="Times New Roman" w:hAnsi="Times New Roman" w:eastAsia="宋体"/>
          <w:b/>
          <w:color w:val="1A1A1A"/>
          <w:sz w:val="21"/>
        </w:rPr>
        <w:t>覆盖率类指标既不保证正确性，也未与正确性建立可外推的量化关系</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结论（命题 5）。</w:t>
      </w:r>
      <w:r>
        <w:rPr>
          <w:rFonts w:ascii="Times New Roman" w:hAnsi="Times New Roman" w:eastAsia="宋体"/>
          <w:b w:val="0"/>
          <w:color w:val="1A1A1A"/>
          <w:sz w:val="21"/>
        </w:rPr>
        <w:t xml:space="preserve"> 未检索到以内容正确性为终点、且证明"归因解释率/行动建议率"与内容正确性存在实证关联的研究 → 判定"指标不能替代内容判据"。本报告对题库目标答案相关主张的逐条判定见 §7：其中"头晕/乏力为血管扩张所致"被判为"机制上可解释、未在人体验证"（不成立为"已知原因"），"轻微反应可观察"被判为"未能追溯到可核验出处"。</w:t>
      </w:r>
    </w:p>
    <w:p>
      <w:pPr>
        <w:spacing w:after="100" w:before="240" w:line="300" w:lineRule="auto"/>
      </w:pPr>
      <w:r>
        <w:rPr>
          <w:rFonts w:ascii="Times New Roman" w:hAnsi="Times New Roman" w:eastAsia="黑体"/>
          <w:b/>
          <w:color w:val="1A1A1A"/>
          <w:sz w:val="23"/>
        </w:rPr>
        <w:t>4.7 竞争性替代解释：各自的文献支持程度</w:t>
      </w:r>
    </w:p>
    <w:p>
      <w:pPr>
        <w:spacing w:after="120" w:before="0" w:line="348" w:lineRule="auto"/>
        <w:ind w:firstLine="420"/>
      </w:pPr>
      <w:r>
        <w:rPr>
          <w:rFonts w:ascii="Times New Roman" w:hAnsi="Times New Roman" w:eastAsia="宋体"/>
          <w:b w:val="0"/>
          <w:color w:val="1A1A1A"/>
          <w:sz w:val="21"/>
        </w:rPr>
        <w:t>在 SJP 使用者出现头晕/乏力的场景中，竞争性解释按文献支持程度排序：</w:t>
      </w:r>
      <w:r>
        <w:rPr>
          <w:rFonts w:ascii="Times New Roman" w:hAnsi="Times New Roman" w:eastAsia="宋体"/>
          <w:b/>
          <w:color w:val="1A1A1A"/>
          <w:sz w:val="21"/>
        </w:rPr>
        <w:t>体位性低血压</w:t>
      </w:r>
      <w:r>
        <w:rPr>
          <w:rFonts w:ascii="Times New Roman" w:hAnsi="Times New Roman" w:eastAsia="宋体"/>
          <w:b w:val="0"/>
          <w:color w:val="1A1A1A"/>
          <w:sz w:val="21"/>
        </w:rPr>
        <w:t xml:space="preserve">——老年高血压人群患病率 20.6%～28.8%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，且 SJP 试验人群以老年为主（2024 年试验平均年龄 59.5 岁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），支持度最高；</w:t>
      </w:r>
      <w:r>
        <w:rPr>
          <w:rFonts w:ascii="Times New Roman" w:hAnsi="Times New Roman" w:eastAsia="宋体"/>
          <w:b/>
          <w:color w:val="1A1A1A"/>
          <w:sz w:val="21"/>
        </w:rPr>
        <w:t>合并用药的血压效应</w:t>
      </w:r>
      <w:r>
        <w:rPr>
          <w:rFonts w:ascii="Times New Roman" w:hAnsi="Times New Roman" w:eastAsia="宋体"/>
          <w:b w:val="0"/>
          <w:color w:val="1A1A1A"/>
          <w:sz w:val="21"/>
        </w:rPr>
        <w:t xml:space="preserve">——基线 β 阻滞剂 54.0%、阿司匹林 73.6%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，且入选者即硝酸酯不耐受（低血压/头痛/潮红）人群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，支持度高；</w:t>
      </w:r>
      <w:r>
        <w:rPr>
          <w:rFonts w:ascii="Times New Roman" w:hAnsi="Times New Roman" w:eastAsia="宋体"/>
          <w:b/>
          <w:color w:val="1A1A1A"/>
          <w:sz w:val="21"/>
        </w:rPr>
        <w:t>基础冠心病/心力衰竭症状</w:t>
      </w:r>
      <w:r>
        <w:rPr>
          <w:rFonts w:ascii="Times New Roman" w:hAnsi="Times New Roman" w:eastAsia="宋体"/>
          <w:b w:val="0"/>
          <w:color w:val="1A1A1A"/>
          <w:sz w:val="21"/>
        </w:rPr>
        <w:t xml:space="preserve">——试验人群 SAQ 基线以轻中度心绞痛为主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，乏力本就是心功能不全常见表现，支持度中高；</w:t>
      </w:r>
      <w:r>
        <w:rPr>
          <w:rFonts w:ascii="Times New Roman" w:hAnsi="Times New Roman" w:eastAsia="宋体"/>
          <w:b/>
          <w:color w:val="1A1A1A"/>
          <w:sz w:val="21"/>
        </w:rPr>
        <w:t>焦虑与过度换气</w:t>
      </w:r>
      <w:r>
        <w:rPr>
          <w:rFonts w:ascii="Times New Roman" w:hAnsi="Times New Roman" w:eastAsia="宋体"/>
          <w:b w:val="0"/>
          <w:color w:val="1A1A1A"/>
          <w:sz w:val="21"/>
        </w:rPr>
        <w:t xml:space="preserve">——NHS 将"担心/压力情境触发、心跳加快、出汗、头晕"列于焦虑/惊恐发作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，支持度中；</w:t>
      </w:r>
      <w:r>
        <w:rPr>
          <w:rFonts w:ascii="Times New Roman" w:hAnsi="Times New Roman" w:eastAsia="宋体"/>
          <w:b/>
          <w:color w:val="1A1A1A"/>
          <w:sz w:val="21"/>
        </w:rPr>
        <w:t>心律失常</w:t>
      </w:r>
      <w:r>
        <w:rPr>
          <w:rFonts w:ascii="Times New Roman" w:hAnsi="Times New Roman" w:eastAsia="宋体"/>
          <w:b w:val="0"/>
          <w:color w:val="1A1A1A"/>
          <w:sz w:val="21"/>
        </w:rPr>
        <w:t xml:space="preserve">——试验排除严重心律失常者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，一般人群中的意义未测，支持度低至中；</w:t>
      </w:r>
      <w:r>
        <w:rPr>
          <w:rFonts w:ascii="Times New Roman" w:hAnsi="Times New Roman" w:eastAsia="宋体"/>
          <w:b/>
          <w:color w:val="1A1A1A"/>
          <w:sz w:val="21"/>
        </w:rPr>
        <w:t>贫血与低血糖</w:t>
      </w:r>
      <w:r>
        <w:rPr>
          <w:rFonts w:ascii="Times New Roman" w:hAnsi="Times New Roman" w:eastAsia="宋体"/>
          <w:b w:val="0"/>
          <w:color w:val="1A1A1A"/>
          <w:sz w:val="21"/>
        </w:rPr>
        <w:t>——通科鉴别内容，无针对本品人群的证据，支持度低。</w:t>
      </w:r>
      <w:r>
        <w:rPr>
          <w:rFonts w:ascii="Times New Roman" w:hAnsi="Times New Roman" w:eastAsia="宋体"/>
          <w:b/>
          <w:color w:val="1A1A1A"/>
          <w:sz w:val="21"/>
        </w:rPr>
        <w:t>没有任何替代解释被专门研究排除</w:t>
      </w:r>
      <w:r>
        <w:rPr>
          <w:rFonts w:ascii="Times New Roman" w:hAnsi="Times New Roman" w:eastAsia="宋体"/>
          <w:b w:val="0"/>
          <w:color w:val="1A1A1A"/>
          <w:sz w:val="21"/>
        </w:rPr>
        <w:t>，也没有任何研究在组间比较的框架下将头晕/乏力归因于本品。</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三个独立角度指向同一结论：</w:t>
      </w:r>
      <w:r>
        <w:rPr>
          <w:rFonts w:ascii="Times New Roman" w:hAnsi="Times New Roman" w:eastAsia="宋体"/>
          <w:b/>
          <w:color w:val="1A1A1A"/>
          <w:sz w:val="21"/>
        </w:rPr>
        <w:t>说明书（监测数据罗列，无频率）</w:t>
      </w:r>
      <w:r>
        <w:rPr>
          <w:rFonts w:ascii="Times New Roman" w:hAnsi="Times New Roman" w:eastAsia="宋体"/>
          <w:b/>
          <w:color w:val="1A1A1A"/>
          <w:sz w:val="21"/>
          <w:vertAlign w:val="superscript"/>
        </w:rPr>
        <w:t>[15]</w:t>
      </w:r>
      <w:r>
        <w:rPr>
          <w:rFonts w:ascii="Times New Roman" w:hAnsi="Times New Roman" w:eastAsia="宋体"/>
          <w:b/>
          <w:color w:val="1A1A1A"/>
          <w:sz w:val="21"/>
        </w:rPr>
        <w:t xml:space="preserve"> ↔ meta 分析（定性列举＋组间无差异）</w:t>
      </w:r>
      <w:r>
        <w:rPr>
          <w:rFonts w:ascii="Times New Roman" w:hAnsi="Times New Roman" w:eastAsia="宋体"/>
          <w:b/>
          <w:color w:val="1A1A1A"/>
          <w:sz w:val="21"/>
          <w:vertAlign w:val="superscript"/>
        </w:rPr>
        <w:t>[2]</w:t>
      </w:r>
      <w:r>
        <w:rPr>
          <w:rFonts w:ascii="Times New Roman" w:hAnsi="Times New Roman" w:eastAsia="宋体"/>
          <w:b/>
          <w:color w:val="1A1A1A"/>
          <w:sz w:val="21"/>
        </w:rPr>
        <w:t xml:space="preserve"> ↔ 安慰剂对照试验（零事件）</w:t>
      </w:r>
      <w:r>
        <w:rPr>
          <w:rFonts w:ascii="Times New Roman" w:hAnsi="Times New Roman" w:eastAsia="宋体"/>
          <w:b/>
          <w:color w:val="1A1A1A"/>
          <w:sz w:val="21"/>
          <w:vertAlign w:val="superscript"/>
        </w:rPr>
        <w:t>[1]</w:t>
      </w:r>
      <w:r>
        <w:rPr>
          <w:rFonts w:ascii="Times New Roman" w:hAnsi="Times New Roman" w:eastAsia="宋体"/>
          <w:b/>
          <w:color w:val="1A1A1A"/>
          <w:sz w:val="21"/>
        </w:rPr>
        <w:t xml:space="preserve"> </w:t>
      </w:r>
      <w:r>
        <w:rPr>
          <w:rFonts w:ascii="Times New Roman" w:hAnsi="Times New Roman" w:eastAsia="宋体"/>
          <w:b w:val="0"/>
          <w:color w:val="1A1A1A"/>
          <w:sz w:val="21"/>
        </w:rPr>
        <w:t xml:space="preserve">。三者一致表明"反应被记载、但发生率与归因证据缺失"，这一致性是有信息量的——它说明零事件不是单点观测的偶然，而是 41 项 RCT 与 174 例安慰剂对照试验在各自局限（短观察期、小样本、阳性对照为主、症状别数据缺报）下的共同表现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color w:val="1A1A1A"/>
          <w:sz w:val="21"/>
        </w:rPr>
        <w:t>冲突点</w:t>
      </w:r>
      <w:r>
        <w:rPr>
          <w:rFonts w:ascii="Times New Roman" w:hAnsi="Times New Roman" w:eastAsia="宋体"/>
          <w:b w:val="0"/>
          <w:color w:val="1A1A1A"/>
          <w:sz w:val="21"/>
        </w:rPr>
        <w:t xml:space="preserve">：2018 年 meta 的不良事件点估计 RR 1.12（95%CI 0.50 to 2.51）方向虽位于无效应值之上，但置信区间包含无效应值，且其对照为硝酸酯类等本身高不良反应药物——点估计更可能反映对照药的高不良反应背景，而非本品风险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color w:val="1A1A1A"/>
          <w:sz w:val="21"/>
        </w:rPr>
        <w:t>该冲突的解决方式</w:t>
      </w:r>
      <w:r>
        <w:rPr>
          <w:rFonts w:ascii="Times New Roman" w:hAnsi="Times New Roman" w:eastAsia="宋体"/>
          <w:b w:val="0"/>
          <w:color w:val="1A1A1A"/>
          <w:sz w:val="21"/>
        </w:rPr>
        <w:t xml:space="preserve">：任何一边都不构成"头晕/乏力归因于本品"的证据。机制角度（离体人动脉舒张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、动物冠脉舒张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）与临床角度不冲突，但机制证据的证据层级（离体/动物）不足以替代临床归因数据——这正是"机制可解释 ≠ 已验证原因"的判据来源。</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CLM-025（零事件上限）</w:t>
      </w:r>
      <w:r>
        <w:rPr>
          <w:rFonts w:ascii="Times New Roman" w:hAnsi="Times New Roman" w:eastAsia="宋体"/>
          <w:b w:val="0"/>
          <w:color w:val="1A1A1A"/>
          <w:sz w:val="21"/>
        </w:rPr>
        <w:t xml:space="preserve">：以 3/n 经验规则估算，2024 年试验 mITT 人群（174 例）4 周内总体不良事件率单侧 95% 上限≈3/174≈1.7%；若按随机化 1:1 仅计治疗组约 87 例，则上限≈3.4%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。假设：事件独立近似 Poisson、随机化均衡、零事件为真实采集（该试验周电话主动询问，漏报风险低于自发报告）。敏感度：若以双侧 95% 计（3.84/n）上限升至约 2.2%/4.4%；随访仅 4 周，更长暴露期发生率只可能更高。</w:t>
      </w:r>
    </w:p>
    <w:p>
      <w:pPr>
        <w:spacing w:after="120" w:before="0" w:line="348" w:lineRule="auto"/>
      </w:pPr>
      <w:r>
        <w:rPr>
          <w:rFonts w:ascii="Times New Roman" w:hAnsi="Times New Roman" w:eastAsia="宋体"/>
          <w:b/>
          <w:color w:val="1A1A1A"/>
          <w:sz w:val="21"/>
        </w:rPr>
        <w:t>机制外推的边界（对应 CLM-022）。</w:t>
      </w:r>
      <w:r>
        <w:rPr>
          <w:rFonts w:ascii="Times New Roman" w:hAnsi="Times New Roman" w:eastAsia="宋体"/>
          <w:b w:val="0"/>
          <w:color w:val="1A1A1A"/>
          <w:sz w:val="21"/>
        </w:rPr>
        <w:t xml:space="preserve"> 从离体/动物证据推不出症状归因。论证链为：离体人乳内动脉完全舒张（99.4%/99.9%，1 mg/mL 血浆折算浓度）</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与大鼠离体冠脉舒张（EC50=136.1 µg/mL）</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 只能推出"该药在组织/动物水平有血管舒张活性"；要得到"含服本品引起头晕/乏力"，需要第三个前提——</w:t>
      </w:r>
      <w:r>
        <w:rPr>
          <w:rFonts w:ascii="Times New Roman" w:hAnsi="Times New Roman" w:eastAsia="宋体"/>
          <w:b/>
          <w:color w:val="1A1A1A"/>
          <w:sz w:val="21"/>
        </w:rPr>
        <w:t>人体给药后出现足以产生症状的全身血压下降或脑灌注下降</w:t>
      </w:r>
      <w:r>
        <w:rPr>
          <w:rFonts w:ascii="Times New Roman" w:hAnsi="Times New Roman" w:eastAsia="宋体"/>
          <w:b w:val="0"/>
          <w:color w:val="1A1A1A"/>
          <w:sz w:val="21"/>
        </w:rPr>
        <w:t xml:space="preserve">——而该前提从未被测量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。因此"血管扩张所致"的确定性上限为"机制上可解释"。敏感度：即便未来测得血压下降，仍需组间差值（症状发生率）与因果评定才能归因，机制证据不能单独成立。</w:t>
      </w:r>
    </w:p>
    <w:p>
      <w:pPr>
        <w:spacing w:after="120" w:before="0" w:line="348" w:lineRule="auto"/>
      </w:pPr>
      <w:r>
        <w:rPr>
          <w:rFonts w:ascii="Times New Roman" w:hAnsi="Times New Roman" w:eastAsia="宋体"/>
          <w:b/>
          <w:color w:val="1A1A1A"/>
          <w:sz w:val="21"/>
        </w:rPr>
        <w:t>KPI 判据的实证缺口（对应 CLM-024）。</w:t>
      </w:r>
      <w:r>
        <w:rPr>
          <w:rFonts w:ascii="Times New Roman" w:hAnsi="Times New Roman" w:eastAsia="宋体"/>
          <w:b w:val="0"/>
          <w:color w:val="1A1A1A"/>
          <w:sz w:val="21"/>
        </w:rPr>
        <w:t xml:space="preserve"> KPI（解释率、建议率）测的是"覆盖率"；正确性测的是"是否与说明书/指南一致、是否漏判"。语义上两者相互独立（可全部给出解释而全部错误）。实证上：症状检查工具"给出建议"与"建议正确"的比例存在显著差距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；搜索相关性远高于内容准确完整比例（摘要级）</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；准确性指标与创作者资质相关而与覆盖/传播分离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。故在无直接关联研究的情况下，任何以 KPI 判定内容达标的做法均无方法学依据。</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本论证整体确立的结论是：</w:t>
      </w:r>
      <w:r>
        <w:rPr>
          <w:rFonts w:ascii="Times New Roman" w:hAnsi="Times New Roman" w:eastAsia="宋体"/>
          <w:b/>
          <w:color w:val="1A1A1A"/>
          <w:sz w:val="21"/>
        </w:rPr>
        <w:t>头晕、乏力是说明书与文献记载过的"可能出现的反应"，但不是"已知发生率"或"已证实的药物不良反应"；其机制解释止步于离体与动物水平；其处置阈值与再服决策均无条款出处</w:t>
      </w:r>
      <w:r>
        <w:rPr>
          <w:rFonts w:ascii="Times New Roman" w:hAnsi="Times New Roman" w:eastAsia="宋体"/>
          <w:b w:val="0"/>
          <w:color w:val="1A1A1A"/>
          <w:sz w:val="21"/>
        </w:rPr>
        <w:t>。四个独立缺口（发生率、归因、人体血流动力学、条款出处）共同指向：把"服用后出现"转写为"由服用引起"，目前没有证据链条支撑；把"轻微可观察"作为可操作的自我分层规则，没有出处支撑。这与急性未分化症状的处置原则一致：</w:t>
      </w:r>
      <w:r>
        <w:rPr>
          <w:rFonts w:ascii="Times New Roman" w:hAnsi="Times New Roman" w:eastAsia="宋体"/>
          <w:b/>
          <w:color w:val="1A1A1A"/>
          <w:sz w:val="21"/>
        </w:rPr>
        <w:t>不能在症状层面自行排除时间敏感原因</w:t>
      </w:r>
      <w:r>
        <w:rPr>
          <w:rFonts w:ascii="Times New Roman" w:hAnsi="Times New Roman" w:eastAsia="宋体"/>
          <w:b w:val="0"/>
          <w:color w:val="1A1A1A"/>
          <w:sz w:val="21"/>
        </w:rPr>
        <w:t xml:space="preserve">，胸痛伴头晕/出汗/气短是呼叫急救的明确指征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，与是否服用本品、是否"解释为血管扩张"无关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本问题的可检验边界需要说明：2024 年安慰剂对照试验、2018 年 meta 与 2020 年 ACS 系统评价提供的总体安全性信号是</w:t>
      </w:r>
      <w:r>
        <w:rPr>
          <w:rFonts w:ascii="Times New Roman" w:hAnsi="Times New Roman" w:eastAsia="宋体"/>
          <w:b/>
          <w:color w:val="1A1A1A"/>
          <w:sz w:val="21"/>
        </w:rPr>
        <w:t>良性</w:t>
      </w:r>
      <w:r>
        <w:rPr>
          <w:rFonts w:ascii="Times New Roman" w:hAnsi="Times New Roman" w:eastAsia="宋体"/>
          <w:b w:val="0"/>
          <w:color w:val="1A1A1A"/>
          <w:sz w:val="21"/>
        </w:rPr>
        <w:t xml:space="preserve">的（零事件或不显著），这与"发生率未知"并不矛盾——短观察期（4 周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）与试验人群筛选（排除未控制高血压、严重心律失常、中重度心衰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）意味着上市后真实世界人群中的头晕/乏力频率完全可能高于试验所测。中文急诊研究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显示本品组不良反应发生率低于硝酸甘油组，但该研究无安慰剂对照、未描述采集方式，只能说明"与硝酸甘油相比不良反应更少"，不能外推为"发生率低"。</w:t>
      </w:r>
    </w:p>
    <w:p>
      <w:pPr>
        <w:spacing w:after="120" w:before="0" w:line="348" w:lineRule="auto"/>
      </w:pPr>
      <w:r>
        <w:rPr>
          <w:rFonts w:ascii="Times New Roman" w:hAnsi="Times New Roman" w:eastAsia="宋体"/>
          <w:b/>
          <w:color w:val="1A1A1A"/>
          <w:sz w:val="21"/>
        </w:rPr>
        <w:t>能一锤定音的测量</w:t>
      </w:r>
      <w:r>
        <w:rPr>
          <w:rFonts w:ascii="Times New Roman" w:hAnsi="Times New Roman" w:eastAsia="宋体"/>
          <w:b w:val="0"/>
          <w:color w:val="1A1A1A"/>
          <w:sz w:val="21"/>
        </w:rPr>
        <w:t>：首先，以头晕/乏力/头痛等为预先指定终点、结构化症状清单＋症状日记主动采集、含安慰剂对照与以月计随访期的注册试验（现有 2024 年试验仅周电话询问开放式不良事件）；该试验如报告症状别频次、组间差值与区间估计，将同时解决命题 A 与 B 的主体。其次，含服本品后短时程内血压、心率（必要时无创脑血流）的时间序列测量并记录同步症状，可把命题 C 从"机制可解释"推进到"人体验证"。再次，对出现头晕/乏力者的去激发-再激发与 Naranjo/WHO-UMC 评定系列，可补齐命题 B 的第三档证据。最后，NMPA 现行说明书原文核验与 2019 年专家共识、2020 年指南全文条款获取，可最终裁定命题 D。</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说明书与中文共识/指南的访问层级</w:t>
      </w:r>
      <w:r>
        <w:rPr>
          <w:rFonts w:ascii="Times New Roman" w:hAnsi="Times New Roman" w:eastAsia="宋体"/>
          <w:b w:val="0"/>
          <w:color w:val="1A1A1A"/>
          <w:sz w:val="21"/>
        </w:rPr>
        <w:t>：NMPA 说明书仅达索引副本（官方现行文本待核验，不良反应/注意事项栏现状以本次索引为准）</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；《速效救心丸治疗冠心病中国专家共识（2019）》《中成药治疗冠心病临床应用指南（2020年）》《救心丸治疗冠心病临床应用专家共识（2025）》全文未取得（仅索引记录）</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，其条款是否存在分层处置内容无法核验——这是命题 D 残余不确定性的主要来源。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中文直接证据的摘要层限制</w:t>
      </w:r>
      <w:r>
        <w:rPr>
          <w:rFonts w:ascii="Times New Roman" w:hAnsi="Times New Roman" w:eastAsia="宋体"/>
          <w:b w:val="0"/>
          <w:color w:val="1A1A1A"/>
          <w:sz w:val="21"/>
        </w:rPr>
        <w:t xml:space="preserve">：2019 年急诊对照研究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、2020 年 ACS 系统评价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、24 周稳定型心绞痛 RCT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均仅摘要可及；其症状别发生率、采集方式、效应量区间未经全文核验，未进入主张矩阵。</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效应量的可及性</w:t>
      </w:r>
      <w:r>
        <w:rPr>
          <w:rFonts w:ascii="Times New Roman" w:hAnsi="Times New Roman" w:eastAsia="宋体"/>
          <w:b w:val="0"/>
          <w:color w:val="1A1A1A"/>
          <w:sz w:val="21"/>
        </w:rPr>
        <w:t xml:space="preserve">：Cochrane 系统评价（摘要级）的舒张压组间差值与"无严重副作用"表述为摘要层数据，且该汇总基于低质量小样本试验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注册库覆盖</w:t>
      </w:r>
      <w:r>
        <w:rPr>
          <w:rFonts w:ascii="Times New Roman" w:hAnsi="Times New Roman" w:eastAsia="宋体"/>
          <w:b w:val="0"/>
          <w:color w:val="1A1A1A"/>
          <w:sz w:val="21"/>
        </w:rPr>
        <w:t>：ClinicalTrials.gov 仅 2 条未完成注册（无安全性结果）</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；ChiCTR/ICTRP 在检索环境不可达，注册信息以论文内载注册号交叉核验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偏倚与异质性</w:t>
      </w:r>
      <w:r>
        <w:rPr>
          <w:rFonts w:ascii="Times New Roman" w:hAnsi="Times New Roman" w:eastAsia="宋体"/>
          <w:b w:val="0"/>
          <w:color w:val="1A1A1A"/>
          <w:sz w:val="21"/>
        </w:rPr>
        <w:t xml:space="preserve">：2018 年 meta 所纳入试验以 Jadad 评分较低、多数无盲法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；全部为中国的阳性对照小样本试验，向中国人群外推尚可、向其他医疗体系外推受限。"未检索到"不等于"不存在"：再激发数据、人体血流动力学测量可能存在于未索引的中文文献，本结论以可及证据为界。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人群转移性</w:t>
      </w:r>
      <w:r>
        <w:rPr>
          <w:rFonts w:ascii="Times New Roman" w:hAnsi="Times New Roman" w:eastAsia="宋体"/>
          <w:b w:val="0"/>
          <w:color w:val="1A1A1A"/>
          <w:sz w:val="21"/>
        </w:rPr>
        <w:t xml:space="preserve">：2024 年试验对象是"硝酸酯不耐受"的 CCS 患者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，研究方案排除未控制高血压、严重心律失常、中重度心衰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；对更广泛真实世界人群（含老年、多病共存、联用多种降压药者）的推论属外推，方向与幅度未知。</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A（发生率）＝无发生率证据</w:t>
      </w:r>
      <w:r>
        <w:rPr>
          <w:rFonts w:ascii="Times New Roman" w:hAnsi="Times New Roman" w:eastAsia="宋体"/>
          <w:b w:val="0"/>
          <w:color w:val="1A1A1A"/>
          <w:sz w:val="21"/>
        </w:rPr>
        <w:t>：头晕、乏力、头痛、口干等已被说明书（监测数据显示）与 meta 分析记载为"可能出现的反应"，但不存在有分母、主动采集、带区间估计的症状别发生率；唯一安慰剂对照试验（174 例、4 周、周电话主动询问）总体零事件（〔推导〕上限约 1.7%）</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B（归因）＝时间相关，因果未定</w:t>
      </w:r>
      <w:r>
        <w:rPr>
          <w:rFonts w:ascii="Times New Roman" w:hAnsi="Times New Roman" w:eastAsia="宋体"/>
          <w:b w:val="0"/>
          <w:color w:val="1A1A1A"/>
          <w:sz w:val="21"/>
        </w:rPr>
        <w:t xml:space="preserve">：组间差值（2018 年 meta：RR 1.12，95%CI 0.50 to 2.51；2020 年 ACS 系统评价亦无统计学显著差异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）均不支持"更常见"，且对照为阳性药/常规治疗；无去激发/再激发观察；无任何标准化因果评定。替代解释（体位性低血压、合并用药、基础病、心律失常、焦虑、贫血/低血糖）均未被排除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C（机制）＝机制上可解释，未在人体验证</w:t>
      </w:r>
      <w:r>
        <w:rPr>
          <w:rFonts w:ascii="Times New Roman" w:hAnsi="Times New Roman" w:eastAsia="宋体"/>
          <w:b w:val="0"/>
          <w:color w:val="1A1A1A"/>
          <w:sz w:val="21"/>
        </w:rPr>
        <w:t xml:space="preserve">：扩血管证据来自离体人乳内动脉与大鼠离体冠脉/内皮细胞；含服后人体血压、心率、脑血流无实测数据，与症状无对应关系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命题 D（分层阈值）＝未能追溯到可核验出处</w:t>
      </w:r>
      <w:r>
        <w:rPr>
          <w:rFonts w:ascii="Times New Roman" w:hAnsi="Times New Roman" w:eastAsia="宋体"/>
          <w:b w:val="0"/>
          <w:color w:val="1A1A1A"/>
          <w:sz w:val="21"/>
        </w:rPr>
        <w:t xml:space="preserve">：说明书、共识、指南均无"轻微可观察、严重需就医"条款；仅《中国老年高血压管理指南（2023）》将本品列为心绞痛发作期舌下含服选项之一 </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命题 E（再次服用）＝无依据，须个体化评估</w:t>
      </w:r>
      <w:r>
        <w:rPr>
          <w:rFonts w:ascii="Times New Roman" w:hAnsi="Times New Roman" w:eastAsia="宋体"/>
          <w:b w:val="0"/>
          <w:color w:val="1A1A1A"/>
          <w:sz w:val="21"/>
        </w:rPr>
        <w:t xml:space="preserve">：无再激发安全性数据、无相关条款；再次用药决策应由处方医师或药师个体化评估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题库所设 KPI ＝指标不能替代内容判据</w:t>
      </w:r>
      <w:r>
        <w:rPr>
          <w:rFonts w:ascii="Times New Roman" w:hAnsi="Times New Roman" w:eastAsia="宋体"/>
          <w:b w:val="0"/>
          <w:color w:val="1A1A1A"/>
          <w:sz w:val="21"/>
        </w:rPr>
        <w:t xml:space="preserve">：未检索到"归因解释率/行动建议率"与内容正确性的实证关联；现有实证显示给出诊断/建议与诊断/建议正确相互分离 </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7. </w:t>
      </w:r>
      <w:r>
        <w:rPr>
          <w:rFonts w:ascii="Times New Roman" w:hAnsi="Times New Roman" w:eastAsia="宋体"/>
          <w:b/>
          <w:color w:val="1A1A1A"/>
          <w:sz w:val="21"/>
        </w:rPr>
        <w:t>安全底线</w:t>
      </w:r>
      <w:r>
        <w:rPr>
          <w:rFonts w:ascii="Times New Roman" w:hAnsi="Times New Roman" w:eastAsia="宋体"/>
          <w:b w:val="0"/>
          <w:color w:val="1A1A1A"/>
          <w:sz w:val="21"/>
        </w:rPr>
        <w:t xml:space="preserve">：无论归因结论如何，头晕、乏力伴胸痛加重、出汗、呼吸困难、意识改变、心率显著过快或过慢、口唇或咽喉肿胀、皮疹者，立即停用并就医评估；符合急性冠脉综合征警示特征者立即呼叫 120；含服本品等自救措施与"属正常药物反应"的解释不得延迟该路径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突发、持续胸痛或胸痛向臂、颈、下颌、上腹、背部放射，或胸痛伴出汗、恶心、头晕、气短——立即呼叫 120 并接受急诊评估；</w:t>
      </w:r>
      <w:r>
        <w:rPr>
          <w:rFonts w:ascii="Times New Roman" w:hAnsi="Times New Roman" w:eastAsia="宋体"/>
          <w:b/>
          <w:color w:val="1A1A1A"/>
          <w:sz w:val="21"/>
        </w:rPr>
        <w:t>服用速效救心丸不得延迟急救：服药不是等待的理由，应在服药的同时（而非服药之后）拨打急救电话（中国 120）</w:t>
      </w:r>
      <w:r>
        <w:rPr>
          <w:rFonts w:ascii="Times New Roman" w:hAnsi="Times New Roman" w:eastAsia="宋体"/>
          <w:b w:val="0"/>
          <w:color w:val="1A1A1A"/>
          <w:sz w:val="21"/>
        </w:rPr>
        <w:t>；是否服药都不改变这一要求。</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2. 服用本品后出现头晕、乏力，只要同时出现胸痛加重、出汗、呼吸困难、意识改变、心率显著过快或过慢、口唇或咽喉肿胀、皮疹之一，立即停用并就医评估；不得以"属血管扩张的正常反应"为由，在出现上述警示表现时继续观察或继续含服。</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3. "服药后出现"不等于"由服药引起"：头晕、乏力是否与本品相关，应由医师结合停用后表现（去激发）、必要时再激发与标准化因果评定判断；没有任何现有证据支持自行判定"就是药物反应"。</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4. 出现不良事件后是否再次服用本品，应由处方医师或药师个体化评估，不作自行续用判断；临床试验框架内不良事件须及时上报并由专业人员评估，患者在院外同样应就诊记录、而非自我处置。</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5. 对未控制高血压（收缩压≥180 或舒张压≥100 mmHg）、严重心律失常、中重度心力衰竭、有过敏史或过敏体质者，按说明书"慎用"，是否使用及再次使用均应由医师评估获益与风险后决定。</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[15]</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 Y, Wang Y, Wang S, et al. Efficacy and Safety of Suxiao Jiuxin Pills in the Treatment of Chronic Coronary Syndrome with Intolerance to Adverse Effects of Long-acting Nitrates: A Multicenter, Randomized, Double-blind, Placebo-controlled Study. BMC Complement Med Ther. 2024;24:383. doi:10.1186/s12906-024-04661-5. PMCID: PMC11451125. URL:https://europepmc.org/articles/PMC11451125</w:t>
      </w:r>
    </w:p>
    <w:p>
      <w:pPr>
        <w:spacing w:after="60" w:before="0" w:line="336" w:lineRule="auto"/>
        <w:ind w:left="340"/>
      </w:pPr>
      <w:r>
        <w:rPr>
          <w:rFonts w:ascii="Times New Roman" w:hAnsi="Times New Roman" w:eastAsia="宋体"/>
          <w:b w:val="0"/>
          <w:color w:val="1A1A1A"/>
          <w:sz w:val="21"/>
        </w:rPr>
        <w:t>2. Ren L, Wang J, Feng L, et al. Efficacy of Suxiao Jiuxin Pill on Coronary Heart Disease: A Meta-Analysis of Randomized Controlled Trials. Evid Based Complement Alternat Med. 2018;2018:9745804. doi:10.1155/2018/9745804. PMCID: PMC5892298. URL:https://europepmc.org/articles/PMC5892298</w:t>
      </w:r>
    </w:p>
    <w:p>
      <w:pPr>
        <w:spacing w:after="60" w:before="0" w:line="336" w:lineRule="auto"/>
        <w:ind w:left="340"/>
      </w:pPr>
      <w:r>
        <w:rPr>
          <w:rFonts w:ascii="Times New Roman" w:hAnsi="Times New Roman" w:eastAsia="宋体"/>
          <w:b w:val="0"/>
          <w:color w:val="1A1A1A"/>
          <w:sz w:val="21"/>
        </w:rPr>
        <w:t>3. NHS. Chest pain. Page last reviewed 08 August 2023. URL:https://www.nhs.uk/symptoms/chest-pain/</w:t>
      </w:r>
    </w:p>
    <w:p>
      <w:pPr>
        <w:spacing w:after="60" w:before="0" w:line="336" w:lineRule="auto"/>
        <w:ind w:left="340"/>
      </w:pPr>
      <w:r>
        <w:rPr>
          <w:rFonts w:ascii="Times New Roman" w:hAnsi="Times New Roman" w:eastAsia="宋体"/>
          <w:b w:val="0"/>
          <w:color w:val="1A1A1A"/>
          <w:sz w:val="21"/>
        </w:rPr>
        <w:t>4. Ruan X, Li Y, Sun Y, et al. Efficacy and safety of Suxiao Jiuxin Pill in the treatment of stable angina (Qi stagnation and blood stasis syndrome): study protocol of a randomized, double-blind, placebo-controlled, multi-center clinical trial. Trials. 2021;22:492. doi:10.1186/s13063-021-05448-6. PMCID: PMC8287819. URL:https://europepmc.org/articles/PMC8287819</w:t>
      </w:r>
    </w:p>
    <w:p>
      <w:pPr>
        <w:spacing w:after="60" w:before="0" w:line="336" w:lineRule="auto"/>
        <w:ind w:left="340"/>
      </w:pPr>
      <w:r>
        <w:rPr>
          <w:rFonts w:ascii="Times New Roman" w:hAnsi="Times New Roman" w:eastAsia="宋体"/>
          <w:b w:val="0"/>
          <w:color w:val="1A1A1A"/>
          <w:sz w:val="21"/>
        </w:rPr>
        <w:t>5. Chinese Society of Geriatrics Hypertension Branch, et al. 2023 Guideline for the management of hypertension in the elderly population in China. J Geriatr Cardiol. 2024;21(6). doi:10.26599/1671-5411.2024.06.001.</w:t>
      </w:r>
    </w:p>
    <w:p>
      <w:pPr>
        <w:spacing w:after="60" w:before="0" w:line="336" w:lineRule="auto"/>
        <w:ind w:left="340"/>
      </w:pPr>
      <w:r>
        <w:rPr>
          <w:rFonts w:ascii="Times New Roman" w:hAnsi="Times New Roman" w:eastAsia="宋体"/>
          <w:b w:val="0"/>
          <w:color w:val="1A1A1A"/>
          <w:sz w:val="21"/>
        </w:rPr>
        <w:t>6. Bai XY, Zhang P, Yang Q, et al. Suxiao Jiuxin Pill Induces Potent Relaxation and Inhibition on Contraction in Human Artery and the Mechanism. Evid Based Complement Alternat Med. 2014;2014:956924. doi:10.1155/2014/956924. PMCID: PMC3997901. URL:https://europepmc.org/articles/PMC3997901</w:t>
      </w:r>
    </w:p>
    <w:p>
      <w:pPr>
        <w:spacing w:after="60" w:before="0" w:line="336" w:lineRule="auto"/>
        <w:ind w:left="340"/>
      </w:pPr>
      <w:r>
        <w:rPr>
          <w:rFonts w:ascii="Times New Roman" w:hAnsi="Times New Roman" w:eastAsia="宋体"/>
          <w:b w:val="0"/>
          <w:color w:val="1A1A1A"/>
          <w:sz w:val="21"/>
        </w:rPr>
        <w:t>7. Li S, Zhan J, Wang Y, et al. Suxiao Jiuxin Pill attenuates acute myocardial ischemia via regulation of coronary artery tone. Front Pharmacol. 2023;14:1104243. doi:10.3389/fphar.2023.1104243. PMCID: PMC10206061. URL:https://europepmc.org/articles/PMC10206061</w:t>
      </w:r>
    </w:p>
    <w:p>
      <w:pPr>
        <w:spacing w:after="60" w:before="0" w:line="336" w:lineRule="auto"/>
        <w:ind w:left="340"/>
      </w:pPr>
      <w:r>
        <w:rPr>
          <w:rFonts w:ascii="Times New Roman" w:hAnsi="Times New Roman" w:eastAsia="宋体"/>
          <w:b w:val="0"/>
          <w:color w:val="1A1A1A"/>
          <w:sz w:val="21"/>
        </w:rPr>
        <w:t>8. Manjhi PK, Singh MP, et al. Causality, Severity, Preventability and Predictability Assessments Scales for Adverse Drug Reactions: A Review. Cureus. 2024;16(5):e59975. doi:10.7759/cureus.59975. URL:https://doi.org/10.7759/cureus.59975</w:t>
      </w:r>
    </w:p>
    <w:p>
      <w:pPr>
        <w:spacing w:after="60" w:before="0" w:line="336" w:lineRule="auto"/>
        <w:ind w:left="340"/>
      </w:pPr>
      <w:r>
        <w:rPr>
          <w:rFonts w:ascii="Times New Roman" w:hAnsi="Times New Roman" w:eastAsia="宋体"/>
          <w:b w:val="0"/>
          <w:color w:val="1A1A1A"/>
          <w:sz w:val="21"/>
        </w:rPr>
        <w:t>9. Duan X, Zhou L, Wu T, et al. Chinese herbal medicine suxiao jiuxin wan for angina pectoris. Cochrane Database Syst Rev. 2008;(1):CD004473. doi:10.1002/14651858.CD004473.pub2. PMID:18254051. URL:https://pubmed.ncbi.nlm.nih.gov/18254051/（摘要级，未纳入主张矩阵）</w:t>
      </w:r>
    </w:p>
    <w:p>
      <w:pPr>
        <w:spacing w:after="60" w:before="0" w:line="336" w:lineRule="auto"/>
        <w:ind w:left="340"/>
      </w:pPr>
      <w:r>
        <w:rPr>
          <w:rFonts w:ascii="Times New Roman" w:hAnsi="Times New Roman" w:eastAsia="宋体"/>
          <w:b w:val="0"/>
          <w:color w:val="1A1A1A"/>
          <w:sz w:val="21"/>
        </w:rPr>
        <w:t>10. Sun YL, Yao YL, Jia MJ, et al. Evaluation of the efficacy and safety of Suxiao Jiuxin Pill in the treatment of stable angina: a randomized, double-blind, placebo-controlled, multi-center clinical trial. J Ethnopharmacol. 2023;318 Pt A:116959. PMID:37487965. URL:https://pubmed.ncbi.nlm.nih.gov/37487965/（摘要级，未纳入主张矩阵）</w:t>
      </w:r>
    </w:p>
    <w:p>
      <w:pPr>
        <w:spacing w:after="60" w:before="0" w:line="336" w:lineRule="auto"/>
        <w:ind w:left="340"/>
      </w:pPr>
      <w:r>
        <w:rPr>
          <w:rFonts w:ascii="Times New Roman" w:hAnsi="Times New Roman" w:eastAsia="宋体"/>
          <w:b w:val="0"/>
          <w:color w:val="1A1A1A"/>
          <w:sz w:val="21"/>
        </w:rPr>
        <w:t>11. Liu C, Duan L, Huang M, et al. Effectiveness and safety of Suxiao Jiuxin pill in treating acute coronary syndrome: a systematic review and Meta-analysis. J Tradit Chin Med. 2020;40(4):518-529. doi:10.19852/j.cnki.jtcm.2020.04.002. PMID:32744020. URL:https://europepmc.org/article/MED/32744020（摘要级，未纳入主张矩阵）</w:t>
      </w:r>
    </w:p>
    <w:p>
      <w:pPr>
        <w:spacing w:after="60" w:before="0" w:line="336" w:lineRule="auto"/>
        <w:ind w:left="340"/>
      </w:pPr>
      <w:r>
        <w:rPr>
          <w:rFonts w:ascii="Times New Roman" w:hAnsi="Times New Roman" w:eastAsia="宋体"/>
          <w:b w:val="0"/>
          <w:color w:val="1A1A1A"/>
          <w:sz w:val="21"/>
        </w:rPr>
        <w:t>12. Semigran HL, Linder JA, Gidengil C, Mehrotra A. Evaluation of symptom checkers for self diagnosis and triage: audit study. BMJ. 2015;351:h3480. doi:10.1136/bmj.h3480. PMCID: PMC4496786. URL:https://www.bmj.com/content/351/bmj.h3480</w:t>
      </w:r>
    </w:p>
    <w:p>
      <w:pPr>
        <w:spacing w:after="60" w:before="0" w:line="336" w:lineRule="auto"/>
        <w:ind w:left="340"/>
      </w:pPr>
      <w:r>
        <w:rPr>
          <w:rFonts w:ascii="Times New Roman" w:hAnsi="Times New Roman" w:eastAsia="宋体"/>
          <w:b w:val="0"/>
          <w:color w:val="1A1A1A"/>
          <w:sz w:val="21"/>
        </w:rPr>
        <w:t>13. El-Osta A, Webber I, Alaa A, et al. What is the suitability of clinical vignettes in benchmarking the performance of online symptom checkers? An audit study. BMJ Open. 2022;12:e053566. doi:10.1136/bmjopen-2021-053566. PMCID: PMC9047920.</w:t>
      </w:r>
    </w:p>
    <w:p>
      <w:pPr>
        <w:spacing w:after="60" w:before="0" w:line="336" w:lineRule="auto"/>
        <w:ind w:left="340"/>
      </w:pPr>
      <w:r>
        <w:rPr>
          <w:rFonts w:ascii="Times New Roman" w:hAnsi="Times New Roman" w:eastAsia="宋体"/>
          <w:b w:val="0"/>
          <w:color w:val="1A1A1A"/>
          <w:sz w:val="21"/>
        </w:rPr>
        <w:t>14. Quality, Reliability and Accuracy of Hyperthyroidism-Related Content on Social Media Platform TikTok. Endocrinol Diabetes Metab. 2025;8(2):e70105. doi:10.1002/edm2.70105. PMCID: PMC12422942.</w:t>
      </w:r>
    </w:p>
    <w:p>
      <w:pPr>
        <w:spacing w:after="60" w:before="0" w:line="336" w:lineRule="auto"/>
        <w:ind w:left="340"/>
      </w:pPr>
      <w:r>
        <w:rPr>
          <w:rFonts w:ascii="Times New Roman" w:hAnsi="Times New Roman" w:eastAsia="宋体"/>
          <w:b w:val="0"/>
          <w:color w:val="1A1A1A"/>
          <w:sz w:val="21"/>
        </w:rPr>
        <w:t>15. 国家药品监督管理局. 速效救心丸说明书（NMPA 说明书索引副本，检索于 2026-08-11，官方现行文本待核验）。</w:t>
      </w:r>
    </w:p>
    <w:p>
      <w:pPr>
        <w:spacing w:after="60" w:before="0" w:line="336" w:lineRule="auto"/>
        <w:ind w:left="340"/>
      </w:pPr>
      <w:r>
        <w:rPr>
          <w:rFonts w:ascii="Times New Roman" w:hAnsi="Times New Roman" w:eastAsia="宋体"/>
          <w:b w:val="0"/>
          <w:color w:val="1A1A1A"/>
          <w:sz w:val="21"/>
        </w:rPr>
        <w:t>16. 赵双. 舌下含服速效救心丸或硝酸甘油片治疗急诊心绞痛的效果分析. 哈尔滨医药. 2019.（摘要级，期刊索引记录）</w:t>
      </w:r>
    </w:p>
    <w:p>
      <w:pPr>
        <w:spacing w:after="60" w:before="0" w:line="336" w:lineRule="auto"/>
        <w:ind w:left="340"/>
      </w:pPr>
      <w:r>
        <w:rPr>
          <w:rFonts w:ascii="Times New Roman" w:hAnsi="Times New Roman" w:eastAsia="宋体"/>
          <w:b w:val="0"/>
          <w:color w:val="1A1A1A"/>
          <w:sz w:val="21"/>
        </w:rPr>
        <w:t>17. 中国中西医结合学会. 速效救心丸治疗冠心病中国专家共识. 2019.（指南索引记录，条款原文未取得）</w:t>
      </w:r>
    </w:p>
    <w:p>
      <w:pPr>
        <w:spacing w:after="60" w:before="0" w:line="336" w:lineRule="auto"/>
        <w:ind w:left="340"/>
      </w:pPr>
      <w:r>
        <w:rPr>
          <w:rFonts w:ascii="Times New Roman" w:hAnsi="Times New Roman" w:eastAsia="宋体"/>
          <w:b w:val="0"/>
          <w:color w:val="1A1A1A"/>
          <w:sz w:val="21"/>
        </w:rPr>
        <w:t>18. 《中成药治疗优势病种临床应用指南》标准化项目组. 中成药治疗冠心病临床应用指南（2020年）. 2021.（指南索引记录，条款原文未取得）</w:t>
      </w:r>
    </w:p>
    <w:p>
      <w:pPr>
        <w:spacing w:after="60" w:before="0" w:line="336" w:lineRule="auto"/>
        <w:ind w:left="340"/>
      </w:pPr>
      <w:r>
        <w:rPr>
          <w:rFonts w:ascii="Times New Roman" w:hAnsi="Times New Roman" w:eastAsia="宋体"/>
          <w:b w:val="0"/>
          <w:color w:val="1A1A1A"/>
          <w:sz w:val="21"/>
        </w:rPr>
        <w:t>19. 国家卫生计生委合理用药专家委员会，中国药师协会. 冠心病合理用药指南（第2版）. 2018.（指南索引记录）</w:t>
      </w:r>
    </w:p>
    <w:p>
      <w:pPr>
        <w:spacing w:after="60" w:before="0" w:line="336" w:lineRule="auto"/>
        <w:ind w:left="340"/>
      </w:pPr>
      <w:r>
        <w:rPr>
          <w:rFonts w:ascii="Times New Roman" w:hAnsi="Times New Roman" w:eastAsia="宋体"/>
          <w:b w:val="0"/>
          <w:color w:val="1A1A1A"/>
          <w:sz w:val="21"/>
        </w:rPr>
        <w:t>20. 中华医学会心血管病学分会. 急性ST段抬高型心肌梗死诊断和治疗指南（2019）. 2019.（指南索引记录）</w:t>
      </w:r>
    </w:p>
    <w:p>
      <w:pPr>
        <w:spacing w:after="60" w:before="0" w:line="336" w:lineRule="auto"/>
        <w:ind w:left="340"/>
      </w:pPr>
      <w:r>
        <w:rPr>
          <w:rFonts w:ascii="Times New Roman" w:hAnsi="Times New Roman" w:eastAsia="宋体"/>
          <w:b w:val="0"/>
          <w:color w:val="1A1A1A"/>
          <w:sz w:val="21"/>
        </w:rPr>
        <w:t>21. 中华中医药学会. 救心丸治疗冠心病临床应用专家共识. 2025.（指南索引记录，条款原文未取得）</w:t>
      </w:r>
    </w:p>
    <w:p>
      <w:pPr>
        <w:spacing w:after="60" w:before="0" w:line="336" w:lineRule="auto"/>
        <w:ind w:left="340"/>
      </w:pPr>
      <w:r>
        <w:rPr>
          <w:rFonts w:ascii="Times New Roman" w:hAnsi="Times New Roman" w:eastAsia="宋体"/>
          <w:b w:val="0"/>
          <w:color w:val="1A1A1A"/>
          <w:sz w:val="21"/>
        </w:rPr>
        <w:t>22. Quality markers of drug information on the Internet: an evaluation of sites about St. John's wort. Am J Med. 2004;116(9):594-600. doi:10.1016/S0002-9343(02)01256-1. PMID:12517364.（摘要级，未纳入主张矩阵）</w:t>
      </w:r>
    </w:p>
    <w:p>
      <w:pPr>
        <w:spacing w:after="60" w:before="0" w:line="336" w:lineRule="auto"/>
        <w:ind w:left="340"/>
      </w:pPr>
      <w:r>
        <w:rPr>
          <w:rFonts w:ascii="Times New Roman" w:hAnsi="Times New Roman" w:eastAsia="宋体"/>
          <w:b w:val="0"/>
          <w:color w:val="1A1A1A"/>
          <w:sz w:val="21"/>
        </w:rPr>
        <w:t>23. Chinese Internet Searches Provide Inaccurate and Misleading Information to Epilepsy Patients. Chin Med J (Engl). 2016;129(3):344-348. doi:10.4103/0366-6999.171425. PMID:26668147.（摘要级，未纳入主张矩阵）</w:t>
      </w:r>
    </w:p>
    <w:p>
      <w:pPr>
        <w:spacing w:after="60" w:before="0" w:line="336" w:lineRule="auto"/>
        <w:ind w:left="340"/>
      </w:pPr>
      <w:r>
        <w:rPr>
          <w:rFonts w:ascii="Times New Roman" w:hAnsi="Times New Roman" w:eastAsia="宋体"/>
          <w:b w:val="0"/>
          <w:color w:val="1A1A1A"/>
          <w:sz w:val="21"/>
        </w:rPr>
        <w:t>24. EleVation carE: a Randomized Controlled Trial on the Prevention of Acute Mountain Sickness With Suxiao Jiuxin Pill. ClinicalTrials.gov NCT06531161. URL:https://clinicaltrials.gov/ct2/show/NCT06531161（注册记录，未完成）</w:t>
      </w:r>
    </w:p>
    <w:p>
      <w:pPr>
        <w:spacing w:after="60" w:before="0" w:line="336" w:lineRule="auto"/>
        <w:ind w:left="340"/>
      </w:pPr>
      <w:r>
        <w:rPr>
          <w:rFonts w:ascii="Times New Roman" w:hAnsi="Times New Roman" w:eastAsia="宋体"/>
          <w:b w:val="0"/>
          <w:color w:val="1A1A1A"/>
          <w:sz w:val="21"/>
        </w:rPr>
        <w:t>25. Intervention of Suxiao Jiuxin Pill on Instability of Vulnerable Plaque in Acute Myocardial Infarction. ClinicalTrials.gov NCT05466968. URL:https://clinicaltrials.gov/ct2/show/NCT05466968（注册记录，未完成）</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