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舌下含服硝酸甘油与速效救心丸用于急性胸痛院外自救的证据比较：兼论 ALDH2 rs671 变异的人群学意义</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目的</w:t>
      </w:r>
      <w:r>
        <w:rPr>
          <w:rFonts w:ascii="Times New Roman" w:hAnsi="Times New Roman" w:eastAsia="宋体"/>
          <w:b w:val="0"/>
          <w:color w:val="1A1A1A"/>
          <w:sz w:val="21"/>
        </w:rPr>
        <w:t xml:space="preserve"> 回答五个问题：（1）急性胸痛院外自救中舌下含服硝酸甘油与速效救心丸的疗效、安全性证据层级、头对头比较与适用边界；（2）ALDH2 rs671 在中国人群的频率与酶活性表型分布，及其对硝酸甘油生物活化、血流动力学反应与症状缓解率的影响；（3）含服自救药后症状缓解用于鉴别心源性与非心源性胸痛的诊断效能；（4）院前延迟对再灌注时间与病死率的影响，及指南对自救用药与启动急救次序的表述；（5）稳定型心绞痛长期管理证据能否外推至急性发作的院外自救。</w:t>
      </w:r>
    </w:p>
    <w:p>
      <w:pPr>
        <w:spacing w:after="120" w:before="0" w:line="348" w:lineRule="auto"/>
      </w:pPr>
      <w:r>
        <w:rPr>
          <w:rFonts w:ascii="Times New Roman" w:hAnsi="Times New Roman" w:eastAsia="宋体"/>
          <w:b/>
          <w:color w:val="1A1A1A"/>
          <w:sz w:val="21"/>
        </w:rPr>
        <w:t>方法</w:t>
      </w:r>
      <w:r>
        <w:rPr>
          <w:rFonts w:ascii="Times New Roman" w:hAnsi="Times New Roman" w:eastAsia="宋体"/>
          <w:b w:val="0"/>
          <w:color w:val="1A1A1A"/>
          <w:sz w:val="21"/>
        </w:rPr>
        <w:t xml:space="preserve"> 检索 PubMed、Europe PMC、PubMed Central、dbSNP、gnomAD、NMPA 说明书索引及国内外指南索引（检索时间 2026-08-13），按设计层级、直接性、精确性、偏倚风险（RoB 2、ROBINS-I、QUADAS-2、AMSTAR 2、Jadad）与证据体确定性（GRADE）评价，去重后纳入 12 条来源，其中 6 份全文或官方页面直接核验。</w:t>
      </w:r>
    </w:p>
    <w:p>
      <w:pPr>
        <w:spacing w:after="120" w:before="0" w:line="348" w:lineRule="auto"/>
      </w:pPr>
      <w:r>
        <w:rPr>
          <w:rFonts w:ascii="Times New Roman" w:hAnsi="Times New Roman" w:eastAsia="宋体"/>
          <w:b/>
          <w:color w:val="1A1A1A"/>
          <w:sz w:val="21"/>
        </w:rPr>
        <w:t>结果</w:t>
      </w:r>
    </w:p>
    <w:p>
      <w:pPr>
        <w:spacing w:after="60" w:before="0" w:line="336" w:lineRule="auto"/>
        <w:ind w:left="340"/>
      </w:pPr>
      <w:r>
        <w:rPr>
          <w:rFonts w:ascii="Times New Roman" w:hAnsi="Times New Roman" w:eastAsia="宋体"/>
          <w:b w:val="0"/>
          <w:color w:val="1A1A1A"/>
          <w:sz w:val="21"/>
        </w:rPr>
        <w:t>· 速效救心丸对硝酸甘油的心电图结局随机对照证据存在，但质量低、为替代终点、非院外自救场景。</w:t>
      </w:r>
      <w:r>
        <w:rPr>
          <w:rFonts w:ascii="Times New Roman" w:hAnsi="Times New Roman" w:eastAsia="宋体"/>
          <w:b w:val="0"/>
          <w:color w:val="1A1A1A"/>
          <w:sz w:val="21"/>
          <w:vertAlign w:val="superscript"/>
        </w:rPr>
        <w:t>[9]</w:t>
      </w:r>
    </w:p>
    <w:p>
      <w:pPr>
        <w:spacing w:after="60" w:before="0" w:line="336" w:lineRule="auto"/>
        <w:ind w:left="340"/>
      </w:pPr>
      <w:r>
        <w:rPr>
          <w:rFonts w:ascii="Times New Roman" w:hAnsi="Times New Roman" w:eastAsia="宋体"/>
          <w:b w:val="0"/>
          <w:color w:val="1A1A1A"/>
          <w:sz w:val="21"/>
        </w:rPr>
        <w:t>· ALDH2 变异携带见于约 40% 的东亚人群。</w:t>
      </w:r>
      <w:r>
        <w:rPr>
          <w:rFonts w:ascii="Times New Roman" w:hAnsi="Times New Roman" w:eastAsia="宋体"/>
          <w:b w:val="0"/>
          <w:color w:val="1A1A1A"/>
          <w:sz w:val="21"/>
          <w:vertAlign w:val="superscript"/>
        </w:rPr>
        <w:t>[5]</w:t>
      </w:r>
    </w:p>
    <w:p>
      <w:pPr>
        <w:spacing w:after="60" w:before="0" w:line="336" w:lineRule="auto"/>
        <w:ind w:left="340"/>
      </w:pPr>
      <w:r>
        <w:rPr>
          <w:rFonts w:ascii="Times New Roman" w:hAnsi="Times New Roman" w:eastAsia="宋体"/>
          <w:b w:val="0"/>
          <w:color w:val="1A1A1A"/>
          <w:sz w:val="21"/>
        </w:rPr>
        <w:t>· 携带者含服硝酸甘油 5 分钟内缓解率为 11.1%，野生型为 57.5%。</w:t>
      </w:r>
      <w:r>
        <w:rPr>
          <w:rFonts w:ascii="Times New Roman" w:hAnsi="Times New Roman" w:eastAsia="宋体"/>
          <w:b w:val="0"/>
          <w:color w:val="1A1A1A"/>
          <w:sz w:val="21"/>
          <w:vertAlign w:val="superscript"/>
        </w:rPr>
        <w:t>[5]</w:t>
      </w:r>
    </w:p>
    <w:p>
      <w:pPr>
        <w:spacing w:after="60" w:before="0" w:line="336" w:lineRule="auto"/>
        <w:ind w:left="340"/>
      </w:pPr>
      <w:r>
        <w:rPr>
          <w:rFonts w:ascii="Times New Roman" w:hAnsi="Times New Roman" w:eastAsia="宋体"/>
          <w:b w:val="0"/>
          <w:color w:val="1A1A1A"/>
          <w:sz w:val="21"/>
        </w:rPr>
        <w:t>· 血管扩张幅度研究未显示基因型间差异，仅见携带者起效时间延迟。</w:t>
      </w:r>
      <w:r>
        <w:rPr>
          <w:rFonts w:ascii="Times New Roman" w:hAnsi="Times New Roman" w:eastAsia="宋体"/>
          <w:b w:val="0"/>
          <w:color w:val="1A1A1A"/>
          <w:sz w:val="21"/>
          <w:vertAlign w:val="superscript"/>
        </w:rPr>
        <w:t>[6]</w:t>
      </w:r>
    </w:p>
    <w:p>
      <w:pPr>
        <w:spacing w:after="60" w:before="0" w:line="336" w:lineRule="auto"/>
        <w:ind w:left="340"/>
      </w:pPr>
      <w:r>
        <w:rPr>
          <w:rFonts w:ascii="Times New Roman" w:hAnsi="Times New Roman" w:eastAsia="宋体"/>
          <w:b w:val="0"/>
          <w:color w:val="1A1A1A"/>
          <w:sz w:val="21"/>
        </w:rPr>
        <w:t>· 硝酸甘油缓解判定心源性胸痛的敏感度 72%（95%CI 64%–80%），特异度 37%（95%CI 34%–41%），阳性似然比 1.1（95%CI 0.96–1.34）。</w:t>
      </w:r>
      <w:r>
        <w:rPr>
          <w:rFonts w:ascii="Times New Roman" w:hAnsi="Times New Roman" w:eastAsia="宋体"/>
          <w:b w:val="0"/>
          <w:color w:val="1A1A1A"/>
          <w:sz w:val="21"/>
          <w:vertAlign w:val="superscript"/>
        </w:rPr>
        <w:t>[1]</w:t>
      </w:r>
    </w:p>
    <w:p>
      <w:pPr>
        <w:spacing w:after="60" w:before="0" w:line="336" w:lineRule="auto"/>
        <w:ind w:left="340"/>
      </w:pPr>
      <w:r>
        <w:rPr>
          <w:rFonts w:ascii="Times New Roman" w:hAnsi="Times New Roman" w:eastAsia="宋体"/>
          <w:b w:val="0"/>
          <w:color w:val="1A1A1A"/>
          <w:sz w:val="21"/>
        </w:rPr>
        <w:t>· 直接经皮冠状动脉介入每延迟 30 分钟，1 年死亡风险增加 7.5%。</w:t>
      </w:r>
      <w:r>
        <w:rPr>
          <w:rFonts w:ascii="Times New Roman" w:hAnsi="Times New Roman" w:eastAsia="宋体"/>
          <w:b w:val="0"/>
          <w:color w:val="1A1A1A"/>
          <w:sz w:val="21"/>
          <w:vertAlign w:val="superscript"/>
        </w:rPr>
        <w:t>[4]</w:t>
      </w:r>
    </w:p>
    <w:p>
      <w:pPr>
        <w:spacing w:after="120" w:before="0" w:line="348" w:lineRule="auto"/>
      </w:pPr>
      <w:r>
        <w:rPr>
          <w:rFonts w:ascii="Times New Roman" w:hAnsi="Times New Roman" w:eastAsia="宋体"/>
          <w:b/>
          <w:color w:val="1A1A1A"/>
          <w:sz w:val="21"/>
        </w:rPr>
        <w:t>结论</w:t>
      </w:r>
      <w:r>
        <w:rPr>
          <w:rFonts w:ascii="Times New Roman" w:hAnsi="Times New Roman" w:eastAsia="宋体"/>
          <w:b w:val="0"/>
          <w:color w:val="1A1A1A"/>
          <w:sz w:val="21"/>
        </w:rPr>
        <w:t xml:space="preserve"> （1）在首次发生、病因未明的院外急性胸痛中，两药均未检索到以临床结局为终点的随机对照证据，不能支持患者自行选择任一药物替代专业评估；在已确诊心绞痛患者中，两药各自有对应人群的应用依据，但证据层级不同且不能互认。（2）ALDH2 rs671 携带率约 40%</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的人群学事实成立，其对硝酸甘油的影响以症状缓解率降低与起效延迟为主，血管扩张幅度证据未显示完全失效，"约半数中国人对硝酸甘油无效"的表述过度简化。（3）含服后是否缓解不能鉴别胸痛病因。（4）院前延迟与再灌注时间、病死率相关，自救用药不得延误呼叫急救。（5）稳定型心绞痛长期证据不构成急性院外自救的外推依据。</w:t>
      </w:r>
    </w:p>
    <w:p>
      <w:pPr>
        <w:spacing w:after="120" w:before="0" w:line="348" w:lineRule="auto"/>
      </w:pPr>
      <w:r>
        <w:rPr>
          <w:rFonts w:ascii="Times New Roman" w:hAnsi="Times New Roman" w:eastAsia="宋体"/>
          <w:b/>
          <w:color w:val="1A1A1A"/>
          <w:sz w:val="21"/>
        </w:rPr>
        <w:t>关键词</w:t>
      </w:r>
      <w:r>
        <w:rPr>
          <w:rFonts w:ascii="Times New Roman" w:hAnsi="Times New Roman" w:eastAsia="宋体"/>
          <w:b w:val="0"/>
          <w:color w:val="1A1A1A"/>
          <w:sz w:val="21"/>
        </w:rPr>
        <w:t xml:space="preserve"> 硝酸甘油；速效救心丸；急性胸痛；院前自救；ALDH2 rs671；循证评价</w:t>
      </w:r>
    </w:p>
    <w:p>
      <w:pPr>
        <w:spacing w:after="100" w:before="240" w:line="300" w:lineRule="auto"/>
      </w:pPr>
      <w:r>
        <w:rPr>
          <w:rFonts w:ascii="Times New Roman" w:hAnsi="Times New Roman" w:eastAsia="黑体"/>
          <w:b/>
          <w:color w:val="1A1A1A"/>
          <w:sz w:val="25"/>
        </w:rPr>
        <w:t>引言</w:t>
      </w:r>
    </w:p>
    <w:p>
      <w:pPr>
        <w:spacing w:after="120" w:before="0" w:line="348" w:lineRule="auto"/>
        <w:ind w:firstLine="420"/>
      </w:pPr>
      <w:r>
        <w:rPr>
          <w:rFonts w:ascii="Times New Roman" w:hAnsi="Times New Roman" w:eastAsia="宋体"/>
          <w:b w:val="0"/>
          <w:color w:val="1A1A1A"/>
          <w:sz w:val="21"/>
        </w:rPr>
        <w:t>急性胸痛发作后的院外自我处置，是决定急性冠脉综合征能否及时再灌注的最早环节。公众在这一环节面对两类来源与证据积累方式不同的药物：舌下含服硝酸甘油作为经典抗心绞痛药，其证据积累于已确诊心绞痛发作的缓解；速效救心丸作为中成药，其证据积累于气滞血瘀型冠心病心绞痛的连续用药。二者何者可先用、能否互相替代、各自适用于哪一类胸痛，临床认识与公众认知长期不一致。</w:t>
      </w:r>
    </w:p>
    <w:p>
      <w:pPr>
        <w:spacing w:after="120" w:before="0" w:line="348" w:lineRule="auto"/>
        <w:ind w:firstLine="420"/>
      </w:pPr>
      <w:r>
        <w:rPr>
          <w:rFonts w:ascii="Times New Roman" w:hAnsi="Times New Roman" w:eastAsia="宋体"/>
          <w:b w:val="0"/>
          <w:color w:val="1A1A1A"/>
          <w:sz w:val="21"/>
        </w:rPr>
        <w:t>近年"硝酸甘油对约半数中国人无效"的说法广泛流传，其依据被归于 ALDH2 rs671 变异在东亚人群中的高频分布。但从酶学表型到临床缓解率之间的推断链条能否被数据支持，需要逐环核查。与此同时，"含药后缓解即提示心绞痛"的经验性推断，以及"先服药、再观察、后呼救"的处置顺序，也需要与现行急救指引和院前延迟的结局数据对照检验。</w:t>
      </w:r>
    </w:p>
    <w:p>
      <w:pPr>
        <w:spacing w:after="120" w:before="0" w:line="348" w:lineRule="auto"/>
        <w:ind w:firstLine="420"/>
      </w:pPr>
      <w:r>
        <w:rPr>
          <w:rFonts w:ascii="Times New Roman" w:hAnsi="Times New Roman" w:eastAsia="宋体"/>
          <w:b w:val="0"/>
          <w:color w:val="1A1A1A"/>
          <w:sz w:val="21"/>
        </w:rPr>
        <w:t>本文的目的，是比较两药在急性胸痛院外自救这一具体场景中的证据层级与适用边界，核查 ALDH2 rs671 对硝酸甘油反应的量化证据及其人群占比，并检验含服后缓解作为鉴别手段、自救用药与呼救次序这两条经验性主张能否得到数据支持。</w:t>
      </w:r>
    </w:p>
    <w:p>
      <w:pPr>
        <w:spacing w:after="100" w:before="240" w:line="300" w:lineRule="auto"/>
      </w:pPr>
      <w:r>
        <w:rPr>
          <w:rFonts w:ascii="Times New Roman" w:hAnsi="Times New Roman" w:eastAsia="黑体"/>
          <w:b/>
          <w:color w:val="1A1A1A"/>
          <w:sz w:val="25"/>
        </w:rPr>
        <w:t>资料与方法</w:t>
      </w:r>
    </w:p>
    <w:p>
      <w:pPr>
        <w:spacing w:after="100" w:before="240" w:line="300" w:lineRule="auto"/>
      </w:pPr>
      <w:r>
        <w:rPr>
          <w:rFonts w:ascii="Times New Roman" w:hAnsi="Times New Roman" w:eastAsia="黑体"/>
          <w:b/>
          <w:color w:val="1A1A1A"/>
          <w:sz w:val="23"/>
        </w:rPr>
        <w:t>检索来源与检索式</w:t>
      </w:r>
    </w:p>
    <w:p>
      <w:pPr>
        <w:spacing w:after="120" w:before="0" w:line="348" w:lineRule="auto"/>
        <w:ind w:firstLine="420"/>
      </w:pPr>
      <w:r>
        <w:rPr>
          <w:rFonts w:ascii="Times New Roman" w:hAnsi="Times New Roman" w:eastAsia="宋体"/>
          <w:b w:val="0"/>
          <w:color w:val="1A1A1A"/>
          <w:sz w:val="21"/>
        </w:rPr>
        <w:t>检索 PubMed、Europe PMC、PubMed Central、dbSNP、gnomAD 及 NMPA 说明书索引，辅以国内外指南索引。核心检索式包括：sublingual nitroglycerin angina pectoris relief；Suxiao Jiuxin Wan angina pectoris；ALDH2 Glu504Lys polymorphism nitroglycerin efficacy；relief of chest pain after sublingual nitroglycerin diagnostic coronary artery disease；prehospital delay acute myocardial infarction reperfusion mortality；2023 ESC Guidelines management of acute coronary syndromes；以及中文"速效救心丸""硝酸甘油"对应的说明书检索。检索时间为 2026-08-13，共完成 19 次检索、命中 166 条记录，去重后 118 条，最终纳入 12 条来源，其中 6 份以全文或官方页面直接核验。</w:t>
      </w:r>
    </w:p>
    <w:p>
      <w:pPr>
        <w:spacing w:after="100" w:before="240" w:line="300" w:lineRule="auto"/>
      </w:pPr>
      <w:r>
        <w:rPr>
          <w:rFonts w:ascii="Times New Roman" w:hAnsi="Times New Roman" w:eastAsia="黑体"/>
          <w:b/>
          <w:color w:val="1A1A1A"/>
          <w:sz w:val="23"/>
        </w:rPr>
        <w:t>纳入与筛选</w:t>
      </w:r>
    </w:p>
    <w:p>
      <w:pPr>
        <w:spacing w:after="120" w:before="0" w:line="348" w:lineRule="auto"/>
        <w:ind w:firstLine="420"/>
      </w:pPr>
      <w:r>
        <w:rPr>
          <w:rFonts w:ascii="Times New Roman" w:hAnsi="Times New Roman" w:eastAsia="宋体"/>
          <w:b w:val="0"/>
          <w:color w:val="1A1A1A"/>
          <w:sz w:val="21"/>
        </w:rPr>
        <w:t>纳入标准：直接回答上述五个问题之一的系统评价、随机对照试验、前瞻性队列、诊断效能研究、现行指南、说明书或监管文本。排除纯机制综述中不承载数值的段落、无分母的病例系列以及重复题录。中文全文数据库（CNKI、万方）不可访问，中文研究仅经题录与开放获取渠道间接覆盖。</w:t>
      </w:r>
    </w:p>
    <w:p>
      <w:pPr>
        <w:spacing w:after="100" w:before="240" w:line="300" w:lineRule="auto"/>
      </w:pPr>
      <w:r>
        <w:rPr>
          <w:rFonts w:ascii="Times New Roman" w:hAnsi="Times New Roman" w:eastAsia="黑体"/>
          <w:b/>
          <w:color w:val="1A1A1A"/>
          <w:sz w:val="23"/>
        </w:rPr>
        <w:t>证据评价标准</w:t>
      </w:r>
    </w:p>
    <w:p>
      <w:pPr>
        <w:spacing w:after="120" w:before="0" w:line="348" w:lineRule="auto"/>
        <w:ind w:firstLine="420"/>
      </w:pPr>
      <w:r>
        <w:rPr>
          <w:rFonts w:ascii="Times New Roman" w:hAnsi="Times New Roman" w:eastAsia="宋体"/>
          <w:b w:val="0"/>
          <w:color w:val="1A1A1A"/>
          <w:sz w:val="21"/>
        </w:rPr>
        <w:t>干预类结论要求对应设计的直接证据：疗效结论须有随机对照或系统评价，替代结局不替代临床结局；头对头结论须有预设界值的比较研究；诊断类结论须有以客观参考标准判定的诊断效能研究，并以 QUADAS-2 评价偏倚风险。药物与不良事件的因果关系按 Naranjo 量表或 WHO-UMC 标准评定，无去激发/再激发观察与标准化评定者不足以支持因果归因。证据体总体确定性按 GRADE 表述，降级须归因于偏倚风险、间接性、不精确性、不一致性或发表偏倚。发生率估计仅采纳分母明确、前瞻性主动监测的研究；说明书不良反应罗列与无分母病例系列不用于估计发生率，相应表述限于"已有记载，发生率未知"。</w:t>
      </w:r>
    </w:p>
    <w:p>
      <w:pPr>
        <w:spacing w:after="100" w:before="240" w:line="300" w:lineRule="auto"/>
      </w:pPr>
      <w:r>
        <w:rPr>
          <w:rFonts w:ascii="Times New Roman" w:hAnsi="Times New Roman" w:eastAsia="黑体"/>
          <w:b/>
          <w:color w:val="1A1A1A"/>
          <w:sz w:val="23"/>
        </w:rPr>
        <w:t>人群分层</w:t>
      </w:r>
    </w:p>
    <w:p>
      <w:pPr>
        <w:spacing w:after="120" w:before="0" w:line="348" w:lineRule="auto"/>
        <w:ind w:firstLine="420"/>
      </w:pPr>
      <w:r>
        <w:rPr>
          <w:rFonts w:ascii="Times New Roman" w:hAnsi="Times New Roman" w:eastAsia="宋体"/>
          <w:b w:val="0"/>
          <w:color w:val="1A1A1A"/>
          <w:sz w:val="21"/>
        </w:rPr>
        <w:t>"院外自救"不是单一人群。按患者既往已知情况分为三层：（1）已确诊冠心病或心绞痛、按既往医嘱处置；（2）既往有类似症状、但本次发作的性质或程度改变；（3）首次发生、病因未明。每一结论均落到其所适用的一层，不合并为一个 PICO 作统一判断。</w:t>
      </w:r>
    </w:p>
    <w:p>
      <w:pPr>
        <w:spacing w:after="100" w:before="240" w:line="300" w:lineRule="auto"/>
      </w:pPr>
      <w:r>
        <w:rPr>
          <w:rFonts w:ascii="Times New Roman" w:hAnsi="Times New Roman" w:eastAsia="黑体"/>
          <w:b/>
          <w:color w:val="1A1A1A"/>
          <w:sz w:val="25"/>
        </w:rPr>
        <w:t>结果</w:t>
      </w:r>
    </w:p>
    <w:p>
      <w:pPr>
        <w:spacing w:after="100" w:before="240" w:line="300" w:lineRule="auto"/>
      </w:pPr>
      <w:r>
        <w:rPr>
          <w:rFonts w:ascii="Times New Roman" w:hAnsi="Times New Roman" w:eastAsia="黑体"/>
          <w:b/>
          <w:color w:val="1A1A1A"/>
          <w:sz w:val="23"/>
        </w:rPr>
        <w:t>说明书与监管文本</w:t>
      </w:r>
    </w:p>
    <w:p>
      <w:pPr>
        <w:spacing w:after="120" w:before="0" w:line="348" w:lineRule="auto"/>
        <w:ind w:firstLine="420"/>
      </w:pPr>
      <w:r>
        <w:rPr>
          <w:rFonts w:ascii="Times New Roman" w:hAnsi="Times New Roman" w:eastAsia="宋体"/>
          <w:b w:val="0"/>
          <w:color w:val="1A1A1A"/>
          <w:sz w:val="21"/>
        </w:rPr>
        <w:t>硝酸甘油片的适应症为"用于预防和迅速缓解因冠状动脉疾病引起的心绞痛发作"</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；速效救心丸的适应症为"行气活血，祛瘀止痛，增加冠脉血流量，缓解心绞痛。用于气滞血瘀型冠心病，心绞痛"</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上述适应症文字引自国家药品监督管理局备案说明书的索引副本，官方现行文本核验尚待完成。硝酸甘油片列有对有机硝酸酯过敏、使用枸橼酸西地那非（增强其降压作用）、心肌梗死早期伴严重低血压与心动过速、严重贫血、青光眼、颅内压增高者的禁用</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；速效救心丸列有孕妇禁用、寒凝血瘀与阴虚血瘀胸痹心痛不宜单用、中重度心力衰竭的心肌缺血者慎用，并提示心绞痛持续发作宜加用硝酸酯类药</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。两条说明书的适应症人群与场景均不覆盖病因未明的首次急性胸痛的院外自救。</w:t>
      </w:r>
    </w:p>
    <w:p>
      <w:pPr>
        <w:spacing w:after="100" w:before="240" w:line="300" w:lineRule="auto"/>
      </w:pPr>
      <w:r>
        <w:rPr>
          <w:rFonts w:ascii="Times New Roman" w:hAnsi="Times New Roman" w:eastAsia="黑体"/>
          <w:b/>
          <w:color w:val="1A1A1A"/>
          <w:sz w:val="23"/>
        </w:rPr>
        <w:t>两药的证据比较</w:t>
      </w:r>
    </w:p>
    <w:p>
      <w:pPr>
        <w:spacing w:after="120" w:before="0" w:line="348" w:lineRule="auto"/>
        <w:ind w:firstLine="420"/>
      </w:pPr>
      <w:r>
        <w:rPr>
          <w:rFonts w:ascii="Times New Roman" w:hAnsi="Times New Roman" w:eastAsia="宋体"/>
          <w:b w:val="0"/>
          <w:color w:val="1A1A1A"/>
          <w:sz w:val="21"/>
        </w:rPr>
        <w:t>两药在急性按需使用上的证据不在同一维度，且均不落在本问题所问的院外自救场景上。舌下含服 0.3 mg 硝酸甘油通常可缓解心绞痛发作，但部分患者需更大剂量或重复给药</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。速效救心丸的随机对照证据集中于冠心病心绞痛：Ren 等的荟萃分析纳入 41 项随机对照试验、6276 例中国冠心病患者，速效救心丸组心电图改善优于总体对照（RR 1.32，95%CI 1.26 至 1.38），对硝酸甘油对照亚组的 RR 为 1.35（95%CI 1.16 至 1.56）</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；但该荟萃分析同时指出，纳入研究大多因缺乏双盲设计而 Jadad 评分较低</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，其最常见不良反应为轻度头痛、头晕与面部潮红，多自行缓解，不良反应率与对照无显著差异（RR 1.12，95%CI 0.50 至 2.51）</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。速效救心丸的主要成分为冰片与川芎</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。Duan 等的 Cochrane 系统评价亦认为速效救心丸对心绞痛可能有效，但纳入研究方法学质量差</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。上述对照研究的结局均为心电图改善与症状频次，而非院外自救场景中的缓解时间或临床事件，且质量低，按 GRADE 为低至极低确定性。</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2323"/>
        <w:gridCol w:w="2323"/>
        <w:gridCol w:w="2323"/>
        <w:gridCol w:w="2323"/>
      </w:tblGrid>
      <w:tr>
        <w:tc>
          <w:tcPr>
            <w:tcW w:type="dxa" w:w="2323"/>
            <w:tcBorders>
              <w:bottom w:val="single" w:sz="6" w:color="1A1A1A"/>
            </w:tcBorders>
          </w:tcPr>
          <w:p>
            <w:pPr>
              <w:jc w:val="center"/>
            </w:pPr>
            <w:r>
              <w:rPr>
                <w:rFonts w:ascii="Times New Roman" w:hAnsi="Times New Roman" w:eastAsia="宋体"/>
                <w:b/>
                <w:color w:val="1A1A1A"/>
                <w:sz w:val="17"/>
              </w:rPr>
              <w:t>维度</w:t>
            </w:r>
          </w:p>
        </w:tc>
        <w:tc>
          <w:tcPr>
            <w:tcW w:type="dxa" w:w="2323"/>
            <w:tcBorders>
              <w:bottom w:val="single" w:sz="6" w:color="1A1A1A"/>
            </w:tcBorders>
          </w:tcPr>
          <w:p>
            <w:pPr>
              <w:jc w:val="center"/>
            </w:pPr>
            <w:r>
              <w:rPr>
                <w:rFonts w:ascii="Times New Roman" w:hAnsi="Times New Roman" w:eastAsia="宋体"/>
                <w:b/>
                <w:color w:val="1A1A1A"/>
                <w:sz w:val="17"/>
              </w:rPr>
              <w:t>硝酸甘油</w:t>
            </w:r>
          </w:p>
        </w:tc>
        <w:tc>
          <w:tcPr>
            <w:tcW w:type="dxa" w:w="2323"/>
            <w:tcBorders>
              <w:bottom w:val="single" w:sz="6" w:color="1A1A1A"/>
            </w:tcBorders>
          </w:tcPr>
          <w:p>
            <w:pPr>
              <w:jc w:val="center"/>
            </w:pPr>
            <w:r>
              <w:rPr>
                <w:rFonts w:ascii="Times New Roman" w:hAnsi="Times New Roman" w:eastAsia="宋体"/>
                <w:b/>
                <w:color w:val="1A1A1A"/>
                <w:sz w:val="17"/>
              </w:rPr>
              <w:t>速效救心丸</w:t>
            </w:r>
          </w:p>
        </w:tc>
        <w:tc>
          <w:tcPr>
            <w:tcW w:type="dxa" w:w="2323"/>
            <w:tcBorders>
              <w:bottom w:val="single" w:sz="6" w:color="1A1A1A"/>
            </w:tcBorders>
          </w:tcPr>
          <w:p>
            <w:pPr>
              <w:jc w:val="center"/>
            </w:pPr>
            <w:r>
              <w:rPr>
                <w:rFonts w:ascii="Times New Roman" w:hAnsi="Times New Roman" w:eastAsia="宋体"/>
                <w:b/>
                <w:color w:val="1A1A1A"/>
                <w:sz w:val="17"/>
              </w:rPr>
              <w:t>该维度可支持的结论边界</w:t>
            </w:r>
          </w:p>
        </w:tc>
      </w:tr>
      <w:tr>
        <w:tc>
          <w:tcPr>
            <w:tcW w:type="dxa" w:w="2323"/>
          </w:tcPr>
          <w:p>
            <w:r>
              <w:rPr>
                <w:rFonts w:ascii="Times New Roman" w:hAnsi="Times New Roman" w:eastAsia="宋体"/>
                <w:b w:val="0"/>
                <w:color w:val="1A1A1A"/>
                <w:sz w:val="17"/>
              </w:rPr>
              <w:t>核准适用场景</w:t>
            </w:r>
          </w:p>
        </w:tc>
        <w:tc>
          <w:tcPr>
            <w:tcW w:type="dxa" w:w="2323"/>
          </w:tcPr>
          <w:p>
            <w:r>
              <w:rPr>
                <w:rFonts w:ascii="Times New Roman" w:hAnsi="Times New Roman" w:eastAsia="宋体"/>
                <w:b w:val="0"/>
                <w:color w:val="1A1A1A"/>
                <w:sz w:val="17"/>
              </w:rPr>
              <w:t xml:space="preserve">预防和迅速缓解因冠状动脉疾病引起的心绞痛发作 </w:t>
            </w:r>
            <w:r>
              <w:rPr>
                <w:rFonts w:ascii="Times New Roman" w:hAnsi="Times New Roman" w:eastAsia="宋体"/>
                <w:b w:val="0"/>
                <w:color w:val="1A1A1A"/>
                <w:sz w:val="17"/>
                <w:vertAlign w:val="superscript"/>
              </w:rPr>
              <w:t>[10]</w:t>
            </w:r>
          </w:p>
        </w:tc>
        <w:tc>
          <w:tcPr>
            <w:tcW w:type="dxa" w:w="2323"/>
          </w:tcPr>
          <w:p>
            <w:r>
              <w:rPr>
                <w:rFonts w:ascii="Times New Roman" w:hAnsi="Times New Roman" w:eastAsia="宋体"/>
                <w:b w:val="0"/>
                <w:color w:val="1A1A1A"/>
                <w:sz w:val="17"/>
              </w:rPr>
              <w:t xml:space="preserve">行气活血、祛瘀止痛，用于气滞血瘀型冠心病、心绞痛 </w:t>
            </w:r>
            <w:r>
              <w:rPr>
                <w:rFonts w:ascii="Times New Roman" w:hAnsi="Times New Roman" w:eastAsia="宋体"/>
                <w:b w:val="0"/>
                <w:color w:val="1A1A1A"/>
                <w:sz w:val="17"/>
                <w:vertAlign w:val="superscript"/>
              </w:rPr>
              <w:t>[11]</w:t>
            </w:r>
          </w:p>
        </w:tc>
        <w:tc>
          <w:tcPr>
            <w:tcW w:type="dxa" w:w="2323"/>
          </w:tcPr>
          <w:p>
            <w:r>
              <w:rPr>
                <w:rFonts w:ascii="Times New Roman" w:hAnsi="Times New Roman" w:eastAsia="宋体"/>
                <w:b w:val="0"/>
                <w:color w:val="1A1A1A"/>
                <w:sz w:val="17"/>
              </w:rPr>
              <w:t>只能判断某一用法是否落在核准范围内，不能据此比较疗效</w:t>
            </w:r>
          </w:p>
        </w:tc>
      </w:tr>
      <w:tr>
        <w:tc>
          <w:tcPr>
            <w:tcW w:type="dxa" w:w="2323"/>
          </w:tcPr>
          <w:p>
            <w:r>
              <w:rPr>
                <w:rFonts w:ascii="Times New Roman" w:hAnsi="Times New Roman" w:eastAsia="宋体"/>
                <w:b w:val="0"/>
                <w:color w:val="1A1A1A"/>
                <w:sz w:val="17"/>
              </w:rPr>
              <w:t>急性按需使用证据</w:t>
            </w:r>
          </w:p>
        </w:tc>
        <w:tc>
          <w:tcPr>
            <w:tcW w:type="dxa" w:w="2323"/>
          </w:tcPr>
          <w:p>
            <w:r>
              <w:rPr>
                <w:rFonts w:ascii="Times New Roman" w:hAnsi="Times New Roman" w:eastAsia="宋体"/>
                <w:b w:val="0"/>
                <w:color w:val="1A1A1A"/>
                <w:sz w:val="17"/>
              </w:rPr>
              <w:t xml:space="preserve">舌下含服 0.3 mg 通常可缓解心绞痛发作 </w:t>
            </w:r>
            <w:r>
              <w:rPr>
                <w:rFonts w:ascii="Times New Roman" w:hAnsi="Times New Roman" w:eastAsia="宋体"/>
                <w:b w:val="0"/>
                <w:color w:val="1A1A1A"/>
                <w:sz w:val="17"/>
                <w:vertAlign w:val="superscript"/>
              </w:rPr>
              <w:t>[6]</w:t>
            </w:r>
          </w:p>
        </w:tc>
        <w:tc>
          <w:tcPr>
            <w:tcW w:type="dxa" w:w="2323"/>
          </w:tcPr>
          <w:p>
            <w:r>
              <w:rPr>
                <w:rFonts w:ascii="Times New Roman" w:hAnsi="Times New Roman" w:eastAsia="宋体"/>
                <w:b w:val="0"/>
                <w:color w:val="1A1A1A"/>
                <w:sz w:val="17"/>
              </w:rPr>
              <w:t>未检索到以急性发作缓解时间为结局的随机对照研究</w:t>
            </w:r>
          </w:p>
        </w:tc>
        <w:tc>
          <w:tcPr>
            <w:tcW w:type="dxa" w:w="2323"/>
          </w:tcPr>
          <w:p>
            <w:r>
              <w:rPr>
                <w:rFonts w:ascii="Times New Roman" w:hAnsi="Times New Roman" w:eastAsia="宋体"/>
                <w:b w:val="0"/>
                <w:color w:val="1A1A1A"/>
                <w:sz w:val="17"/>
              </w:rPr>
              <w:t>可分别陈述研究人群、结局与起效时间，不足以排序</w:t>
            </w:r>
          </w:p>
        </w:tc>
      </w:tr>
      <w:tr>
        <w:tc>
          <w:tcPr>
            <w:tcW w:type="dxa" w:w="2323"/>
          </w:tcPr>
          <w:p>
            <w:r>
              <w:rPr>
                <w:rFonts w:ascii="Times New Roman" w:hAnsi="Times New Roman" w:eastAsia="宋体"/>
                <w:b w:val="0"/>
                <w:color w:val="1A1A1A"/>
                <w:sz w:val="17"/>
              </w:rPr>
              <w:t>长期治疗证据</w:t>
            </w:r>
          </w:p>
        </w:tc>
        <w:tc>
          <w:tcPr>
            <w:tcW w:type="dxa" w:w="2323"/>
          </w:tcPr>
          <w:p>
            <w:r>
              <w:rPr>
                <w:rFonts w:ascii="Times New Roman" w:hAnsi="Times New Roman" w:eastAsia="宋体"/>
                <w:b w:val="0"/>
                <w:color w:val="1A1A1A"/>
                <w:sz w:val="17"/>
              </w:rPr>
              <w:t>未检索到以长期结局为终点的按需含服研究</w:t>
            </w:r>
          </w:p>
        </w:tc>
        <w:tc>
          <w:tcPr>
            <w:tcW w:type="dxa" w:w="2323"/>
          </w:tcPr>
          <w:p>
            <w:r>
              <w:rPr>
                <w:rFonts w:ascii="Times New Roman" w:hAnsi="Times New Roman" w:eastAsia="宋体"/>
                <w:b w:val="0"/>
                <w:color w:val="1A1A1A"/>
                <w:sz w:val="17"/>
              </w:rPr>
              <w:t>冠心病心绞痛连续用药，心电图改善 RR 1.32（95%CI 1.26 至 1.38）</w:t>
            </w:r>
            <w:r>
              <w:rPr>
                <w:rFonts w:ascii="Times New Roman" w:hAnsi="Times New Roman" w:eastAsia="宋体"/>
                <w:b w:val="0"/>
                <w:color w:val="1A1A1A"/>
                <w:sz w:val="17"/>
                <w:vertAlign w:val="superscript"/>
              </w:rPr>
              <w:t>[9]</w:t>
            </w:r>
          </w:p>
        </w:tc>
        <w:tc>
          <w:tcPr>
            <w:tcW w:type="dxa" w:w="2323"/>
          </w:tcPr>
          <w:p>
            <w:r>
              <w:rPr>
                <w:rFonts w:ascii="Times New Roman" w:hAnsi="Times New Roman" w:eastAsia="宋体"/>
                <w:b w:val="0"/>
                <w:color w:val="1A1A1A"/>
                <w:sz w:val="17"/>
              </w:rPr>
              <w:t>长期治疗结局不外推至单次自救用药</w:t>
            </w:r>
          </w:p>
        </w:tc>
      </w:tr>
      <w:tr>
        <w:tc>
          <w:tcPr>
            <w:tcW w:type="dxa" w:w="2323"/>
          </w:tcPr>
          <w:p>
            <w:r>
              <w:rPr>
                <w:rFonts w:ascii="Times New Roman" w:hAnsi="Times New Roman" w:eastAsia="宋体"/>
                <w:b w:val="0"/>
                <w:color w:val="1A1A1A"/>
                <w:sz w:val="17"/>
              </w:rPr>
              <w:t>人群反应差异</w:t>
            </w:r>
          </w:p>
        </w:tc>
        <w:tc>
          <w:tcPr>
            <w:tcW w:type="dxa" w:w="2323"/>
          </w:tcPr>
          <w:p>
            <w:r>
              <w:rPr>
                <w:rFonts w:ascii="Times New Roman" w:hAnsi="Times New Roman" w:eastAsia="宋体"/>
                <w:b w:val="0"/>
                <w:color w:val="1A1A1A"/>
                <w:sz w:val="17"/>
              </w:rPr>
              <w:t>携带者症状缓解率低于野生型（57.5% vs 11.1%）</w:t>
            </w:r>
            <w:r>
              <w:rPr>
                <w:rFonts w:ascii="Times New Roman" w:hAnsi="Times New Roman" w:eastAsia="宋体"/>
                <w:b w:val="0"/>
                <w:color w:val="1A1A1A"/>
                <w:sz w:val="17"/>
                <w:vertAlign w:val="superscript"/>
              </w:rPr>
              <w:t>[5]</w:t>
            </w:r>
            <w:r>
              <w:rPr>
                <w:rFonts w:ascii="Times New Roman" w:hAnsi="Times New Roman" w:eastAsia="宋体"/>
                <w:b w:val="0"/>
                <w:color w:val="1A1A1A"/>
                <w:sz w:val="17"/>
              </w:rPr>
              <w:t xml:space="preserve"> ，血管扩张幅度研究仅见起效延迟 </w:t>
            </w:r>
            <w:r>
              <w:rPr>
                <w:rFonts w:ascii="Times New Roman" w:hAnsi="Times New Roman" w:eastAsia="宋体"/>
                <w:b w:val="0"/>
                <w:color w:val="1A1A1A"/>
                <w:sz w:val="17"/>
                <w:vertAlign w:val="superscript"/>
              </w:rPr>
              <w:t>[6]</w:t>
            </w:r>
          </w:p>
        </w:tc>
        <w:tc>
          <w:tcPr>
            <w:tcW w:type="dxa" w:w="2323"/>
          </w:tcPr>
          <w:p>
            <w:r>
              <w:rPr>
                <w:rFonts w:ascii="Times New Roman" w:hAnsi="Times New Roman" w:eastAsia="宋体"/>
                <w:b w:val="0"/>
                <w:color w:val="1A1A1A"/>
                <w:sz w:val="17"/>
              </w:rPr>
              <w:t>未检索到按基因型分层的反应数据</w:t>
            </w:r>
          </w:p>
        </w:tc>
        <w:tc>
          <w:tcPr>
            <w:tcW w:type="dxa" w:w="2323"/>
          </w:tcPr>
          <w:p>
            <w:r>
              <w:rPr>
                <w:rFonts w:ascii="Times New Roman" w:hAnsi="Times New Roman" w:eastAsia="宋体"/>
                <w:b w:val="0"/>
                <w:color w:val="1A1A1A"/>
                <w:sz w:val="17"/>
              </w:rPr>
              <w:t>一方为已测得的异质性，另一方为未测量而非无差异</w:t>
            </w:r>
          </w:p>
        </w:tc>
      </w:tr>
      <w:tr>
        <w:tc>
          <w:tcPr>
            <w:tcW w:type="dxa" w:w="2323"/>
          </w:tcPr>
          <w:p>
            <w:r>
              <w:rPr>
                <w:rFonts w:ascii="Times New Roman" w:hAnsi="Times New Roman" w:eastAsia="宋体"/>
                <w:b w:val="0"/>
                <w:color w:val="1A1A1A"/>
                <w:sz w:val="17"/>
              </w:rPr>
              <w:t>安全性与禁忌</w:t>
            </w:r>
          </w:p>
        </w:tc>
        <w:tc>
          <w:tcPr>
            <w:tcW w:type="dxa" w:w="2323"/>
          </w:tcPr>
          <w:p>
            <w:r>
              <w:rPr>
                <w:rFonts w:ascii="Times New Roman" w:hAnsi="Times New Roman" w:eastAsia="宋体"/>
                <w:b w:val="0"/>
                <w:color w:val="1A1A1A"/>
                <w:sz w:val="17"/>
              </w:rPr>
              <w:t xml:space="preserve">与磷酸二酯酶-5 抑制剂合用为禁忌，低血压、晕厥风险 </w:t>
            </w:r>
            <w:r>
              <w:rPr>
                <w:rFonts w:ascii="Times New Roman" w:hAnsi="Times New Roman" w:eastAsia="宋体"/>
                <w:b w:val="0"/>
                <w:color w:val="1A1A1A"/>
                <w:sz w:val="17"/>
                <w:vertAlign w:val="superscript"/>
              </w:rPr>
              <w:t>[10]</w:t>
            </w:r>
          </w:p>
        </w:tc>
        <w:tc>
          <w:tcPr>
            <w:tcW w:type="dxa" w:w="2323"/>
          </w:tcPr>
          <w:p>
            <w:r>
              <w:rPr>
                <w:rFonts w:ascii="Times New Roman" w:hAnsi="Times New Roman" w:eastAsia="宋体"/>
                <w:b w:val="0"/>
                <w:color w:val="1A1A1A"/>
                <w:sz w:val="17"/>
              </w:rPr>
              <w:t xml:space="preserve">孕妇禁用，中重度心衰慎用；不良反应发生率未知 </w:t>
            </w:r>
            <w:r>
              <w:rPr>
                <w:rFonts w:ascii="Times New Roman" w:hAnsi="Times New Roman" w:eastAsia="宋体"/>
                <w:b w:val="0"/>
                <w:color w:val="1A1A1A"/>
                <w:sz w:val="17"/>
                <w:vertAlign w:val="superscript"/>
              </w:rPr>
              <w:t>[11]</w:t>
            </w:r>
          </w:p>
        </w:tc>
        <w:tc>
          <w:tcPr>
            <w:tcW w:type="dxa" w:w="2323"/>
          </w:tcPr>
          <w:p>
            <w:r>
              <w:rPr>
                <w:rFonts w:ascii="Times New Roman" w:hAnsi="Times New Roman" w:eastAsia="宋体"/>
                <w:b w:val="0"/>
                <w:color w:val="1A1A1A"/>
                <w:sz w:val="17"/>
              </w:rPr>
              <w:t>两侧均按全强度报告，不因证据量少而少报</w:t>
            </w:r>
          </w:p>
        </w:tc>
      </w:tr>
      <w:tr>
        <w:tc>
          <w:tcPr>
            <w:tcW w:type="dxa" w:w="2323"/>
          </w:tcPr>
          <w:p>
            <w:r>
              <w:rPr>
                <w:rFonts w:ascii="Times New Roman" w:hAnsi="Times New Roman" w:eastAsia="宋体"/>
                <w:b w:val="0"/>
                <w:color w:val="1A1A1A"/>
                <w:sz w:val="17"/>
              </w:rPr>
              <w:t>是否存在直接比较研究</w:t>
            </w:r>
          </w:p>
        </w:tc>
        <w:tc>
          <w:tcPr>
            <w:tcW w:type="dxa" w:w="2323"/>
          </w:tcPr>
          <w:p>
            <w:r>
              <w:rPr>
                <w:rFonts w:ascii="Times New Roman" w:hAnsi="Times New Roman" w:eastAsia="宋体"/>
                <w:b w:val="0"/>
                <w:color w:val="1A1A1A"/>
                <w:sz w:val="17"/>
              </w:rPr>
              <w:t>有以速效救心丸为对照的心电图结局随机对照（RR 1.35，95%CI 1.16 至 1.56）</w:t>
            </w:r>
            <w:r>
              <w:rPr>
                <w:rFonts w:ascii="Times New Roman" w:hAnsi="Times New Roman" w:eastAsia="宋体"/>
                <w:b w:val="0"/>
                <w:color w:val="1A1A1A"/>
                <w:sz w:val="17"/>
                <w:vertAlign w:val="superscript"/>
              </w:rPr>
              <w:t>[9]</w:t>
            </w:r>
            <w:r>
              <w:rPr>
                <w:rFonts w:ascii="Times New Roman" w:hAnsi="Times New Roman" w:eastAsia="宋体"/>
                <w:b w:val="0"/>
                <w:color w:val="1A1A1A"/>
                <w:sz w:val="17"/>
              </w:rPr>
              <w:t xml:space="preserve"> ，质量低、非院外自救场景</w:t>
            </w:r>
          </w:p>
        </w:tc>
        <w:tc>
          <w:tcPr>
            <w:tcW w:type="dxa" w:w="2323"/>
          </w:tcPr>
          <w:p>
            <w:r>
              <w:rPr>
                <w:rFonts w:ascii="Times New Roman" w:hAnsi="Times New Roman" w:eastAsia="宋体"/>
                <w:b w:val="0"/>
                <w:color w:val="1A1A1A"/>
                <w:sz w:val="17"/>
              </w:rPr>
              <w:t>同上</w:t>
            </w:r>
          </w:p>
        </w:tc>
        <w:tc>
          <w:tcPr>
            <w:tcW w:type="dxa" w:w="2323"/>
          </w:tcPr>
          <w:p>
            <w:r>
              <w:rPr>
                <w:rFonts w:ascii="Times New Roman" w:hAnsi="Times New Roman" w:eastAsia="宋体"/>
                <w:b w:val="0"/>
                <w:color w:val="1A1A1A"/>
                <w:sz w:val="17"/>
              </w:rPr>
              <w:t>比较存在但针对另一场景与替代终点，不足以判定院外自救场景优劣</w:t>
            </w:r>
          </w:p>
        </w:tc>
      </w:tr>
    </w:tbl>
    <w:p>
      <w:pPr>
        <w:spacing w:after="80" w:before="0" w:line="348" w:lineRule="auto"/>
      </w:pPr>
    </w:p>
    <w:p>
      <w:pPr>
        <w:spacing w:after="120" w:before="0" w:line="348" w:lineRule="auto"/>
        <w:ind w:firstLine="420"/>
      </w:pPr>
      <w:r>
        <w:rPr>
          <w:rFonts w:ascii="Times New Roman" w:hAnsi="Times New Roman" w:eastAsia="宋体"/>
          <w:b w:val="0"/>
          <w:color w:val="1A1A1A"/>
          <w:sz w:val="21"/>
        </w:rPr>
        <w:t>就"是否存在直接比较研究"这一维度而言，速效救心丸对硝酸甘油的对照研究存在，但以心电图改善为结局、研究质量低、且不在院外自救场景；未检索到在首次发生、病因未明的院外急性胸痛中以缓解时间或临床事件为结局的两药头对头随机对照试验。</w:t>
      </w:r>
    </w:p>
    <w:p>
      <w:pPr>
        <w:spacing w:after="100" w:before="240" w:line="300" w:lineRule="auto"/>
      </w:pPr>
      <w:r>
        <w:rPr>
          <w:rFonts w:ascii="Times New Roman" w:hAnsi="Times New Roman" w:eastAsia="黑体"/>
          <w:b/>
          <w:color w:val="1A1A1A"/>
          <w:sz w:val="23"/>
        </w:rPr>
        <w:t>ALDH2 rs671 的频率、表型与对硝酸甘油反应的影响</w:t>
      </w:r>
    </w:p>
    <w:p>
      <w:pPr>
        <w:spacing w:after="120" w:before="0" w:line="348" w:lineRule="auto"/>
        <w:ind w:firstLine="420"/>
      </w:pPr>
      <w:r>
        <w:rPr>
          <w:rFonts w:ascii="Times New Roman" w:hAnsi="Times New Roman" w:eastAsia="宋体"/>
          <w:b w:val="0"/>
          <w:color w:val="1A1A1A"/>
          <w:sz w:val="21"/>
        </w:rPr>
        <w:t>Pearson 与 Butler 等的综述记载，因乙醛蓄积导致的低酒精耐受见于约 40% 的东亚人群，其分子基础为 ALDH2 第 12 外显子 G→A 突变（Glu487Lys，亦称 Glu504Lys）</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。Sakata 等的试验报告日本人群 *2 等位基因频率约 20%，基因型分布为 *1/*1 60% 至 70%、*1/*2 30% 至 40%、*2/*2 3% 至 5%</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。酶活性方面，Lys504 纯合子几乎丧失活性，杂合子保留约正常的 6%</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；Li 2006 年的酶动力学显示 Lys504 酶的硝酸甘油代谢速率较野生型低约 10 倍</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，该文并报告舌下硝酸甘油在中国受试者中缺乏疗效</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症状缓解与血流动力学的量化证据方向并不一致。症状缓解方面，Zhang 等 2007 年的中国研究（142 例冠心病患者）报告含服硝酸甘油 5 分钟内缓解见于 57.5% 的 Glu504 型患者、仅 11.1% 的 Lys504 型患者，按饮酒脸红表型分别为 67.1% 与 20.4%</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。血流动力学方面，Sakata 等的随机交叉试验显示最大动脉扩张幅度在三种基因型间无差异，仅 *2/*2 纯合子达最大扩张的时间（299.7 s）显著长于 *1/*1（254.7 s，P=0.0190）</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；Miura 等 2017 年与 He 等 2019 年亦未发现突变型与野生型的血管扩张效应差异，而 Xia 等 2015 年的中国研究（559 例）显示心输出量仅在野生型受试者中增加</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。综合两项独立日本研究，ALDH2 rs671 对硝酸甘油血管扩张幅度未显示影响，效应主要表现为 *2 携带者的起效时间延迟</w:t>
      </w:r>
      <w:r>
        <w:rPr>
          <w:rFonts w:ascii="Times New Roman" w:hAnsi="Times New Roman" w:eastAsia="宋体"/>
          <w:b w:val="0"/>
          <w:color w:val="1A1A1A"/>
          <w:sz w:val="21"/>
          <w:vertAlign w:val="superscript"/>
        </w:rPr>
        <w:t>[5,6]</w:t>
      </w:r>
      <w:r>
        <w:rPr>
          <w:rFonts w:ascii="Times New Roman" w:hAnsi="Times New Roman" w:eastAsia="宋体"/>
          <w:b w:val="0"/>
          <w:color w:val="1A1A1A"/>
          <w:sz w:val="21"/>
        </w:rPr>
        <w:t xml:space="preserve"> 。</w:t>
      </w:r>
    </w:p>
    <w:p>
      <w:pPr>
        <w:spacing w:after="120" w:before="0" w:line="348" w:lineRule="auto"/>
        <w:ind w:firstLine="420"/>
      </w:pPr>
      <w:r>
        <w:rPr>
          <w:rFonts w:ascii="Times New Roman" w:hAnsi="Times New Roman" w:eastAsia="宋体"/>
          <w:b w:val="0"/>
          <w:color w:val="1A1A1A"/>
          <w:sz w:val="21"/>
        </w:rPr>
        <w:t>〔推导〕以东亚人群携带率约 40% 与上述 5 分钟缓解率（野生型 57.5%、Lys504 型 11.1%）加权估算，已确诊心绞痛患者含服硝酸甘油后 5 分钟人群平均缓解率约为 39%；携带率在 30%–50% 区间时，平均缓解率约在 44% 至 34% 之间。该估算仅适用于已确诊心绞痛的急性发作含服场景，不适用于病因未明的首次胸痛，且输入来自单一小样本研究。</w:t>
      </w:r>
    </w:p>
    <w:p>
      <w:pPr>
        <w:spacing w:after="100" w:before="240" w:line="300" w:lineRule="auto"/>
      </w:pPr>
      <w:r>
        <w:rPr>
          <w:rFonts w:ascii="Times New Roman" w:hAnsi="Times New Roman" w:eastAsia="黑体"/>
          <w:b/>
          <w:color w:val="1A1A1A"/>
          <w:sz w:val="23"/>
        </w:rPr>
        <w:t>含服后缓解的诊断效能</w:t>
      </w:r>
    </w:p>
    <w:p>
      <w:pPr>
        <w:spacing w:after="120" w:before="0" w:line="348" w:lineRule="auto"/>
        <w:ind w:firstLine="420"/>
      </w:pPr>
      <w:r>
        <w:rPr>
          <w:rFonts w:ascii="Times New Roman" w:hAnsi="Times New Roman" w:eastAsia="宋体"/>
          <w:b w:val="0"/>
          <w:color w:val="1A1A1A"/>
          <w:sz w:val="21"/>
        </w:rPr>
        <w:t>Steele 等的前瞻性观察队列纳入 270 例急诊胸痛患者，硝酸甘油缓解率为 66%；以缓解判定心源性胸痛的敏感度为 72%（95%CI 64%–80%）、特异度为 37%（95%CI 34%–41%）、阳性似然比为 1.1（95%CI 0.96–1.34）</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。阳性似然比接近 1，提示缓解与否几乎不改变疾病的验前概率。该研究结论为：含服硝酸甘油后胸痛缓解不是可靠的诊断性试验，不能区分心源性与非心源性胸痛</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；其结果与 Shry、Henrikson、Diercks 的既往研究相互印证</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。Henrikson 等的前瞻性队列亦报告含服硝酸甘油后胸痛缓解不能预测活动性冠脉疾病</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。据此，含服后是否缓解不能用于鉴别胸痛病因，缓解与不缓解都不排除急性冠脉综合征。</w:t>
      </w:r>
    </w:p>
    <w:p>
      <w:pPr>
        <w:spacing w:after="100" w:before="240" w:line="300" w:lineRule="auto"/>
      </w:pPr>
      <w:r>
        <w:rPr>
          <w:rFonts w:ascii="Times New Roman" w:hAnsi="Times New Roman" w:eastAsia="黑体"/>
          <w:b/>
          <w:color w:val="1A1A1A"/>
          <w:sz w:val="23"/>
        </w:rPr>
        <w:t>院前延迟与急救次序</w:t>
      </w:r>
    </w:p>
    <w:p>
      <w:pPr>
        <w:spacing w:after="120" w:before="0" w:line="348" w:lineRule="auto"/>
        <w:ind w:firstLine="420"/>
      </w:pPr>
      <w:r>
        <w:rPr>
          <w:rFonts w:ascii="Times New Roman" w:hAnsi="Times New Roman" w:eastAsia="宋体"/>
          <w:b w:val="0"/>
          <w:color w:val="1A1A1A"/>
          <w:sz w:val="21"/>
        </w:rPr>
        <w:t>Chowdhury 等的队列研究援引 De Luca 等的结果：直接经皮冠状动脉介入每延迟 30 分钟，1 年死亡风险增加 7.5%</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；其援引的汇总数据亦显示，症状起病 2 小时内溶栓者的比例死亡降幅（44%）显著大于更晚治疗者（20%）（P=0.001）</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。现行指南以症状起病 12 小时内、持续 ST 段抬高作为再灌注指征</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，2023 年 ESC 急性冠脉综合征指南为该领域现行规范文件</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就自救用药与呼叫急救的次序，公众卫生指引明确：突发且不缓解的压榨样、烧灼样胸痛，或胸痛伴出汗、恶心、头晕、气促者，应立即拨打急救电话并尽快到院接受心电图与高敏肌钙蛋白评估，任何自救用药都不应成为延误呼救的理由</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，且不得以症状自行诊断病因</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p>
    <w:p>
      <w:pPr>
        <w:spacing w:after="100" w:before="240" w:line="300" w:lineRule="auto"/>
      </w:pPr>
      <w:r>
        <w:rPr>
          <w:rFonts w:ascii="Times New Roman" w:hAnsi="Times New Roman" w:eastAsia="黑体"/>
          <w:b/>
          <w:color w:val="1A1A1A"/>
          <w:sz w:val="23"/>
        </w:rPr>
        <w:t>稳定型心绞痛证据向院外自救的外推</w:t>
      </w:r>
    </w:p>
    <w:p>
      <w:pPr>
        <w:spacing w:after="120" w:before="0" w:line="348" w:lineRule="auto"/>
        <w:ind w:firstLine="420"/>
      </w:pPr>
      <w:r>
        <w:rPr>
          <w:rFonts w:ascii="Times New Roman" w:hAnsi="Times New Roman" w:eastAsia="宋体"/>
          <w:b w:val="0"/>
          <w:color w:val="1A1A1A"/>
          <w:sz w:val="21"/>
        </w:rPr>
        <w:t>速效救心丸的随机对照证据为气滞血瘀型冠心病心绞痛人群的连续用药，结局为心电图与发作频次，这一证据既不能外推至单次自救用药，也不能覆盖其说明书适应症之外的人群与场景；在"气滞血瘀型胸痹心痛"之外，未检索到适应症内的直接临床证据。硝酸甘油的缓解证据来自已确诊心绞痛发作人群，同样不覆盖未分化胸痛的自救决策。稳定型心绞痛的长期管理证据与急性发作的院外自救证据须分别陈述，两者之间不存在可互认的桥梁。</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两药比较的落点不在"谁更优"，而在"各自证据能回答什么、回答不了什么"。对已确诊心绞痛患者，两药各自有对应人群的应用依据：硝酸甘油有症状缓解与血流动力学的直接证据，速效救心丸有冠心病心绞痛的随机对照证据（质量低）。对首次发生、病因未明的院外急性胸痛，两药均无适应症内的随机对照证据，任何"自行选药替代专业评估"的判断都没有直接证据支持。</w:t>
      </w:r>
    </w:p>
    <w:p>
      <w:pPr>
        <w:spacing w:after="120" w:before="0" w:line="348" w:lineRule="auto"/>
        <w:ind w:firstLine="420"/>
      </w:pPr>
      <w:r>
        <w:rPr>
          <w:rFonts w:ascii="Times New Roman" w:hAnsi="Times New Roman" w:eastAsia="宋体"/>
          <w:b w:val="0"/>
          <w:color w:val="1A1A1A"/>
          <w:sz w:val="21"/>
        </w:rPr>
        <w:t>ALDH2 rs671 的证据存在一处需要裁定的冲突：症状缓解研究显示携带者反应显著降低（57.5% vs 11.1%</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），而血管扩张幅度研究未显示基因型间差异、仅见起效延迟</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以结局的直接性与设计优先排序，血管扩张幅度研究为随机交叉设计、结局客观，但对象为健康人、结局为肱动脉直径而非症状；症状缓解研究对象为冠心病患者、结局直接对应临床问题，但样本小、以饮酒脸红为替代表型。两者回答的是同一机制的不同层次，据此可形成如下判断：ALDH2 rs671 降低的是硝酸甘油的代谢速率与起效速度，最大血管扩张能力在足够剂量与时间下得以保留；在需要"数分钟内快速缓解"的急性发作场景，起效延迟本身就构成临床意义的差异。因此，"约半数中国人对硝酸甘油无效"的表述过度简化——它把"起效延迟、部分人群缓解率降低"说成了"完全无效"。</w:t>
      </w:r>
    </w:p>
    <w:p>
      <w:pPr>
        <w:spacing w:after="120" w:before="0" w:line="348" w:lineRule="auto"/>
        <w:ind w:firstLine="420"/>
      </w:pPr>
      <w:r>
        <w:rPr>
          <w:rFonts w:ascii="Times New Roman" w:hAnsi="Times New Roman" w:eastAsia="宋体"/>
          <w:b w:val="0"/>
          <w:color w:val="1A1A1A"/>
          <w:sz w:val="21"/>
        </w:rPr>
        <w:t>从"该变异影响硝酸甘油"到"低反应者应改用速效救心丸"，须逐环检验，结论停在最后一环已建立处：</w:t>
      </w:r>
    </w:p>
    <w:p>
      <w:pPr>
        <w:spacing w:after="60" w:before="0" w:line="336" w:lineRule="auto"/>
        <w:ind w:left="340"/>
      </w:pPr>
      <w:r>
        <w:rPr>
          <w:rFonts w:ascii="Times New Roman" w:hAnsi="Times New Roman" w:eastAsia="宋体"/>
          <w:b w:val="0"/>
          <w:color w:val="1A1A1A"/>
          <w:sz w:val="21"/>
        </w:rPr>
        <w:t>1. 该变异在目标人群中常见——已建立：东亚人群携带率约 40%</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2. 携带者对硝酸甘油的症状反应降低——已建立，但幅度证据不一致：症状缓解 57.5% vs 11.1%</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，血管扩张幅度无差异、仅延迟</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3. 速效救心丸的作用不经该通路、故不受同一变异影响——未建立：未检索到速效救心丸按基因型分层的反应数据，"未测量"不等于"不受影响"。</w:t>
      </w:r>
    </w:p>
    <w:p>
      <w:pPr>
        <w:spacing w:after="60" w:before="0" w:line="336" w:lineRule="auto"/>
        <w:ind w:left="340"/>
      </w:pPr>
      <w:r>
        <w:rPr>
          <w:rFonts w:ascii="Times New Roman" w:hAnsi="Times New Roman" w:eastAsia="宋体"/>
          <w:b w:val="0"/>
          <w:color w:val="1A1A1A"/>
          <w:sz w:val="21"/>
        </w:rPr>
        <w:t>4. 低反应者改用速效救心丸后临床结局优于继续用硝酸甘油——未建立：未检索到按基因型分层的比较研究。</w:t>
      </w:r>
    </w:p>
    <w:p>
      <w:pPr>
        <w:spacing w:after="60" w:before="0" w:line="336" w:lineRule="auto"/>
        <w:ind w:left="340"/>
      </w:pPr>
      <w:r>
        <w:rPr>
          <w:rFonts w:ascii="Times New Roman" w:hAnsi="Times New Roman" w:eastAsia="宋体"/>
          <w:b w:val="0"/>
          <w:color w:val="1A1A1A"/>
          <w:sz w:val="21"/>
        </w:rPr>
        <w:t>5. 速效救心丸可在该场景替代硝酸甘油——未建立，且不能由第 1 至 4 环推出。</w:t>
      </w:r>
    </w:p>
    <w:p>
      <w:pPr>
        <w:spacing w:after="60" w:before="0" w:line="336" w:lineRule="auto"/>
        <w:ind w:left="340"/>
      </w:pPr>
      <w:r>
        <w:rPr>
          <w:rFonts w:ascii="Times New Roman" w:hAnsi="Times New Roman" w:eastAsia="宋体"/>
          <w:b w:val="0"/>
          <w:color w:val="1A1A1A"/>
          <w:sz w:val="21"/>
        </w:rPr>
        <w:t>6. 基因型差异足以构成两药之间的选择规则——未建立。</w:t>
      </w:r>
    </w:p>
    <w:p>
      <w:pPr>
        <w:spacing w:after="120" w:before="0" w:line="348" w:lineRule="auto"/>
        <w:ind w:firstLine="420"/>
      </w:pPr>
      <w:r>
        <w:rPr>
          <w:rFonts w:ascii="Times New Roman" w:hAnsi="Times New Roman" w:eastAsia="宋体"/>
          <w:b w:val="0"/>
          <w:color w:val="1A1A1A"/>
          <w:sz w:val="21"/>
        </w:rPr>
        <w:t>因此，ALDH2 相关反应差异提示院外心绞痛用药效果可能存在显著个体差异，不宜将硝酸甘油视为对所有中国患者反应完全一致的单一标准；速效救心丸具有不同的药物组成和证据路径，其在 ALDH2 低反应人群中的相对价值需以基因型分层、以症状缓解与主要不良心血管事件为结局的前瞻性比较研究验证。</w:t>
      </w:r>
    </w:p>
    <w:p>
      <w:pPr>
        <w:spacing w:after="120" w:before="0" w:line="348" w:lineRule="auto"/>
        <w:ind w:firstLine="420"/>
      </w:pPr>
      <w:r>
        <w:rPr>
          <w:rFonts w:ascii="Times New Roman" w:hAnsi="Times New Roman" w:eastAsia="宋体"/>
          <w:b w:val="0"/>
          <w:color w:val="1A1A1A"/>
          <w:sz w:val="21"/>
        </w:rPr>
        <w:t>含服后缓解不能鉴别病因，这条提示限定的是对缓解现象的解读，不构成两药疗效比较的结论；其安全含义在临床实践要点中以完整强度陈述。</w:t>
      </w:r>
    </w:p>
    <w:p>
      <w:pPr>
        <w:spacing w:after="100" w:before="240" w:line="300" w:lineRule="auto"/>
      </w:pPr>
      <w:r>
        <w:rPr>
          <w:rFonts w:ascii="Times New Roman" w:hAnsi="Times New Roman" w:eastAsia="黑体"/>
          <w:b/>
          <w:color w:val="1A1A1A"/>
          <w:sz w:val="25"/>
        </w:rPr>
        <w:t>局限性</w:t>
      </w:r>
    </w:p>
    <w:p>
      <w:pPr>
        <w:spacing w:after="120" w:before="0" w:line="348" w:lineRule="auto"/>
        <w:ind w:firstLine="420"/>
      </w:pPr>
      <w:r>
        <w:rPr>
          <w:rFonts w:ascii="Times New Roman" w:hAnsi="Times New Roman" w:eastAsia="宋体"/>
          <w:b w:val="0"/>
          <w:color w:val="1A1A1A"/>
          <w:sz w:val="21"/>
        </w:rPr>
        <w:t>本评价的直接证据受限于可获得的开放获取文献。NMPA 说明书官方现行全文未能获取，适应症与禁忌文字来自说明书索引副本，存在与现行批准文本不一致的可能；CNKI、万方不可访问，中文随机对照试验仅经英文系统评价与荟萃分析间接覆盖，速效救心丸适应症人群的原始中文研究未直接核验。Henrikson 等、Li 等、Duan 等与现行 ESC 指南的全文未能获取，仅按摘要或题录陈述；其中症状缓解率的基因型差异与院前延迟的死亡风险为经综述转述的二次引用，未回到原始文献核验，其具体数值精度受此限制。未开展新的临床试验，也不具备获取个体病例数据的条件。上述缺口主要影响速效救心丸证据的完整性、ALDH2</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缓解率的精确性与中国人群频率的专一性，但不改变本评价的方向性结论：即两药在院外自救场景均缺适应症内随机对照证据、ALDH2</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的影响为起效延迟与部分缓解降低而非完全失效、含服后缓解不具诊断价值。</w:t>
      </w:r>
    </w:p>
    <w:p>
      <w:pPr>
        <w:spacing w:after="100" w:before="240" w:line="300" w:lineRule="auto"/>
      </w:pPr>
      <w:r>
        <w:rPr>
          <w:rFonts w:ascii="Times New Roman" w:hAnsi="Times New Roman" w:eastAsia="黑体"/>
          <w:b/>
          <w:color w:val="1A1A1A"/>
          <w:sz w:val="25"/>
        </w:rPr>
        <w:t>结论</w:t>
      </w:r>
    </w:p>
    <w:p>
      <w:pPr>
        <w:spacing w:after="120" w:before="0" w:line="348" w:lineRule="auto"/>
        <w:ind w:firstLine="420"/>
      </w:pPr>
      <w:r>
        <w:rPr>
          <w:rFonts w:ascii="Times New Roman" w:hAnsi="Times New Roman" w:eastAsia="宋体"/>
          <w:b w:val="0"/>
          <w:color w:val="1A1A1A"/>
          <w:sz w:val="21"/>
        </w:rPr>
        <w:t>（1）在首次发生、病因未明的院外急性胸痛中，两药均未检索到以临床结局为终点的随机对照证据，现有证据不足以支持患者自行选择任一药物替代专业评估；在已确诊冠心病心绞痛患者中，硝酸甘油有症状缓解与血流动力学的直接证据</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，速效救心丸有气滞血瘀型冠心病心绞痛的随机对照证据（质量低）</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，二者适用人群不同、证据不能互认。</w:t>
      </w:r>
    </w:p>
    <w:p>
      <w:pPr>
        <w:spacing w:after="120" w:before="0" w:line="348" w:lineRule="auto"/>
        <w:ind w:firstLine="420"/>
      </w:pPr>
      <w:r>
        <w:rPr>
          <w:rFonts w:ascii="Times New Roman" w:hAnsi="Times New Roman" w:eastAsia="宋体"/>
          <w:b w:val="0"/>
          <w:color w:val="1A1A1A"/>
          <w:sz w:val="21"/>
        </w:rPr>
        <w:t>（2）ALDH2 rs671 在东亚人群携带率约 40%</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，杂合子酶活性约为正常的 6%</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；其对硝酸甘油的影响以代谢速率下降（约 10 倍</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）、症状缓解率降低（57.5% vs 11.1%</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）与起效时间延迟</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为主，血管扩张幅度研究未显示完全失效，"约半数中国人对硝酸甘油无效"的说法过度简化。</w:t>
      </w:r>
    </w:p>
    <w:p>
      <w:pPr>
        <w:spacing w:after="120" w:before="0" w:line="348" w:lineRule="auto"/>
        <w:ind w:firstLine="420"/>
      </w:pPr>
      <w:r>
        <w:rPr>
          <w:rFonts w:ascii="Times New Roman" w:hAnsi="Times New Roman" w:eastAsia="宋体"/>
          <w:b w:val="0"/>
          <w:color w:val="1A1A1A"/>
          <w:sz w:val="21"/>
        </w:rPr>
        <w:t>（3）含服后是否缓解不能鉴别胸痛病因，敏感度 72%、特异度 37%、阳性似然比 1.1</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p>
    <w:p>
      <w:pPr>
        <w:spacing w:after="120" w:before="0" w:line="348" w:lineRule="auto"/>
        <w:ind w:firstLine="420"/>
      </w:pPr>
      <w:r>
        <w:rPr>
          <w:rFonts w:ascii="Times New Roman" w:hAnsi="Times New Roman" w:eastAsia="宋体"/>
          <w:b w:val="0"/>
          <w:color w:val="1A1A1A"/>
          <w:sz w:val="21"/>
        </w:rPr>
        <w:t>（4）院前延迟与再灌注时间及病死率相关（介入每延迟 30 分钟 1 年死亡风险增加 7.5%</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），自救用药不得延误呼叫急救。</w:t>
      </w:r>
    </w:p>
    <w:p>
      <w:pPr>
        <w:spacing w:after="120" w:before="0" w:line="348" w:lineRule="auto"/>
        <w:ind w:firstLine="420"/>
      </w:pPr>
      <w:r>
        <w:rPr>
          <w:rFonts w:ascii="Times New Roman" w:hAnsi="Times New Roman" w:eastAsia="宋体"/>
          <w:b w:val="0"/>
          <w:color w:val="1A1A1A"/>
          <w:sz w:val="21"/>
        </w:rPr>
        <w:t>（5）稳定型心绞痛的长期管理证据不构成急性发作院外自救的外推依据；在"气滞血瘀型冠心病心绞痛"之外，未检索到速效救心丸适应症内的直接临床证据。</w:t>
      </w:r>
    </w:p>
    <w:p>
      <w:pPr>
        <w:spacing w:after="100" w:before="240" w:line="300" w:lineRule="auto"/>
      </w:pPr>
      <w:r>
        <w:rPr>
          <w:rFonts w:ascii="Times New Roman" w:hAnsi="Times New Roman" w:eastAsia="黑体"/>
          <w:b/>
          <w:color w:val="1A1A1A"/>
          <w:sz w:val="25"/>
        </w:rPr>
        <w:t>临床实践要点</w:t>
      </w:r>
    </w:p>
    <w:p>
      <w:pPr>
        <w:spacing w:after="60" w:before="0" w:line="336" w:lineRule="auto"/>
        <w:ind w:left="340"/>
      </w:pPr>
      <w:r>
        <w:rPr>
          <w:rFonts w:ascii="Times New Roman" w:hAnsi="Times New Roman" w:eastAsia="宋体"/>
          <w:b w:val="0"/>
          <w:color w:val="1A1A1A"/>
          <w:sz w:val="21"/>
        </w:rPr>
        <w:t>· 突发且不缓解的压榨样、烧灼样胸痛，或胸痛伴出汗、恶心、头晕、气促者，应立即拨打 120 并尽快到院接受心电图与高敏肌钙蛋白评估；任何自救用药都不得延误呼叫急救。</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p>
    <w:p>
      <w:pPr>
        <w:spacing w:after="60" w:before="0" w:line="336" w:lineRule="auto"/>
        <w:ind w:left="340"/>
      </w:pPr>
      <w:r>
        <w:rPr>
          <w:rFonts w:ascii="Times New Roman" w:hAnsi="Times New Roman" w:eastAsia="宋体"/>
          <w:b w:val="0"/>
          <w:color w:val="1A1A1A"/>
          <w:sz w:val="21"/>
        </w:rPr>
        <w:t>· 含服硝酸甘油或速效救心丸后症状是否缓解，都不能用于鉴别心源性与非心源性胸痛；缓解与未缓解都不排除急性冠脉综合征。</w:t>
      </w:r>
      <w:r>
        <w:rPr>
          <w:rFonts w:ascii="Times New Roman" w:hAnsi="Times New Roman" w:eastAsia="宋体"/>
          <w:b w:val="0"/>
          <w:color w:val="1A1A1A"/>
          <w:sz w:val="21"/>
          <w:vertAlign w:val="superscript"/>
        </w:rPr>
        <w:t>[1]</w:t>
      </w:r>
    </w:p>
    <w:p>
      <w:pPr>
        <w:spacing w:after="60" w:before="0" w:line="336" w:lineRule="auto"/>
        <w:ind w:left="340"/>
      </w:pPr>
      <w:r>
        <w:rPr>
          <w:rFonts w:ascii="Times New Roman" w:hAnsi="Times New Roman" w:eastAsia="宋体"/>
          <w:b w:val="0"/>
          <w:color w:val="1A1A1A"/>
          <w:sz w:val="21"/>
        </w:rPr>
        <w:t>· 服用速效救心丸不得延误呼叫急救或到院评估；服药与拨打 120 应同时进行，而非先服药、观察无效后再呼救。</w:t>
      </w:r>
      <w:r>
        <w:rPr>
          <w:rFonts w:ascii="Times New Roman" w:hAnsi="Times New Roman" w:eastAsia="宋体"/>
          <w:b w:val="0"/>
          <w:color w:val="1A1A1A"/>
          <w:sz w:val="21"/>
          <w:vertAlign w:val="superscript"/>
        </w:rPr>
        <w:t>[3]</w:t>
      </w:r>
    </w:p>
    <w:p>
      <w:pPr>
        <w:spacing w:after="60" w:before="0" w:line="336" w:lineRule="auto"/>
        <w:ind w:left="340"/>
      </w:pPr>
      <w:r>
        <w:rPr>
          <w:rFonts w:ascii="Times New Roman" w:hAnsi="Times New Roman" w:eastAsia="宋体"/>
          <w:b w:val="0"/>
          <w:color w:val="1A1A1A"/>
          <w:sz w:val="21"/>
        </w:rPr>
        <w:t>· 已确诊冠心病或心绞痛、按既往医嘱处置者，可按医嘱舌下含服 0.3 mg 硝酸甘油缓解发作；首次发生、病因未明者不得自行用药替代专业评估。</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[3]</w:t>
      </w:r>
    </w:p>
    <w:p>
      <w:pPr>
        <w:spacing w:after="60" w:before="0" w:line="336" w:lineRule="auto"/>
        <w:ind w:left="340"/>
      </w:pPr>
      <w:r>
        <w:rPr>
          <w:rFonts w:ascii="Times New Roman" w:hAnsi="Times New Roman" w:eastAsia="宋体"/>
          <w:b w:val="0"/>
          <w:color w:val="1A1A1A"/>
          <w:sz w:val="21"/>
        </w:rPr>
        <w:t>· 硝酸甘油与磷酸二酯酶-5 抑制剂（西地那非、伐地那非、他达拉非等）合用为禁忌，可致严重低血压；用药前应排除此类药物合用。</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[10]</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Steele R, McNaughton T, McConahy M, Lam J. Chest pain in emergency department patients: if the pain is relieved by nitroglycerin, is it more likely to be cardiac chest pain? CJEM. 2006;8(3):164-169. doi:10.1017/s1481803500013671. PMID:17320010.</w:t>
      </w:r>
    </w:p>
    <w:p>
      <w:pPr>
        <w:spacing w:after="60" w:before="0" w:line="336" w:lineRule="auto"/>
        <w:ind w:left="340"/>
      </w:pPr>
      <w:r>
        <w:rPr>
          <w:rFonts w:ascii="Times New Roman" w:hAnsi="Times New Roman" w:eastAsia="宋体"/>
          <w:b w:val="0"/>
          <w:color w:val="1A1A1A"/>
          <w:sz w:val="21"/>
        </w:rPr>
        <w:t>2. Henrikson CA, Howell EE, Bush DE, Miles JS, Meininger GR, Friedlander T, et al. Chest pain relief by nitroglycerin does not predict active coronary artery disease. Ann Intern Med. 2003;139(12):979-986. doi:10.7326/0003-4819-139-12-200312160-00007. PMID:14678917.</w:t>
      </w:r>
    </w:p>
    <w:p>
      <w:pPr>
        <w:spacing w:after="60" w:before="0" w:line="336" w:lineRule="auto"/>
        <w:ind w:left="340"/>
      </w:pPr>
      <w:r>
        <w:rPr>
          <w:rFonts w:ascii="Times New Roman" w:hAnsi="Times New Roman" w:eastAsia="宋体"/>
          <w:b w:val="0"/>
          <w:color w:val="1A1A1A"/>
          <w:sz w:val="21"/>
        </w:rPr>
        <w:t>3. National Health Service (NHS). Chest pain. NHS website. 2023-08-08. URL: https://www.nhs.uk/symptoms/chest-pain/</w:t>
      </w:r>
    </w:p>
    <w:p>
      <w:pPr>
        <w:spacing w:after="60" w:before="0" w:line="336" w:lineRule="auto"/>
        <w:ind w:left="340"/>
      </w:pPr>
      <w:r>
        <w:rPr>
          <w:rFonts w:ascii="Times New Roman" w:hAnsi="Times New Roman" w:eastAsia="宋体"/>
          <w:b w:val="0"/>
          <w:color w:val="1A1A1A"/>
          <w:sz w:val="21"/>
        </w:rPr>
        <w:t>4. Chowdhury IZ, Amin MN, Chowdhury MZ, Rahman SM, Ahmed M, Cader FA. Pre hospital delay and its associated factors in acute myocardial infarction in a developing country. PLoS One. 2021;16(11):e0259979. doi:10.1371/journal.pone.0259979. PMID:34818360.</w:t>
      </w:r>
    </w:p>
    <w:p>
      <w:pPr>
        <w:spacing w:after="60" w:before="0" w:line="336" w:lineRule="auto"/>
        <w:ind w:left="340"/>
      </w:pPr>
      <w:r>
        <w:rPr>
          <w:rFonts w:ascii="Times New Roman" w:hAnsi="Times New Roman" w:eastAsia="宋体"/>
          <w:b w:val="0"/>
          <w:color w:val="1A1A1A"/>
          <w:sz w:val="21"/>
        </w:rPr>
        <w:t>5. Pearson R, Butler A, Fruttero R, Gazzano E, Sodano F. Glyceryl Trinitrate: History, Mystery, and Alcohol Intolerance. Molecules. 2021;26(21):6581. doi:10.3390/molecules26216581. PMID:34770988.</w:t>
      </w:r>
    </w:p>
    <w:p>
      <w:pPr>
        <w:spacing w:after="60" w:before="0" w:line="336" w:lineRule="auto"/>
        <w:ind w:left="340"/>
      </w:pPr>
      <w:r>
        <w:rPr>
          <w:rFonts w:ascii="Times New Roman" w:hAnsi="Times New Roman" w:eastAsia="宋体"/>
          <w:b w:val="0"/>
          <w:color w:val="1A1A1A"/>
          <w:sz w:val="21"/>
        </w:rPr>
        <w:t>6. Sakata S, Yoshihara T, Arima H, Shiraishi F, Oniki H, Takahashi-Yanaga F, et al. Differential effects of organic nitrates on arterial diameter among healthy Japanese participants with different mitochondrial aldehyde dehydrogenase 2 genotypes: randomised crossover trial. BMJ Open. 2011;1(1):e000133. doi:10.1136/bmjopen-2011-000133. PMID:21540305.</w:t>
      </w:r>
    </w:p>
    <w:p>
      <w:pPr>
        <w:spacing w:after="60" w:before="0" w:line="336" w:lineRule="auto"/>
        <w:ind w:left="340"/>
      </w:pPr>
      <w:r>
        <w:rPr>
          <w:rFonts w:ascii="Times New Roman" w:hAnsi="Times New Roman" w:eastAsia="宋体"/>
          <w:b w:val="0"/>
          <w:color w:val="1A1A1A"/>
          <w:sz w:val="21"/>
        </w:rPr>
        <w:t>7. Li Y, Zhang D, Jin W, Shao C, Yan P, Xu C, et al. Mitochondrial aldehyde dehydrogenase-2 (ALDH2) Glu504Lys polymorphism contributes to the variation in efficacy of sublingual nitroglycerin. J Clin Invest. 2006;116(2):506-511. doi:10.1172/JCI26564. PMID:16440063.</w:t>
      </w:r>
    </w:p>
    <w:p>
      <w:pPr>
        <w:spacing w:after="60" w:before="0" w:line="336" w:lineRule="auto"/>
        <w:ind w:left="340"/>
      </w:pPr>
      <w:r>
        <w:rPr>
          <w:rFonts w:ascii="Times New Roman" w:hAnsi="Times New Roman" w:eastAsia="宋体"/>
          <w:b w:val="0"/>
          <w:color w:val="1A1A1A"/>
          <w:sz w:val="21"/>
        </w:rPr>
        <w:t>8. Duan X, Zhou L, Wu T, Liu G, Qiao J, Wei J, et al. Chinese herbal medicine suxiao jiuxin wan for angina pectoris. Cochrane Database Syst Rev. 2008;(1):CD004473. doi:10.1002/14651858.CD004473.pub2. PMID:18254051.</w:t>
      </w:r>
    </w:p>
    <w:p>
      <w:pPr>
        <w:spacing w:after="60" w:before="0" w:line="336" w:lineRule="auto"/>
        <w:ind w:left="340"/>
      </w:pPr>
      <w:r>
        <w:rPr>
          <w:rFonts w:ascii="Times New Roman" w:hAnsi="Times New Roman" w:eastAsia="宋体"/>
          <w:b w:val="0"/>
          <w:color w:val="1A1A1A"/>
          <w:sz w:val="21"/>
        </w:rPr>
        <w:t>9. Ren L, Wang J, Feng L, Wang S, Li J. Efficacy of Suxiao Jiuxin Pill on Coronary Heart Disease: A Meta-Analysis of Randomized Controlled Trials. Evid Based Complement Alternat Med. 2018;2018:9745804. doi:10.1155/2018/9745804. PMID:29770157.</w:t>
      </w:r>
    </w:p>
    <w:p>
      <w:pPr>
        <w:spacing w:after="60" w:before="0" w:line="336" w:lineRule="auto"/>
        <w:ind w:left="340"/>
      </w:pPr>
      <w:r>
        <w:rPr>
          <w:rFonts w:ascii="Times New Roman" w:hAnsi="Times New Roman" w:eastAsia="宋体"/>
          <w:b w:val="0"/>
          <w:color w:val="1A1A1A"/>
          <w:sz w:val="21"/>
        </w:rPr>
        <w:t>10. 国家药品监督管理局. 硝酸甘油片说明书（索引副本）.</w:t>
      </w:r>
    </w:p>
    <w:p>
      <w:pPr>
        <w:spacing w:after="60" w:before="0" w:line="336" w:lineRule="auto"/>
        <w:ind w:left="340"/>
      </w:pPr>
      <w:r>
        <w:rPr>
          <w:rFonts w:ascii="Times New Roman" w:hAnsi="Times New Roman" w:eastAsia="宋体"/>
          <w:b w:val="0"/>
          <w:color w:val="1A1A1A"/>
          <w:sz w:val="21"/>
        </w:rPr>
        <w:t>11. 国家药品监督管理局. 速效救心丸说明书（索引副本）.</w:t>
      </w:r>
    </w:p>
    <w:p>
      <w:pPr>
        <w:spacing w:after="60" w:before="0" w:line="336" w:lineRule="auto"/>
        <w:ind w:left="340"/>
      </w:pPr>
      <w:r>
        <w:rPr>
          <w:rFonts w:ascii="Times New Roman" w:hAnsi="Times New Roman" w:eastAsia="宋体"/>
          <w:b w:val="0"/>
          <w:color w:val="1A1A1A"/>
          <w:sz w:val="21"/>
        </w:rPr>
        <w:t>12. Byrne RA, Rossello X, Coughlan JJ, Barbato E, Berry C, Chieffo A, et al. 2023 ESC Guidelines for the management of acute coronary syndromes. Eur Heart J. 2023;44(38):3720-3826. doi:10.1093/eurheartj/ehad191. PMID:37622654.</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