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舌下含服硝酸甘油或速效救心丸后胸痛不缓解的升级时间阈值与院外路径：证据基础与一致性评价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目的</w:t>
      </w:r>
      <w:r>
        <w:rPr>
          <w:rFonts w:ascii="Times New Roman" w:hAnsi="Times New Roman" w:eastAsia="宋体"/>
          <w:b w:val="0"/>
          <w:color w:val="1A1A1A"/>
          <w:sz w:val="21"/>
        </w:rPr>
        <w:t xml:space="preserve"> 清点 AHA/ACC、ESC 与中国指南及共识对舌下含服硝酸甘油后症状不缓解应升级处置的时间界限及其推荐类别与证据等级，考察彼此一致性；核对速效救心丸的国家药监局核准说明书与相关共识是否给出对应时间界限或再次给药间隔；评价支撑这些时间界限的证据类型，以及院前延迟时长与心肌梗死面积、心功能、病死率之间的定量关系；梳理院外升级路径（自我用药、呼叫 120、自行前往）各步骤的推荐次序。</w:t>
      </w:r>
    </w:p>
    <w:p>
      <w:pPr>
        <w:spacing w:after="120" w:before="0" w:line="348" w:lineRule="auto"/>
      </w:pPr>
      <w:r>
        <w:rPr>
          <w:rFonts w:ascii="Times New Roman" w:hAnsi="Times New Roman" w:eastAsia="宋体"/>
          <w:b/>
          <w:color w:val="1A1A1A"/>
          <w:sz w:val="21"/>
        </w:rPr>
        <w:t>方法</w:t>
      </w:r>
      <w:r>
        <w:rPr>
          <w:rFonts w:ascii="Times New Roman" w:hAnsi="Times New Roman" w:eastAsia="宋体"/>
          <w:b w:val="0"/>
          <w:color w:val="1A1A1A"/>
          <w:sz w:val="21"/>
        </w:rPr>
        <w:t xml:space="preserve"> 检索 PubMed、Europe PMC、Crossref、指南索引与美国 FDA/中国国家药监局说明书索引（检索日期见随附检索记录），记录检索式与命中数；去重后对纳入来源按研究设计分层评价偏倚风险（随机对照试验用 RoB 2、非随机干预性研究用 ROBINS-I），指南方法学质量参照 AGREE II 要点说明，证据体确定性按 GRADE 分级。</w:t>
      </w:r>
    </w:p>
    <w:p>
      <w:pPr>
        <w:spacing w:after="120" w:before="0" w:line="348" w:lineRule="auto"/>
      </w:pPr>
      <w:r>
        <w:rPr>
          <w:rFonts w:ascii="Times New Roman" w:hAnsi="Times New Roman" w:eastAsia="宋体"/>
          <w:b/>
          <w:color w:val="1A1A1A"/>
          <w:sz w:val="21"/>
        </w:rPr>
        <w:t>结果</w:t>
      </w:r>
      <w:r>
        <w:rPr>
          <w:rFonts w:ascii="Times New Roman" w:hAnsi="Times New Roman" w:eastAsia="宋体"/>
          <w:b w:val="0"/>
          <w:color w:val="1A1A1A"/>
          <w:sz w:val="21"/>
        </w:rPr>
        <w:t xml:space="preserve"> 各来源给出的时间界限并不一致。2011 ACCF/AHA 不稳定型心绞痛/非 ST 段抬高心肌梗死指南更新要求：疑似急性冠脉综合征且既往处方硝酸甘油者仅先含服 1 次，5 分钟后不缓解或加重即应立即呼叫 9-1-1（中国为 120），证据等级 C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；慢性稳定型心绞痛者症状明显改善后可每间隔 5 分钟重复给药，未完全缓解呼叫 9-1-1，证据等级 C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。2012 ACCF/AHA 稳定型缺血性心脏病指南与 2013 ESC 指南以"每间隔 5 分钟给药、15 分钟内≤1.2 mg"为用药边界，此时间窗内不缓解即应"立即寻求医疗关注"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。英国 NHS 面向公众的指引仅要求突发不缓解的胸痛立即呼叫 999，未给出分钟数阈值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。速效救心丸说明书与相关共识未检索到任何时间界限或再次给药间隔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。上述具体分钟数均属证据等级 C 或监管说明层面的共识性操作化，未检索到以时间阈值本身为变量、以临床结局为终点的前瞻性研究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；其依据是观察性证据支持的"时间就是心肌"原则——症状-到门时间与总缺血时间高度相关（r=0.989）</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，呼叫急救是唯一能缩短院前延迟的可干预因素（OR 0.20，95% CI 0.17 至 0.23）</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，中国农村患者症状-到门时间中位 190 分钟对城市 75 分钟，1 年主要不良心血管事件发生率 24.5% 对 12.8%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结论</w:t>
      </w:r>
      <w:r>
        <w:rPr>
          <w:rFonts w:ascii="Times New Roman" w:hAnsi="Times New Roman" w:eastAsia="宋体"/>
          <w:b w:val="0"/>
          <w:color w:val="1A1A1A"/>
          <w:sz w:val="21"/>
        </w:rPr>
        <w:t xml:space="preserve"> "含服后不缓解应升级处置"作为推荐广泛存在，但其具体分钟数缺乏以阈值本身为对象的试验支持，属于把"时间就是心肌"操作化后的经验值；各指南时间界限措辞不一、证据等级以 C 为主。速效救心丸没有可追溯的时间界限，其对冠心病的证据集中于慢性心电图与血脂终点，且质量低，未覆盖院外急性自救。就首次发生、病因未明的院外胸痛，任何自救用药都不能作为延迟呼叫 120 的理由，含服后是否缓解不能用于鉴别病因。</w:t>
      </w:r>
    </w:p>
    <w:p>
      <w:pPr>
        <w:spacing w:after="120" w:before="0" w:line="348" w:lineRule="auto"/>
      </w:pPr>
      <w:r>
        <w:rPr>
          <w:rFonts w:ascii="Times New Roman" w:hAnsi="Times New Roman" w:eastAsia="宋体"/>
          <w:b/>
          <w:color w:val="1A1A1A"/>
          <w:sz w:val="21"/>
        </w:rPr>
        <w:t>关键词</w:t>
      </w:r>
      <w:r>
        <w:rPr>
          <w:rFonts w:ascii="Times New Roman" w:hAnsi="Times New Roman" w:eastAsia="宋体"/>
          <w:b w:val="0"/>
          <w:color w:val="1A1A1A"/>
          <w:sz w:val="21"/>
        </w:rPr>
        <w:t xml:space="preserve"> 急性胸痛；心绞痛；硝酸甘油；速效救心丸；院前延迟；急救医疗服务</w:t>
      </w:r>
    </w:p>
    <w:p>
      <w:pPr>
        <w:spacing w:after="100" w:before="240" w:line="300" w:lineRule="auto"/>
      </w:pPr>
      <w:r>
        <w:rPr>
          <w:rFonts w:ascii="Times New Roman" w:hAnsi="Times New Roman" w:eastAsia="黑体"/>
          <w:b/>
          <w:color w:val="1A1A1A"/>
          <w:sz w:val="25"/>
        </w:rPr>
        <w:t>引言</w:t>
      </w:r>
    </w:p>
    <w:p>
      <w:pPr>
        <w:spacing w:after="120" w:before="0" w:line="348" w:lineRule="auto"/>
        <w:ind w:firstLine="420"/>
      </w:pPr>
      <w:r>
        <w:rPr>
          <w:rFonts w:ascii="Times New Roman" w:hAnsi="Times New Roman" w:eastAsia="宋体"/>
          <w:b w:val="0"/>
          <w:color w:val="1A1A1A"/>
          <w:sz w:val="21"/>
        </w:rPr>
        <w:t>急性胸痛发作时，患者与家属需要一个可执行的时间界限：含服药物后等多久仍不缓解就必须呼叫急救。这条界限的临床意义在于它把"时间就是心肌"这一病理生理原则，翻译成院外场景下的一句话动作指令；它的风险也正在于此——一旦分钟数被误读为"先在家等满这段时间"，本身就在制造院前延迟。</w:t>
      </w:r>
    </w:p>
    <w:p>
      <w:pPr>
        <w:spacing w:after="120" w:before="0" w:line="348" w:lineRule="auto"/>
        <w:ind w:firstLine="420"/>
      </w:pPr>
      <w:r>
        <w:rPr>
          <w:rFonts w:ascii="Times New Roman" w:hAnsi="Times New Roman" w:eastAsia="宋体"/>
          <w:b w:val="0"/>
          <w:color w:val="1A1A1A"/>
          <w:sz w:val="21"/>
        </w:rPr>
        <w:t xml:space="preserve">院前延迟（患者症状发作到抵达医疗机构的间隔）是我国急性冠脉综合征救治的主要短板之一。我国真实世界数据中，急性 ST 段抬高型心肌梗死患者的症状-到门时间中位可达 190 分钟（农村），远长于城市患者的 75 分钟，且与更高的 1 年主要不良心血管事件发生率相关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。在这一背景下，"含服后多久升级"的分钟数就不是知识细节，而是直接进入公众行动决策的变量。</w:t>
      </w:r>
    </w:p>
    <w:p>
      <w:pPr>
        <w:spacing w:after="120" w:before="0" w:line="348" w:lineRule="auto"/>
        <w:ind w:firstLine="420"/>
      </w:pPr>
      <w:r>
        <w:rPr>
          <w:rFonts w:ascii="Times New Roman" w:hAnsi="Times New Roman" w:eastAsia="宋体"/>
          <w:b w:val="0"/>
          <w:color w:val="1A1A1A"/>
          <w:sz w:val="21"/>
        </w:rPr>
        <w:t>各国指南与国内共识都给过数字，但数字并不一致，且很少交代其来源。硝酸甘油的剂量-间隔（0.3–0.6 mg、每 5 分钟、15 分钟内≤1.2 mg）</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与"不缓解即求医"的指令，究竟来自前瞻研究，还是把既有原则操作化后的经验值，需要回到指南原文的推荐类别与证据等级去核实。速效救心丸在国内被大量用于同一场景，其说明书与相关共识是否给出对应时间界限，同样缺少系统梳理。本文据此系统检索并评价上述问题所依赖的证据，逐一列出各来源时间界限的出处与差异，并分别检验"存在推荐"与"该推荐有前瞻性研究支持"这两件事能否在现有文献中被分别确认。</w:t>
      </w:r>
    </w:p>
    <w:p>
      <w:pPr>
        <w:spacing w:after="100" w:before="240" w:line="300" w:lineRule="auto"/>
      </w:pPr>
      <w:r>
        <w:rPr>
          <w:rFonts w:ascii="Times New Roman" w:hAnsi="Times New Roman" w:eastAsia="黑体"/>
          <w:b/>
          <w:color w:val="1A1A1A"/>
          <w:sz w:val="25"/>
        </w:rPr>
        <w:t>资料与方法</w:t>
      </w:r>
    </w:p>
    <w:p>
      <w:pPr>
        <w:spacing w:after="100" w:before="240" w:line="300" w:lineRule="auto"/>
      </w:pPr>
      <w:r>
        <w:rPr>
          <w:rFonts w:ascii="Times New Roman" w:hAnsi="Times New Roman" w:eastAsia="黑体"/>
          <w:b/>
          <w:color w:val="1A1A1A"/>
          <w:sz w:val="23"/>
        </w:rPr>
        <w:t>来源与检索</w:t>
      </w:r>
    </w:p>
    <w:p>
      <w:pPr>
        <w:spacing w:after="120" w:before="0" w:line="348" w:lineRule="auto"/>
        <w:ind w:firstLine="420"/>
      </w:pPr>
      <w:r>
        <w:rPr>
          <w:rFonts w:ascii="Times New Roman" w:hAnsi="Times New Roman" w:eastAsia="宋体"/>
          <w:b w:val="0"/>
          <w:color w:val="1A1A1A"/>
          <w:sz w:val="21"/>
        </w:rPr>
        <w:t>检索 PubMed、Europe PMC、Crossref 与指南索引，配合美国 FDA（DailyMed/OpenFDA）与中国国家药监局说明书索引。中文全文数据库（中国知网、万方等）无法访问，中文文献仅通过上述国际数据库的收录部分获得。检索采用中英文同义概念并行的方式，覆盖急性胸痛分诊、硝酸甘油剂量-间隔、院前延迟与结局、速效救心丸证据四个概念域；对长联结式检索返回空集的概念，改用更短、以"一篇相关论文会如何命题"的方式重检。共执行 18 条检索式，命中 183 条记录，去重后 130 条，最终纳入 13 个来源。检索式、检索时间与命中数见随附检索记录。</w:t>
      </w:r>
    </w:p>
    <w:p>
      <w:pPr>
        <w:spacing w:after="100" w:before="240" w:line="300" w:lineRule="auto"/>
      </w:pPr>
      <w:r>
        <w:rPr>
          <w:rFonts w:ascii="Times New Roman" w:hAnsi="Times New Roman" w:eastAsia="黑体"/>
          <w:b/>
          <w:color w:val="1A1A1A"/>
          <w:sz w:val="23"/>
        </w:rPr>
        <w:t>纳入与筛选</w:t>
      </w:r>
    </w:p>
    <w:p>
      <w:pPr>
        <w:spacing w:after="120" w:before="0" w:line="348" w:lineRule="auto"/>
        <w:ind w:firstLine="420"/>
      </w:pPr>
      <w:r>
        <w:rPr>
          <w:rFonts w:ascii="Times New Roman" w:hAnsi="Times New Roman" w:eastAsia="宋体"/>
          <w:b w:val="0"/>
          <w:color w:val="1A1A1A"/>
          <w:sz w:val="21"/>
        </w:rPr>
        <w:t>纳入当前指南与共识、系统评价、前瞻性或注册研究、官方监管文本与权威公众分诊指引；排除重复记录、无相关内容题录与纯编委会评论。对同一注册的衍生分析仅取与研究问题直接相关的一篇。对每一条来源按取得的完整程度（全文、摘要或说明书文本）分级记录；未取得全文者不据其推断研究设计、效应量或证据等级。</w:t>
      </w:r>
    </w:p>
    <w:p>
      <w:pPr>
        <w:spacing w:after="100" w:before="240" w:line="300" w:lineRule="auto"/>
      </w:pPr>
      <w:r>
        <w:rPr>
          <w:rFonts w:ascii="Times New Roman" w:hAnsi="Times New Roman" w:eastAsia="黑体"/>
          <w:b/>
          <w:color w:val="1A1A1A"/>
          <w:sz w:val="23"/>
        </w:rPr>
        <w:t>证据评价标准</w:t>
      </w:r>
    </w:p>
    <w:p>
      <w:pPr>
        <w:spacing w:after="120" w:before="0" w:line="348" w:lineRule="auto"/>
        <w:ind w:firstLine="420"/>
      </w:pPr>
      <w:r>
        <w:rPr>
          <w:rFonts w:ascii="Times New Roman" w:hAnsi="Times New Roman" w:eastAsia="宋体"/>
          <w:b w:val="0"/>
          <w:color w:val="1A1A1A"/>
          <w:sz w:val="21"/>
        </w:rPr>
        <w:t>一条结论成立所需的最低证据门槛按结论类型设定：发生率估计要求分母明确、前瞻性主动采集的研究；互换性或"孰优"结论要求预先设定的等效或非劣效界值；诊断性结论要求有参照标准并报告操作特征的研究。偏倚风险用具名工具评定——随机对照试验用 Cochrane RoB 2，非随机干预性研究用 ROBINS-I；指南方法学质量参照 AGREE II 的适用范围与参与、严谨性、清晰性要点说明。因果归因（药物与不良事件）按 Naranjo 或 WHO-UMC 系统，并以去激发、再激发、替代解释与时间关系为评定依据。证据体确定性按 GRADE 分级，任何降级须归于偏倚风险、不一致性、间接性、不精确性或发表偏倚中的具体一项。人群按"对患者已建立的事实"分层——已确诊冠心病并按既往医嘱处置、既往有类似症状但本次性质或程度改变、首次发生且病因不明——各层的结论分别陈述。</w:t>
      </w:r>
    </w:p>
    <w:p>
      <w:pPr>
        <w:spacing w:after="100" w:before="240" w:line="300" w:lineRule="auto"/>
      </w:pPr>
      <w:r>
        <w:rPr>
          <w:rFonts w:ascii="Times New Roman" w:hAnsi="Times New Roman" w:eastAsia="黑体"/>
          <w:b/>
          <w:color w:val="1A1A1A"/>
          <w:sz w:val="25"/>
        </w:rPr>
        <w:t>结果</w:t>
      </w:r>
    </w:p>
    <w:p>
      <w:pPr>
        <w:spacing w:after="100" w:before="240" w:line="300" w:lineRule="auto"/>
      </w:pPr>
      <w:r>
        <w:rPr>
          <w:rFonts w:ascii="Times New Roman" w:hAnsi="Times New Roman" w:eastAsia="黑体"/>
          <w:b/>
          <w:color w:val="1A1A1A"/>
          <w:sz w:val="23"/>
        </w:rPr>
        <w:t>硝酸甘油的时间界限：各指南表述、推荐类别与证据等级</w:t>
      </w:r>
    </w:p>
    <w:p>
      <w:pPr>
        <w:spacing w:after="120" w:before="0" w:line="348" w:lineRule="auto"/>
        <w:ind w:firstLine="420"/>
      </w:pPr>
      <w:r>
        <w:rPr>
          <w:rFonts w:ascii="Times New Roman" w:hAnsi="Times New Roman" w:eastAsia="宋体"/>
          <w:b w:val="0"/>
          <w:color w:val="1A1A1A"/>
          <w:sz w:val="21"/>
        </w:rPr>
        <w:t>各来源对"含服硝酸甘油后不缓解何时升级"的表述并不一致，差异主要在升级门槛落在"单次含服后"还是"多次含服后"。</w:t>
      </w:r>
    </w:p>
    <w:p>
      <w:pPr>
        <w:spacing w:after="120" w:before="0" w:line="348" w:lineRule="auto"/>
        <w:ind w:firstLine="420"/>
      </w:pPr>
      <w:r>
        <w:rPr>
          <w:rFonts w:ascii="Times New Roman" w:hAnsi="Times New Roman" w:eastAsia="宋体"/>
          <w:b w:val="0"/>
          <w:color w:val="1A1A1A"/>
          <w:sz w:val="21"/>
        </w:rPr>
        <w:t xml:space="preserve">2011 ACCF/AHA 不稳定型心绞痛/非 ST 段抬高心肌梗死（UA/NSTEMI）指南更新把升级门槛放在第 1 次含服之后：疑似急性冠脉综合征且既往处方硝酸甘油者，对胸痛应先只含服 1 次，若 5 分钟后无缓解或疼痛加重，应立即拨打 9-1-1（中国为 120），之后再考虑是否追加；而对慢性稳定型心绞痛者，症状经 1 次明显改善后方可每间隔 5 分钟重复给药，未完全缓解即拨打 9-1-1，该条证据等级为 C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。同指南对 UA/NSTEMI 的抗缺血治疗另给 I 类推荐：持续缺血不适者舌下含服 0.4 mg、每间隔 5 分钟重复给药，此后评估是否需静脉硝酸甘油，证据等级 C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2012 ACCF/AHA 稳定型缺血性心脏病（SIHD）指南以"每间隔 5 分钟给药、15 分钟内≤1.2 mg"为用药边界，并写明此时间窗内不缓解即应"立即寻求医疗关注"，即刻缓解推荐证据等级为 B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。2013 ESC 稳定型冠心病指南同样规定坐位休息、舌下含服 0.3 至 0.6 mg、每间隔 5 分钟给药直至缓解或 15 分钟内达最大 1.2 mg，但未写明 15 分钟后仍未缓解的下一步急救动作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。与之相对，英国 NHS 面向公众的胸痛指引完全不涉及药物，只要求突发、持续不缓解的胸痛立即呼叫 999，并写明"这可能是心脏病发作"，未给出任何分钟数阈值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由此可见，各来源的一致性仅在"不缓解即升级"这一方向上，具体数字并不一致：疑似急性冠脉综合征者"含服 1 次 + 5 分钟"即升级，稳定型心绞痛者"每间隔 5 分钟重复给药"升级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，公众指引则不设分钟数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。速效救心丸一侧则连此类时间界限也未检索到（见下）。</w:t>
      </w:r>
    </w:p>
    <w:p>
      <w:pPr>
        <w:spacing w:after="100" w:before="240" w:line="300" w:lineRule="auto"/>
      </w:pPr>
      <w:r>
        <w:rPr>
          <w:rFonts w:ascii="Times New Roman" w:hAnsi="Times New Roman" w:eastAsia="黑体"/>
          <w:b/>
          <w:color w:val="1A1A1A"/>
          <w:sz w:val="23"/>
        </w:rPr>
        <w:t>速效救心丸的说明书与共识：未检索到时间界限</w:t>
      </w:r>
    </w:p>
    <w:p>
      <w:pPr>
        <w:spacing w:after="120" w:before="0" w:line="348" w:lineRule="auto"/>
        <w:ind w:firstLine="420"/>
      </w:pPr>
      <w:r>
        <w:rPr>
          <w:rFonts w:ascii="Times New Roman" w:hAnsi="Times New Roman" w:eastAsia="宋体"/>
          <w:b w:val="0"/>
          <w:color w:val="1A1A1A"/>
          <w:sz w:val="21"/>
        </w:rPr>
        <w:t>速效救心丸国家药监局核准说明书（索引副本）将功能主治表述为"行气活血，祛瘀止痛，增加冠脉血流量，缓解心绞痛"，用于"气滞血瘀型冠心病，心绞痛"</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。注意事项载明孕妇禁用、寒凝血瘀或阴虚血瘀胸痹心痛不宜单用，并写明"在治疗期间，心绞痛持续发作，宜加用硝酸酯类药"</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。该说明书未载明含服后应观察多久、再次给药的间隔，也未给出任何"不缓解即升级"的时间界限；本研究所能取得的说明书索引副本中亦不含"用法用量"下的时间字段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速效救心丸治疗冠心病中国专家共识（2019）在索引层面可以确认其存在，但其全文未能取得，故无法核实该共识是否另设时间界限；就已取得的文本而言，未检索到任何来源为速效救心丸给出与硝酸甘油对等的时间界限或再次给药间隔 </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。速效救心丸临床证据的性质与这一空白一致：其 Meta 分析纳入 41 项随机对照试验、6276 例患者，结局为心电图改善（RR 1.32，95% CI 1.26 至 1.38）及血脂、血流变指标，纳入研究总体方法学质量低、异质性显著，未检索到以急性发作缓解时间或升级时间阈值为结局的研究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支撑时间界限的证据类型</w:t>
      </w:r>
    </w:p>
    <w:p>
      <w:pPr>
        <w:spacing w:after="120" w:before="0" w:line="348" w:lineRule="auto"/>
        <w:ind w:firstLine="420"/>
      </w:pPr>
      <w:r>
        <w:rPr>
          <w:rFonts w:ascii="Times New Roman" w:hAnsi="Times New Roman" w:eastAsia="宋体"/>
          <w:b w:val="0"/>
          <w:color w:val="1A1A1A"/>
          <w:sz w:val="21"/>
        </w:rPr>
        <w:t xml:space="preserve">上述时间界限的证据类型可以正面回答。就"硝酸甘油剂量-间隔（每 5 分钟、≤1.2 mg/15 分钟）"而言，它是药理学参数（舌下吸收迅速、作用短暂）与临床习惯的产物，指南与说明书一致给出，但推荐类别多为 B 或 C：即刻缓解为 B 级，升级与剂量-间隔为 C 级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。以时间阈值本身为变量、比较不同升级时点孰优的前瞻性试验未检索到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。检索到的直接证据只有两类：其一，把"不缓解"与风险挂钩的共识表述——对短效硝酸甘油无反应（每间隔 5 分钟重复给药后仍无改善）的发作应视为可能的心肌梗死并即刻求医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；其二，把"含服后缓解"当作诊断或排除手段的研究，其结论是反向的——硝酸甘油缓解不能预测心源性病因（见讨论）</w:t>
      </w:r>
      <w:r>
        <w:rPr>
          <w:rFonts w:ascii="Times New Roman" w:hAnsi="Times New Roman" w:eastAsia="宋体"/>
          <w:b w:val="0"/>
          <w:color w:val="1A1A1A"/>
          <w:sz w:val="21"/>
          <w:vertAlign w:val="superscript"/>
        </w:rPr>
        <w:t>[8]</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。因此，"存在推荐"可以确认，"该推荐有以阈值本身为变量的前瞻性研究支持"无法确认，缺口正落在"阈值本身"这一环。</w:t>
      </w:r>
    </w:p>
    <w:p>
      <w:pPr>
        <w:spacing w:after="100" w:before="240" w:line="300" w:lineRule="auto"/>
      </w:pPr>
      <w:r>
        <w:rPr>
          <w:rFonts w:ascii="Times New Roman" w:hAnsi="Times New Roman" w:eastAsia="黑体"/>
          <w:b/>
          <w:color w:val="1A1A1A"/>
          <w:sz w:val="23"/>
        </w:rPr>
        <w:t>院前延迟与结局的定量关系</w:t>
      </w:r>
    </w:p>
    <w:p>
      <w:pPr>
        <w:spacing w:after="120" w:before="0" w:line="348" w:lineRule="auto"/>
        <w:ind w:firstLine="420"/>
      </w:pPr>
      <w:r>
        <w:rPr>
          <w:rFonts w:ascii="Times New Roman" w:hAnsi="Times New Roman" w:eastAsia="宋体"/>
          <w:b w:val="0"/>
          <w:color w:val="1A1A1A"/>
          <w:sz w:val="21"/>
        </w:rPr>
        <w:t xml:space="preserve">支撑"时间就是心肌"的定量证据来自观察性研究而非阈值试验。韩国 KAMIR-NIH 注册（4,874 例 STEMI）中，症状-到门时间与总缺血时间的相关 r=0.989，而门-球时间与总缺血时间的相关仅 r=0.172，说明院前延迟是总缺血时间的主导成分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。仅 28.4% 的患者在症状后 60 分钟内到达医院，总体急救医疗服务使用率仅 21.7%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；呼叫急救是唯一能在所有血流动力学状态下缩短症状-到门时间的可干预因素（OR 0.20，95% CI 0.17 至 0.23），而老年（OR 1.30）、女性（OR 1.27）与再发缺血（OR 1.32）是延迟的独立预测因素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。中国江苏邳州前瞻性观察（394 例 STEMI）进一步显示农村患者症状-到门时间 190 分钟对城市 75 分钟，1 年主要不良心血管事件 24.5% 对 12.8%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；该差异经校正年龄、心功能分级、症状-到门时间与是否直接 PCI 后减弱，提示延迟是传递风险的中间环节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。据该研究转引，成功再灌注每延迟 30 分钟，年死亡率增加约 7.5%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〔推导〕若以每 30 分钟再灌注延迟对应约 7.5% 的相对年死亡率为梯度，完整用完 15 分钟硝酸甘油观察窗至多使再灌注延迟增加约 15 分钟，按线性外推对应约 3.75% 的相对年死亡率增量；此为数量级意义上的上界示意，说明观察窗的取舍在方向上一致、在幅度上有限，但该梯度来自院内再灌注延迟人群，外推到院前等待存在间接性，故不进入任何操作建议 </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院外升级路径的组成与推荐次序</w:t>
      </w:r>
    </w:p>
    <w:p>
      <w:pPr>
        <w:spacing w:after="120" w:before="0" w:line="348" w:lineRule="auto"/>
        <w:ind w:firstLine="420"/>
      </w:pPr>
      <w:r>
        <w:rPr>
          <w:rFonts w:ascii="Times New Roman" w:hAnsi="Times New Roman" w:eastAsia="宋体"/>
          <w:b w:val="0"/>
          <w:color w:val="1A1A1A"/>
          <w:sz w:val="21"/>
        </w:rPr>
        <w:t xml:space="preserve">院外升级路径由"自我用药、呼叫急救、自行前往"三步构成，各来源对三者的次序与权重并不完全一致。ACC/AHA 的次序是：疑似急性冠脉综合征者先含服 1 次，5 分钟不缓解即呼叫 9-1-1，等待救护车期间可由调度员指导每间隔 5 分钟重复给药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；未处方过硝酸甘油的新发胸痛者被明确劝阻向他人索要硝酸甘油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。NHS 的次序更简：突发不缓解胸痛立即呼叫 999，不设自我用药环节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。观察性证据支持"呼叫急救先于自行前往"：呼叫急救是唯一缩短到达时间的因素，而自行前往或经非 PCI 中心转诊与更长的症状-到门时间相关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；中国数据中农村患者更少以具备直接 PCI 能力医院为首诊、更常错过直接 PCI 指征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。据此，三者次序在证据上一致收敛为"呼叫急救优先"，差异只在于自我用药应放在呼叫前还是呼叫后的调度员指导下。</w:t>
      </w:r>
    </w:p>
    <w:p>
      <w:pPr>
        <w:spacing w:after="100" w:before="240" w:line="300" w:lineRule="auto"/>
      </w:pPr>
      <w:r>
        <w:rPr>
          <w:rFonts w:ascii="Times New Roman" w:hAnsi="Times New Roman" w:eastAsia="黑体"/>
          <w:b/>
          <w:color w:val="1A1A1A"/>
          <w:sz w:val="23"/>
        </w:rPr>
        <w:t>两药证据的维度对照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323"/>
        <w:gridCol w:w="2323"/>
        <w:gridCol w:w="2323"/>
        <w:gridCol w:w="2323"/>
      </w:tblGrid>
      <w:tr>
        <w:tc>
          <w:tcPr>
            <w:tcW w:type="dxa" w:w="2323"/>
            <w:tcBorders>
              <w:bottom w:val="single" w:sz="6" w:color="1A1A1A"/>
            </w:tcBorders>
          </w:tcPr>
          <w:p>
            <w:pPr>
              <w:jc w:val="center"/>
            </w:pPr>
            <w:r>
              <w:rPr>
                <w:rFonts w:ascii="Times New Roman" w:hAnsi="Times New Roman" w:eastAsia="宋体"/>
                <w:b/>
                <w:color w:val="1A1A1A"/>
                <w:sz w:val="17"/>
              </w:rPr>
              <w:t>维度</w:t>
            </w:r>
          </w:p>
        </w:tc>
        <w:tc>
          <w:tcPr>
            <w:tcW w:type="dxa" w:w="2323"/>
            <w:tcBorders>
              <w:bottom w:val="single" w:sz="6" w:color="1A1A1A"/>
            </w:tcBorders>
          </w:tcPr>
          <w:p>
            <w:pPr>
              <w:jc w:val="center"/>
            </w:pPr>
            <w:r>
              <w:rPr>
                <w:rFonts w:ascii="Times New Roman" w:hAnsi="Times New Roman" w:eastAsia="宋体"/>
                <w:b/>
                <w:color w:val="1A1A1A"/>
                <w:sz w:val="17"/>
              </w:rPr>
              <w:t>硝酸甘油</w:t>
            </w:r>
          </w:p>
        </w:tc>
        <w:tc>
          <w:tcPr>
            <w:tcW w:type="dxa" w:w="2323"/>
            <w:tcBorders>
              <w:bottom w:val="single" w:sz="6" w:color="1A1A1A"/>
            </w:tcBorders>
          </w:tcPr>
          <w:p>
            <w:pPr>
              <w:jc w:val="center"/>
            </w:pPr>
            <w:r>
              <w:rPr>
                <w:rFonts w:ascii="Times New Roman" w:hAnsi="Times New Roman" w:eastAsia="宋体"/>
                <w:b/>
                <w:color w:val="1A1A1A"/>
                <w:sz w:val="17"/>
              </w:rPr>
              <w:t>速效救心丸</w:t>
            </w:r>
          </w:p>
        </w:tc>
        <w:tc>
          <w:tcPr>
            <w:tcW w:type="dxa" w:w="2323"/>
            <w:tcBorders>
              <w:bottom w:val="single" w:sz="6" w:color="1A1A1A"/>
            </w:tcBorders>
          </w:tcPr>
          <w:p>
            <w:pPr>
              <w:jc w:val="center"/>
            </w:pPr>
            <w:r>
              <w:rPr>
                <w:rFonts w:ascii="Times New Roman" w:hAnsi="Times New Roman" w:eastAsia="宋体"/>
                <w:b/>
                <w:color w:val="1A1A1A"/>
                <w:sz w:val="17"/>
              </w:rPr>
              <w:t>该维度可支持的结论边界</w:t>
            </w:r>
          </w:p>
        </w:tc>
      </w:tr>
      <w:tr>
        <w:tc>
          <w:tcPr>
            <w:tcW w:type="dxa" w:w="2323"/>
          </w:tcPr>
          <w:p>
            <w:r>
              <w:rPr>
                <w:rFonts w:ascii="Times New Roman" w:hAnsi="Times New Roman" w:eastAsia="宋体"/>
                <w:b w:val="0"/>
                <w:color w:val="1A1A1A"/>
                <w:sz w:val="17"/>
              </w:rPr>
              <w:t>核准适用场景</w:t>
            </w:r>
          </w:p>
        </w:tc>
        <w:tc>
          <w:tcPr>
            <w:tcW w:type="dxa" w:w="2323"/>
          </w:tcPr>
          <w:p>
            <w:r>
              <w:rPr>
                <w:rFonts w:ascii="Times New Roman" w:hAnsi="Times New Roman" w:eastAsia="宋体"/>
                <w:b w:val="0"/>
                <w:color w:val="1A1A1A"/>
                <w:sz w:val="17"/>
              </w:rPr>
              <w:t xml:space="preserve">心绞痛发作的急性缓解与预防 </w:t>
            </w:r>
            <w:r>
              <w:rPr>
                <w:rFonts w:ascii="Times New Roman" w:hAnsi="Times New Roman" w:eastAsia="宋体"/>
                <w:b w:val="0"/>
                <w:color w:val="1A1A1A"/>
                <w:sz w:val="17"/>
                <w:vertAlign w:val="superscript"/>
              </w:rPr>
              <w:t>[6]</w:t>
            </w:r>
          </w:p>
        </w:tc>
        <w:tc>
          <w:tcPr>
            <w:tcW w:type="dxa" w:w="2323"/>
          </w:tcPr>
          <w:p>
            <w:r>
              <w:rPr>
                <w:rFonts w:ascii="Times New Roman" w:hAnsi="Times New Roman" w:eastAsia="宋体"/>
                <w:b w:val="0"/>
                <w:color w:val="1A1A1A"/>
                <w:sz w:val="17"/>
              </w:rPr>
              <w:t>"气滞血瘀型冠心病，心绞痛"</w:t>
            </w:r>
            <w:r>
              <w:rPr>
                <w:rFonts w:ascii="Times New Roman" w:hAnsi="Times New Roman" w:eastAsia="宋体"/>
                <w:b w:val="0"/>
                <w:color w:val="1A1A1A"/>
                <w:sz w:val="17"/>
                <w:vertAlign w:val="superscript"/>
              </w:rPr>
              <w:t>[7]</w:t>
            </w:r>
          </w:p>
        </w:tc>
        <w:tc>
          <w:tcPr>
            <w:tcW w:type="dxa" w:w="2323"/>
          </w:tcPr>
          <w:p>
            <w:r>
              <w:rPr>
                <w:rFonts w:ascii="Times New Roman" w:hAnsi="Times New Roman" w:eastAsia="宋体"/>
                <w:b w:val="0"/>
                <w:color w:val="1A1A1A"/>
                <w:sz w:val="17"/>
              </w:rPr>
              <w:t>只能判断某一用法是否落在核准范围内，不能据此比较疗效</w:t>
            </w:r>
          </w:p>
        </w:tc>
      </w:tr>
      <w:tr>
        <w:tc>
          <w:tcPr>
            <w:tcW w:type="dxa" w:w="2323"/>
          </w:tcPr>
          <w:p>
            <w:r>
              <w:rPr>
                <w:rFonts w:ascii="Times New Roman" w:hAnsi="Times New Roman" w:eastAsia="宋体"/>
                <w:b w:val="0"/>
                <w:color w:val="1A1A1A"/>
                <w:sz w:val="17"/>
              </w:rPr>
              <w:t>时间界限/再次给药间隔</w:t>
            </w:r>
          </w:p>
        </w:tc>
        <w:tc>
          <w:tcPr>
            <w:tcW w:type="dxa" w:w="2323"/>
          </w:tcPr>
          <w:p>
            <w:r>
              <w:rPr>
                <w:rFonts w:ascii="Times New Roman" w:hAnsi="Times New Roman" w:eastAsia="宋体"/>
                <w:b w:val="0"/>
                <w:color w:val="1A1A1A"/>
                <w:sz w:val="17"/>
              </w:rPr>
              <w:t>每间隔 5 分钟给药、15 分钟内≤1.2 mg，不缓解即求医（证据等级 B/C）</w:t>
            </w:r>
            <w:r>
              <w:rPr>
                <w:rFonts w:ascii="Times New Roman" w:hAnsi="Times New Roman" w:eastAsia="宋体"/>
                <w:b w:val="0"/>
                <w:color w:val="1A1A1A"/>
                <w:sz w:val="17"/>
                <w:vertAlign w:val="superscript"/>
              </w:rPr>
              <w:t>[4]</w:t>
            </w:r>
          </w:p>
        </w:tc>
        <w:tc>
          <w:tcPr>
            <w:tcW w:type="dxa" w:w="2323"/>
          </w:tcPr>
          <w:p>
            <w:r>
              <w:rPr>
                <w:rFonts w:ascii="Times New Roman" w:hAnsi="Times New Roman" w:eastAsia="宋体"/>
                <w:b w:val="0"/>
                <w:color w:val="1A1A1A"/>
                <w:sz w:val="17"/>
              </w:rPr>
              <w:t xml:space="preserve">未检索到时间界限或再次给药间隔 </w:t>
            </w:r>
            <w:r>
              <w:rPr>
                <w:rFonts w:ascii="Times New Roman" w:hAnsi="Times New Roman" w:eastAsia="宋体"/>
                <w:b w:val="0"/>
                <w:color w:val="1A1A1A"/>
                <w:sz w:val="17"/>
                <w:vertAlign w:val="superscript"/>
              </w:rPr>
              <w:t>[7]</w:t>
            </w:r>
          </w:p>
        </w:tc>
        <w:tc>
          <w:tcPr>
            <w:tcW w:type="dxa" w:w="2323"/>
          </w:tcPr>
          <w:p>
            <w:r>
              <w:rPr>
                <w:rFonts w:ascii="Times New Roman" w:hAnsi="Times New Roman" w:eastAsia="宋体"/>
                <w:b w:val="0"/>
                <w:color w:val="1A1A1A"/>
                <w:sz w:val="17"/>
              </w:rPr>
              <w:t>一方有明确的推荐文本，另一方为未检索到，不能视为"后者更快或更安全"</w:t>
            </w:r>
          </w:p>
        </w:tc>
      </w:tr>
      <w:tr>
        <w:tc>
          <w:tcPr>
            <w:tcW w:type="dxa" w:w="2323"/>
          </w:tcPr>
          <w:p>
            <w:r>
              <w:rPr>
                <w:rFonts w:ascii="Times New Roman" w:hAnsi="Times New Roman" w:eastAsia="宋体"/>
                <w:b w:val="0"/>
                <w:color w:val="1A1A1A"/>
                <w:sz w:val="17"/>
              </w:rPr>
              <w:t>急性/按需使用证据</w:t>
            </w:r>
          </w:p>
        </w:tc>
        <w:tc>
          <w:tcPr>
            <w:tcW w:type="dxa" w:w="2323"/>
          </w:tcPr>
          <w:p>
            <w:r>
              <w:rPr>
                <w:rFonts w:ascii="Times New Roman" w:hAnsi="Times New Roman" w:eastAsia="宋体"/>
                <w:b w:val="0"/>
                <w:color w:val="1A1A1A"/>
                <w:sz w:val="17"/>
              </w:rPr>
              <w:t xml:space="preserve">已确诊心绞痛发作人群，结局为症状缓解与血流动力学，多数患者含服 0.3–0.6 mg 后 5 分钟内起效 </w:t>
            </w:r>
            <w:r>
              <w:rPr>
                <w:rFonts w:ascii="Times New Roman" w:hAnsi="Times New Roman" w:eastAsia="宋体"/>
                <w:b w:val="0"/>
                <w:color w:val="1A1A1A"/>
                <w:sz w:val="17"/>
                <w:vertAlign w:val="superscript"/>
              </w:rPr>
              <w:t>[4]</w:t>
            </w:r>
          </w:p>
        </w:tc>
        <w:tc>
          <w:tcPr>
            <w:tcW w:type="dxa" w:w="2323"/>
          </w:tcPr>
          <w:p>
            <w:r>
              <w:rPr>
                <w:rFonts w:ascii="Times New Roman" w:hAnsi="Times New Roman" w:eastAsia="宋体"/>
                <w:b w:val="0"/>
                <w:color w:val="1A1A1A"/>
                <w:sz w:val="17"/>
              </w:rPr>
              <w:t xml:space="preserve">证据集中于慢性冠心病心绞痛的心电图与血脂终点，未见以急性发作缓解时间为结局的研究 </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可分别陈述在何人群、以何结局、多久起效，不足以排序</w:t>
            </w:r>
          </w:p>
        </w:tc>
      </w:tr>
      <w:tr>
        <w:tc>
          <w:tcPr>
            <w:tcW w:type="dxa" w:w="2323"/>
          </w:tcPr>
          <w:p>
            <w:r>
              <w:rPr>
                <w:rFonts w:ascii="Times New Roman" w:hAnsi="Times New Roman" w:eastAsia="宋体"/>
                <w:b w:val="0"/>
                <w:color w:val="1A1A1A"/>
                <w:sz w:val="17"/>
              </w:rPr>
              <w:t>人群反应差异</w:t>
            </w:r>
          </w:p>
        </w:tc>
        <w:tc>
          <w:tcPr>
            <w:tcW w:type="dxa" w:w="2323"/>
          </w:tcPr>
          <w:p>
            <w:r>
              <w:rPr>
                <w:rFonts w:ascii="Times New Roman" w:hAnsi="Times New Roman" w:eastAsia="宋体"/>
                <w:b w:val="0"/>
                <w:color w:val="1A1A1A"/>
                <w:sz w:val="17"/>
              </w:rPr>
              <w:t>未在本文检索到按基因型分层的缓解率数据</w:t>
            </w:r>
          </w:p>
        </w:tc>
        <w:tc>
          <w:tcPr>
            <w:tcW w:type="dxa" w:w="2323"/>
          </w:tcPr>
          <w:p>
            <w:r>
              <w:rPr>
                <w:rFonts w:ascii="Times New Roman" w:hAnsi="Times New Roman" w:eastAsia="宋体"/>
                <w:b w:val="0"/>
                <w:color w:val="1A1A1A"/>
                <w:sz w:val="17"/>
              </w:rPr>
              <w:t>未检索到按基因型分层的反应数据</w:t>
            </w:r>
          </w:p>
        </w:tc>
        <w:tc>
          <w:tcPr>
            <w:tcW w:type="dxa" w:w="2323"/>
          </w:tcPr>
          <w:p>
            <w:r>
              <w:rPr>
                <w:rFonts w:ascii="Times New Roman" w:hAnsi="Times New Roman" w:eastAsia="宋体"/>
                <w:b w:val="0"/>
                <w:color w:val="1A1A1A"/>
                <w:sz w:val="17"/>
              </w:rPr>
              <w:t>双方均为未测量，而非"无差异"</w:t>
            </w:r>
          </w:p>
        </w:tc>
      </w:tr>
      <w:tr>
        <w:tc>
          <w:tcPr>
            <w:tcW w:type="dxa" w:w="2323"/>
          </w:tcPr>
          <w:p>
            <w:r>
              <w:rPr>
                <w:rFonts w:ascii="Times New Roman" w:hAnsi="Times New Roman" w:eastAsia="宋体"/>
                <w:b w:val="0"/>
                <w:color w:val="1A1A1A"/>
                <w:sz w:val="17"/>
              </w:rPr>
              <w:t>安全性与禁忌</w:t>
            </w:r>
          </w:p>
        </w:tc>
        <w:tc>
          <w:tcPr>
            <w:tcW w:type="dxa" w:w="2323"/>
          </w:tcPr>
          <w:p>
            <w:r>
              <w:rPr>
                <w:rFonts w:ascii="Times New Roman" w:hAnsi="Times New Roman" w:eastAsia="宋体"/>
                <w:b w:val="0"/>
                <w:color w:val="1A1A1A"/>
                <w:sz w:val="17"/>
              </w:rPr>
              <w:t xml:space="preserve">与西地那非、伐地那非、他达拉非等 PDE5 抑制剂合用禁忌，可致低血压 </w:t>
            </w:r>
            <w:r>
              <w:rPr>
                <w:rFonts w:ascii="Times New Roman" w:hAnsi="Times New Roman" w:eastAsia="宋体"/>
                <w:b w:val="0"/>
                <w:color w:val="1A1A1A"/>
                <w:sz w:val="17"/>
                <w:vertAlign w:val="superscript"/>
              </w:rPr>
              <w:t>[4]</w:t>
            </w:r>
          </w:p>
        </w:tc>
        <w:tc>
          <w:tcPr>
            <w:tcW w:type="dxa" w:w="2323"/>
          </w:tcPr>
          <w:p>
            <w:r>
              <w:rPr>
                <w:rFonts w:ascii="Times New Roman" w:hAnsi="Times New Roman" w:eastAsia="宋体"/>
                <w:b w:val="0"/>
                <w:color w:val="1A1A1A"/>
                <w:sz w:val="17"/>
              </w:rPr>
              <w:t xml:space="preserve">说明书列有恶心、头晕、皮疹等不良反应，无分母 </w:t>
            </w:r>
            <w:r>
              <w:rPr>
                <w:rFonts w:ascii="Times New Roman" w:hAnsi="Times New Roman" w:eastAsia="宋体"/>
                <w:b w:val="0"/>
                <w:color w:val="1A1A1A"/>
                <w:sz w:val="17"/>
                <w:vertAlign w:val="superscript"/>
              </w:rPr>
              <w:t>[7]</w:t>
            </w:r>
          </w:p>
        </w:tc>
        <w:tc>
          <w:tcPr>
            <w:tcW w:type="dxa" w:w="2323"/>
          </w:tcPr>
          <w:p>
            <w:r>
              <w:rPr>
                <w:rFonts w:ascii="Times New Roman" w:hAnsi="Times New Roman" w:eastAsia="宋体"/>
                <w:b w:val="0"/>
                <w:color w:val="1A1A1A"/>
                <w:sz w:val="17"/>
              </w:rPr>
              <w:t>两侧均按全强度报告，不因证据量少而少报</w:t>
            </w:r>
          </w:p>
        </w:tc>
      </w:tr>
      <w:tr>
        <w:tc>
          <w:tcPr>
            <w:tcW w:type="dxa" w:w="2323"/>
          </w:tcPr>
          <w:p>
            <w:r>
              <w:rPr>
                <w:rFonts w:ascii="Times New Roman" w:hAnsi="Times New Roman" w:eastAsia="宋体"/>
                <w:b w:val="0"/>
                <w:color w:val="1A1A1A"/>
                <w:sz w:val="17"/>
              </w:rPr>
              <w:t>是否存在直接比较研究</w:t>
            </w:r>
          </w:p>
        </w:tc>
        <w:tc>
          <w:tcPr>
            <w:tcW w:type="dxa" w:w="2323"/>
          </w:tcPr>
          <w:p>
            <w:r>
              <w:rPr>
                <w:rFonts w:ascii="Times New Roman" w:hAnsi="Times New Roman" w:eastAsia="宋体"/>
                <w:b w:val="0"/>
                <w:color w:val="1A1A1A"/>
                <w:sz w:val="17"/>
              </w:rPr>
              <w:t>未检索到以院外胸痛自救为场景的头对头随机对照研究</w:t>
            </w:r>
          </w:p>
        </w:tc>
        <w:tc>
          <w:tcPr>
            <w:tcW w:type="dxa" w:w="2323"/>
          </w:tcPr>
          <w:p>
            <w:r>
              <w:rPr>
                <w:rFonts w:ascii="Times New Roman" w:hAnsi="Times New Roman" w:eastAsia="宋体"/>
                <w:b w:val="0"/>
                <w:color w:val="1A1A1A"/>
                <w:sz w:val="17"/>
              </w:rPr>
              <w:t>同上</w:t>
            </w:r>
          </w:p>
        </w:tc>
        <w:tc>
          <w:tcPr>
            <w:tcW w:type="dxa" w:w="2323"/>
          </w:tcPr>
          <w:p>
            <w:r>
              <w:rPr>
                <w:rFonts w:ascii="Times New Roman" w:hAnsi="Times New Roman" w:eastAsia="宋体"/>
                <w:b w:val="0"/>
                <w:color w:val="1A1A1A"/>
                <w:sz w:val="17"/>
              </w:rPr>
              <w:t>该空缺本身是结果，不能替代上述各维度的比较</w:t>
            </w:r>
          </w:p>
        </w:tc>
      </w:tr>
    </w:tbl>
    <w:p>
      <w:pPr>
        <w:spacing w:after="80" w:before="0" w:line="348" w:lineRule="auto"/>
      </w:pP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把各条证据放在一起看，问题的答案取决于两件事能否分别成立：一是"存在推荐"，二是"推荐有前瞻性研究支持"。前者成立，后者不成立。</w:t>
      </w:r>
    </w:p>
    <w:p>
      <w:pPr>
        <w:spacing w:after="120" w:before="0" w:line="348" w:lineRule="auto"/>
        <w:ind w:firstLine="420"/>
      </w:pPr>
      <w:r>
        <w:rPr>
          <w:rFonts w:ascii="Times New Roman" w:hAnsi="Times New Roman" w:eastAsia="宋体"/>
          <w:b w:val="0"/>
          <w:color w:val="1A1A1A"/>
          <w:sz w:val="21"/>
        </w:rPr>
        <w:t xml:space="preserve">就硝酸甘油而言，指南与说明书给出一致的剂量-间隔（每 5 分钟、15 分钟内≤1.2 mg）与"不缓解即求医"的方向，这是明确存在且可逐字回到原文的推荐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。但推荐类别与证据等级暴露了它的性质：即刻缓解为 B 级，升级指令与剂量-间隔为 C 级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。以时间阈值本身为变量、比较不同升级时点对结局影响的前瞻性研究未检索到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。换言之，"5 分钟"与"15 分钟"是把"时间就是心肌"操作化后的经验值，其合理性由观察性证据间接支撑——症状-到门时间是总缺血时间的主导成分（r=0.989），呼叫急救是唯一能缩短它的可干预因素，延迟与更高的心血管事件率相关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——但没有任何研究直接检验过"5 分钟升级"相对于"15 分钟升级"的结局差异。</w:t>
      </w:r>
    </w:p>
    <w:p>
      <w:pPr>
        <w:spacing w:after="120" w:before="0" w:line="348" w:lineRule="auto"/>
        <w:ind w:firstLine="420"/>
      </w:pPr>
      <w:r>
        <w:rPr>
          <w:rFonts w:ascii="Times New Roman" w:hAnsi="Times New Roman" w:eastAsia="宋体"/>
          <w:b w:val="0"/>
          <w:color w:val="1A1A1A"/>
          <w:sz w:val="21"/>
        </w:rPr>
        <w:t xml:space="preserve">速效救心丸的情况不同但结论对称。其说明书与共识未检索到任何时间界限或再次给药间隔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；其临床证据集中于慢性冠心病心绞痛的心电图与血脂终点，质量低，未覆盖院外急性自救与时间阈值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两药在同一把尺子（以院外胸痛自救场景、以临床结局为终点的随机对照证据）下都处于"未检索到"的位置；差别在于硝酸甘油的时间界限至少有明确的推荐文本与证据等级可查，速效救心丸连推荐文本也缺如。硝酸甘油在已确诊心绞痛发作中的缓解疗效证据是充分的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，但该证据不覆盖未分化胸痛的自救决策。</w:t>
      </w:r>
    </w:p>
    <w:p>
      <w:pPr>
        <w:spacing w:after="120" w:before="0" w:line="348" w:lineRule="auto"/>
        <w:ind w:firstLine="420"/>
      </w:pPr>
      <w:r>
        <w:rPr>
          <w:rFonts w:ascii="Times New Roman" w:hAnsi="Times New Roman" w:eastAsia="宋体"/>
          <w:b w:val="0"/>
          <w:color w:val="1A1A1A"/>
          <w:sz w:val="21"/>
        </w:rPr>
        <w:t xml:space="preserve">一个必须单独说清的问题是"含服后缓解能否用于鉴别病因"。检索到的直接证据方向明确：急诊胸痛患者对舌下硝酸甘油的疼痛缓解在心源性与非心源性胸痛之间的比例相近、无统计学差异，两项摘要级前瞻性队列研究的结论一致 </w:t>
      </w:r>
      <w:r>
        <w:rPr>
          <w:rFonts w:ascii="Times New Roman" w:hAnsi="Times New Roman" w:eastAsia="宋体"/>
          <w:b w:val="0"/>
          <w:color w:val="1A1A1A"/>
          <w:sz w:val="21"/>
          <w:vertAlign w:val="superscript"/>
        </w:rPr>
        <w:t>[8]</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。这两项研究仅取得摘要、未取得全文，但其结论一致，并与指南"不缓解即升级、缓解也不终止评估"的不对称设计相吻合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。据此，含服后缓解不能作为延迟呼叫或自我排除急性冠脉综合征的依据，这一限定不构成两药疗效比较的结论，而是对"缓解现象"解读的边界。</w:t>
      </w:r>
    </w:p>
    <w:p>
      <w:pPr>
        <w:spacing w:after="120" w:before="0" w:line="348" w:lineRule="auto"/>
        <w:ind w:firstLine="420"/>
      </w:pPr>
      <w:r>
        <w:rPr>
          <w:rFonts w:ascii="Times New Roman" w:hAnsi="Times New Roman" w:eastAsia="宋体"/>
          <w:b w:val="0"/>
          <w:color w:val="1A1A1A"/>
          <w:sz w:val="21"/>
        </w:rPr>
        <w:t>两药证据比较的落点因此不在"谁更适合自救"，而在"谁有可操作的时间界限及其证据等级"。硝酸甘油有时间界限但证据为 C 级；速效救心丸无时间界限且无适应症内自救证据。任何把药理机制（硝酸甘油扩血管、速效救心丸行气活血）直接外推为院外自救获益的推论，都越过了一条需要随机对照证据才能跨越的鸿沟。可回答本问题的研究应为：以院外发作的未分化胸痛人群为对象、以舌下含服硝酸甘油为对照、以症状缓解时间与主要心血管事件为结局的随机对照试验。</w:t>
      </w:r>
    </w:p>
    <w:p>
      <w:pPr>
        <w:spacing w:after="100" w:before="240" w:line="300" w:lineRule="auto"/>
      </w:pPr>
      <w:r>
        <w:rPr>
          <w:rFonts w:ascii="Times New Roman" w:hAnsi="Times New Roman" w:eastAsia="黑体"/>
          <w:b/>
          <w:color w:val="1A1A1A"/>
          <w:sz w:val="25"/>
        </w:rPr>
        <w:t>局限性</w:t>
      </w:r>
    </w:p>
    <w:p>
      <w:pPr>
        <w:spacing w:after="120" w:before="0" w:line="348" w:lineRule="auto"/>
        <w:ind w:firstLine="420"/>
      </w:pPr>
      <w:r>
        <w:rPr>
          <w:rFonts w:ascii="Times New Roman" w:hAnsi="Times New Roman" w:eastAsia="宋体"/>
          <w:b w:val="0"/>
          <w:color w:val="1A1A1A"/>
          <w:sz w:val="21"/>
        </w:rPr>
        <w:t>第一，中文全文数据库（中国知网、万方等）无法访问，速效救心丸相关的中文原始研究、专家共识全文只能通过国际数据库的收录部分获得，可能遗漏仅以中文发表的时间界限表述；对速效救心丸"未检索到时间界限"的判断受此检索缺口限制，不构成"绝对不存在"的断言。第二，两份诊断性队列（Diercks 2005、Henrikson 2003）与 Cochrane 速效救心丸系统评价仅取得摘要，未取得全文，其结论引自摘要原文、未据标题推断，但效应量、方法学细节与偏倚风险的完整评定受限制。第三，速效救心丸说明书为索引副本，来源状态标注为"需以现行官方文本为准"，且未返回"用法用量"时间字段，因此对其"无时间界限"的判断以可取得的文本为界。第四，院前延迟-结局的定量关系来自观察性注册与单中心研究，受混杂与选择偏倚影响，且韩国、江苏邳州的数据向全中国外推受限。第五，指南原文（2011 ACCF/AHA、2012 ACCF/AHA、2013 ESC）的推荐文本系通过一篇经同行评议的综述逐字转引核对，未直接取得各指南原始文件，个别措辞差异以转引文本为准。上述限制共同决定：本文对时间界限"证据等级 C、无阈值试验"的判断稳健，而对速效救心丸的否定性陈述应读作检索边界内的"未检索到"。</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 xml:space="preserve">第一，就硝酸甘油，AHA/ACC 与 ESC 均给出"不缓解即升级"的时间界限，但具体数字与升级门槛并不一致：疑似急性冠脉综合征者"1 次含服 + 5 分钟"即呼叫（证据等级 C），稳定型心绞痛者"每间隔 5 分钟重复给药 + 15 分钟"呼叫（证据等级 C），ESC 只设剂量上限未写明后续动作，NHS 则不设分钟数；一致之处仅在方向，不在分钟数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第二，速效救心丸的国家药监局核准说明书与可及的相关共识未给出时间界限或再次给药间隔，其适应症限于"气滞血瘀型冠心病，心绞痛"；未检索到其时间界限的依据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第三，上述时间界限属病理生理推断加共识操作化的产物（证据等级 C），不是以阈值本身为变量的临床试验结论；院前延迟与结局的定量关系有观察性证据（症状-到门时间主导总缺血时间、每 30 分钟再灌注延迟约增 7.5% 年死亡率），但这一梯度不直接证明这些具体分钟数的取值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第四，院外升级路径中"呼叫急救优先"得到观察性证据一致支持，自我用药应置于呼叫之后、由调度员指导下进行；自行前往与经非 PCI 中心转诊与更长延迟相关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第五，"存在推荐"可以确认，"该推荐有以阈值本身为变量的前瞻性研究支持"不能确认，缺口落在"时间阈值本身"这一环——这正是把原则操作化后未经检验的部分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临床实践要点</w:t>
      </w:r>
    </w:p>
    <w:p>
      <w:pPr>
        <w:spacing w:after="60" w:before="0" w:line="336" w:lineRule="auto"/>
        <w:ind w:left="340"/>
      </w:pPr>
      <w:r>
        <w:rPr>
          <w:rFonts w:ascii="Times New Roman" w:hAnsi="Times New Roman" w:eastAsia="宋体"/>
          <w:b w:val="0"/>
          <w:color w:val="1A1A1A"/>
          <w:sz w:val="21"/>
        </w:rPr>
        <w:t xml:space="preserve">1. 突发、持续不缓解或加重的胸痛，无论是否服用过任何药物，都应立即呼叫 120，不要在家等待观察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2. 含服后症状是否缓解不能用于鉴别胸痛病因或排除急性冠脉综合征，缓解与否都不改变对新发或持续胸痛立即评估的必要性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3. 已确诊冠心病、按既往医嘱使用者：若本次胸痛性质、程度或持续时间与既往不同，或含服 1 次后 5 分钟不缓解、加重，应立即呼叫 120，之后再决定是否追加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4. 慢性稳定型心绞痛患者，症状经首次含服明显改善后，方可每间隔 5 分钟重复给药；未完全缓解即呼叫 120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呼叫 120 是缩短到达时间的处置；自行驾车前往或不经急救转诊与更长的症状-到门时间及更高的心血管事件率相关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6. 硝酸甘油禁止与西地那非、伐地那非、他达拉非等 PDE5 抑制剂合用，合用可致低血压与晕厥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7. 速效救心丸的适应症为"气滞血瘀型冠心病，心绞痛"</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；其随机对照证据集中于慢性心绞痛的心电图与血脂终点，未检索到在首次发生、病因未明的急性胸痛自救中的适应症内证据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。在该场景中，服用速效救心丸不能替代呼叫 120 与专业评估。</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National Health Service (NHS). Chest pain [Internet]. Reviewed 2023 Aug 8. URL: https://www.nhs.uk/symptoms/chest-pain/</w:t>
      </w:r>
    </w:p>
    <w:p>
      <w:pPr>
        <w:spacing w:after="60" w:before="0" w:line="336" w:lineRule="auto"/>
        <w:ind w:left="340"/>
      </w:pPr>
      <w:r>
        <w:rPr>
          <w:rFonts w:ascii="Times New Roman" w:hAnsi="Times New Roman" w:eastAsia="宋体"/>
          <w:b w:val="0"/>
          <w:color w:val="1A1A1A"/>
          <w:sz w:val="21"/>
        </w:rPr>
        <w:t>2. Lee SH, Kim HK, Jeong MH, et al. Pre-hospital delay and emergency medical services in acute myocardial infarction. Korean J Intern Med. 2020;35(1):119-132. doi:10.3904/kjim.2019.123. PMID:31766823.</w:t>
      </w:r>
    </w:p>
    <w:p>
      <w:pPr>
        <w:spacing w:after="60" w:before="0" w:line="336" w:lineRule="auto"/>
        <w:ind w:left="340"/>
      </w:pPr>
      <w:r>
        <w:rPr>
          <w:rFonts w:ascii="Times New Roman" w:hAnsi="Times New Roman" w:eastAsia="宋体"/>
          <w:b w:val="0"/>
          <w:color w:val="1A1A1A"/>
          <w:sz w:val="21"/>
        </w:rPr>
        <w:t>3. Shen C, Li C, Wang J, et al. In-depth look into urban and rural disparities in prehospital delay in patients with acute ST-elevation myocardial infarction and its impact on prognosis: a prospective observational study. BMJ Open. 2022;12(11):e063795. doi:10.1136/bmjopen-2022-063795. PMID:36396304.</w:t>
      </w:r>
    </w:p>
    <w:p>
      <w:pPr>
        <w:spacing w:after="60" w:before="0" w:line="336" w:lineRule="auto"/>
        <w:ind w:left="340"/>
      </w:pPr>
      <w:r>
        <w:rPr>
          <w:rFonts w:ascii="Times New Roman" w:hAnsi="Times New Roman" w:eastAsia="宋体"/>
          <w:b w:val="0"/>
          <w:color w:val="1A1A1A"/>
          <w:sz w:val="21"/>
        </w:rPr>
        <w:t>4. Boden WE, Padala SK, Cabral KP, Buschmann IR, Sidhu MS. Role of short-acting nitroglycerin in the management of ischemic heart disease. Drug Des Devel Ther. 2015;9:4793-4805. doi:10.2147/DDDT.S79116. PMID:26316714.</w:t>
      </w:r>
    </w:p>
    <w:p>
      <w:pPr>
        <w:spacing w:after="60" w:before="0" w:line="336" w:lineRule="auto"/>
        <w:ind w:left="340"/>
      </w:pPr>
      <w:r>
        <w:rPr>
          <w:rFonts w:ascii="Times New Roman" w:hAnsi="Times New Roman" w:eastAsia="宋体"/>
          <w:b w:val="0"/>
          <w:color w:val="1A1A1A"/>
          <w:sz w:val="21"/>
        </w:rPr>
        <w:t>5. Ren X, Wang X, Feng Y, et al. Efficacy of Suxiao Jiuxin Pill on Coronary Heart Disease: A Meta-Analysis of Randomized Controlled Trials. Evid Based Complement Alternat Med. 2018;2018:9745804. doi:10.1155/2018/9745804. PMID:29770157.</w:t>
      </w:r>
    </w:p>
    <w:p>
      <w:pPr>
        <w:spacing w:after="60" w:before="0" w:line="336" w:lineRule="auto"/>
        <w:ind w:left="340"/>
      </w:pPr>
      <w:r>
        <w:rPr>
          <w:rFonts w:ascii="Times New Roman" w:hAnsi="Times New Roman" w:eastAsia="宋体"/>
          <w:b w:val="0"/>
          <w:color w:val="1A1A1A"/>
          <w:sz w:val="21"/>
        </w:rPr>
        <w:t>6. U.S. Food and Drug Administration. Nitroglycerin sublingual tablets: prescribing information. DailyMed. 2024. URL: https://dailymed.nlm.nih.gov/dailymed/drugInfo.cfm?setid=041f127e-5166-4484-bc1a-0a373d1187ae</w:t>
      </w:r>
    </w:p>
    <w:p>
      <w:pPr>
        <w:spacing w:after="60" w:before="0" w:line="336" w:lineRule="auto"/>
        <w:ind w:left="340"/>
      </w:pPr>
      <w:r>
        <w:rPr>
          <w:rFonts w:ascii="Times New Roman" w:hAnsi="Times New Roman" w:eastAsia="宋体"/>
          <w:b w:val="0"/>
          <w:color w:val="1A1A1A"/>
          <w:sz w:val="21"/>
        </w:rPr>
        <w:t>7. 国家药品监督管理局. 速效救心丸说明书（津药达仁堂集团股份有限公司第六中药厂）.</w:t>
      </w:r>
    </w:p>
    <w:p>
      <w:pPr>
        <w:spacing w:after="60" w:before="0" w:line="336" w:lineRule="auto"/>
        <w:ind w:left="340"/>
      </w:pPr>
      <w:r>
        <w:rPr>
          <w:rFonts w:ascii="Times New Roman" w:hAnsi="Times New Roman" w:eastAsia="宋体"/>
          <w:b w:val="0"/>
          <w:color w:val="1A1A1A"/>
          <w:sz w:val="21"/>
        </w:rPr>
        <w:t>8. Diercks DB, Boghos E, Guzman H, Amsterdam EA, Kirk JD. Changes in the numeric descriptive scale for pain after sublingual nitroglycerin do not predict cardiac etiology of chest pain. Ann Emerg Med. 2005;45(6):581-585. doi:10.1016/j.annemergmed.2004.11.032. PMID:15940087.</w:t>
      </w:r>
    </w:p>
    <w:p>
      <w:pPr>
        <w:spacing w:after="60" w:before="0" w:line="336" w:lineRule="auto"/>
        <w:ind w:left="340"/>
      </w:pPr>
      <w:r>
        <w:rPr>
          <w:rFonts w:ascii="Times New Roman" w:hAnsi="Times New Roman" w:eastAsia="宋体"/>
          <w:b w:val="0"/>
          <w:color w:val="1A1A1A"/>
          <w:sz w:val="21"/>
        </w:rPr>
        <w:t>9. Henrikson CA, Howell EE, Bush DE, et al. Chest pain relief by nitroglycerin does not predict active coronary artery disease. Ann Intern Med. 2003;139(12):979-986. PMID:14678917.</w:t>
      </w:r>
    </w:p>
    <w:p>
      <w:pPr>
        <w:spacing w:after="60" w:before="0" w:line="336" w:lineRule="auto"/>
        <w:ind w:left="340"/>
      </w:pPr>
      <w:r>
        <w:rPr>
          <w:rFonts w:ascii="Times New Roman" w:hAnsi="Times New Roman" w:eastAsia="宋体"/>
          <w:b w:val="0"/>
          <w:color w:val="1A1A1A"/>
          <w:sz w:val="21"/>
        </w:rPr>
        <w:t>10. Duan X, Zhou L, Wu T, et al. Chinese herbal medicine suxiao jiuxin wan for angina pectoris. Cochrane Database Syst Rev. 2008;(1):CD004473. doi:10.1002/14651858.CD004473.pub2. PMID:18254051.</w:t>
      </w:r>
    </w:p>
    <w:p>
      <w:pPr>
        <w:spacing w:after="60" w:before="0" w:line="336" w:lineRule="auto"/>
        <w:ind w:left="340"/>
      </w:pPr>
      <w:r>
        <w:rPr>
          <w:rFonts w:ascii="Times New Roman" w:hAnsi="Times New Roman" w:eastAsia="宋体"/>
          <w:b w:val="0"/>
          <w:color w:val="1A1A1A"/>
          <w:sz w:val="21"/>
        </w:rPr>
        <w:t>11. 中华医学会急诊医学分会, 中国医疗保健国际交流促进会胸痛分会. 急性胸痛急诊诊疗专家共识. 2019.</w:t>
      </w:r>
    </w:p>
    <w:p>
      <w:pPr>
        <w:spacing w:after="60" w:before="0" w:line="336" w:lineRule="auto"/>
        <w:ind w:left="340"/>
      </w:pPr>
      <w:r>
        <w:rPr>
          <w:rFonts w:ascii="Times New Roman" w:hAnsi="Times New Roman" w:eastAsia="宋体"/>
          <w:b w:val="0"/>
          <w:color w:val="1A1A1A"/>
          <w:sz w:val="21"/>
        </w:rPr>
        <w:t>12. 中国中西医结合学会. 速效救心丸治疗冠心病中国专家共识. 2019.</w:t>
      </w:r>
    </w:p>
    <w:p>
      <w:pPr>
        <w:spacing w:after="60" w:before="0" w:line="336" w:lineRule="auto"/>
        <w:ind w:left="340"/>
      </w:pPr>
      <w:r>
        <w:rPr>
          <w:rFonts w:ascii="Times New Roman" w:hAnsi="Times New Roman" w:eastAsia="宋体"/>
          <w:b w:val="0"/>
          <w:color w:val="1A1A1A"/>
          <w:sz w:val="21"/>
        </w:rPr>
        <w:t>13. 中华医学会, 中华医学会杂志社, 中华医学会全科医学分会, 等. 胸痛基层合理用药指南. 2021.</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