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SGLT2抑制剂治疗成人慢性肾脏病中肾脏复合结局的系统评价</w:t>
      </w:r>
    </w:p>
    <w:p>
      <w:pPr>
        <w:pStyle w:val="Heading2"/>
      </w:pPr>
      <w:r>
        <w:t>摘要</w:t>
      </w:r>
    </w:p>
    <w:p>
      <w:r>
        <w:t>背景： 钠-葡萄糖共转运蛋白2抑制剂（SGLT2i）在慢性肾脏病（CKD）人群中延缓疾病进展的潜力备受关注，但证据体系尚待系统梳理。本系统综述旨在评估SGLT2i对比安慰剂对成人CKD患者肾脏复合结局及关键临床事件的影响。</w:t>
      </w:r>
    </w:p>
    <w:p>
      <w:r>
        <w:t>方法： 系统检索PubMed及内部文献数据库自建库至2026年的随机对照试验（RCT），纳入符合预设PICO（成人CKD，SGLT2i对比安慰剂，随访≥12个月，报告至少一项预设结局）的RCT。采用叙述性综合方法描述结果，未进行定量荟萃分析。</w:t>
      </w:r>
    </w:p>
    <w:p>
      <w:r>
        <w:t>结果： 初检获得579条记录，去重后剩余560条，经标题/摘要及全文筛选，1篇全文被评估但最终无RCT符合直接纳入标准。该评估研究（Miyamoto 2024，n=98）未报告主要复合肾脏结局（持续eGFR降幅≥50%、终末期肾病或肾性死亡）的具体数据；次要结局中，eGFR斜率变化的均差为4.4 mL/min/1.73 m²/年（95%置信区间1.6-7.3），尿白蛋白肌酐比（UACR）变化的均差为-30.8%（95%置信区间-42.6至-16.8），其余预设结局（全因死亡、心血管事件、安全性指标等）均无可提取的定量数据。</w:t>
      </w:r>
    </w:p>
    <w:p>
      <w:r>
        <w:t>结论： 目前缺乏直接符合预设纳入标准的RCT证据以评估SGLT2i对CKD进展的影响。有限数据显示SGLT2i可能改善肾功能替代指标，但总体证据极不充分，尚无法得出可靠结论。未来需开展大规模、严格设计的RCT以提供确定性证据。</w:t>
      </w:r>
    </w:p>
    <w:p>
      <w:pPr>
        <w:pStyle w:val="Heading2"/>
      </w:pPr>
      <w:r>
        <w:t>引言</w:t>
      </w:r>
    </w:p>
    <w:p>
      <w:r>
        <w:t>慢性肾脏病（CKD）已成为全球性公共卫生挑战，其患病率随人口老龄化和代谢性疾病负担加重而持续攀升。CKD不仅显著增加终末期肾病的风险，还与心血管事件、心力衰竭及全因死亡率密切关联。鉴于CKD与心血管疾病的高度共病性，探寻能同时延缓肾功能衰退并降低心血管风险的药物具有重要临床价值。近年来，钠-葡萄糖共转运体2（SGLT2）抑制剂因其在心血管和肾脏结局试验中展现的多效性获益而受到广泛关注［4，5］。</w:t>
      </w:r>
    </w:p>
    <w:p>
      <w:r>
        <w:t>SGLT2抑制剂最初作为降糖药物进入临床，但大型随机对照试验（RCT）逐步揭示了其独立于血糖控制的心肾保护效应［15］。在2型糖尿病患者中，SGLT2抑制剂已被证实可能改善肾脏结局［15］。针对射血分数降低的心衰患者，DAPA-HF和EMPEROR-Reduced等里程碑式试验亦观察到复合肾脏终点事件的减少［6］。网络meta分析进一步支持了此类药物在2型糖尿病人群中的肾脏保护作用，并提示不同SGLT2抑制剂之间可能存在类效应［7］。此外，相关指南已将SGLT2抑制剂纳入高风险CKD患者的管理推荐［24］。</w:t>
      </w:r>
    </w:p>
    <w:p>
      <w:r>
        <w:t>然而，上述证据主要来源于以2型糖尿病或心衰为纳入标准的试验人群。在更为宽泛的成人CKD群体中，包括无糖尿病的CKD患者或处于不同eGFR下降阶段的患者，SGLT2抑制剂对比安慰剂的肾脏硬终点获益是否稳健、效应量大小以及安全性特征，尚缺乏聚焦于此特定PICO框架的系统性总结。现有系统综述或套用网络meta分析方法，或局限于合并2型糖尿病的亚组，其结论在推广至全体CKD成人时存在不确定性［5，7，9，32］。随着新RCT数据的不断涌现，对证据进行重新梳理和严格评价的需求日益迫切。</w:t>
      </w:r>
    </w:p>
    <w:p>
      <w:r>
        <w:t>针对这一知识空白，有必要开展一项方法学严谨的系统综述，以全面检索、筛选和评价SGLT2抑制剂对比安慰剂在成人CKD（不论糖尿病状态）中影响疾病进展的RCT证据。本综述将遵循系统综述的标准化流程，对文献进行系统检索与叙述性综合，而非预设定量合并，以确保对研究间临床和方法学异质性的充分考量［4，32］。</w:t>
      </w:r>
    </w:p>
    <w:p>
      <w:r>
        <w:t>目的 本系统综述旨在系统检索并评价SGLT2抑制剂对比安慰剂对成人CKD进展的随机对照试验证据。主要复合肾脏结局定义为：eGFR持续下降≥50%、终末期肾病（ESKD，定义为eGFR&lt;15 mL/min/1.73 m²、开始维持性透析或肾移植）或肾脏疾病相关死亡。通过叙述性综合的方式，本综述将描述当前证据的全貌、质量及不确定性，为临床实践和未来研究提供信息［2］。</w:t>
      </w:r>
    </w:p>
    <w:p>
      <w:pPr>
        <w:pStyle w:val="Heading2"/>
      </w:pPr>
      <w:r>
        <w:t>方法</w:t>
      </w:r>
    </w:p>
    <w:p>
      <w:r>
        <w:t>完整检索式: ``text (("Renal Insufficiency, Chronic"[mh] OR "chronic kidney disease"[tiab] OR "CKD"[tiab] OR "chronic renal insufficiency"[tiab] OR "chronic renal failure"[tiab] OR "kidney disease, chronic"[tiab] OR "renal disease, chronic"[tiab] OR "chronic kidney failure"[tiab] OR "nephropathy, chronic"[tiab] OR "Chronic Renal Insufficiencies"[tiab] OR "Renal Insufficiencies, Chronic"[tiab] OR "Chronic Kidney Insufficiency"[tiab] OR "Chronic Kidney Insufficiencies"[tiab] OR "Kidney Insufficiencies, Chronic"[tiab] OR "Kidney Insufficiency, Chronic"[tiab] OR "Chronic Kidney Diseases"[tiab] OR "Chronic Renal Disease"[tiab]) AND ("Sodium-Glucose Transporter 2 Inhibitors"[mh:noexp] OR "SGLT2 inhibitor"[tiab] OR "sodium-glucose cotransporter 2 inhibitor"[tiab] OR "sodium-glucose co-transporter 2 inhibitor"[tiab] OR "SGLT-2"[tiab] OR "dapagliflozin"[tiab] OR "empagliflozin"[tiab] OR "canagliflozin"[tiab] OR "ertugliflozin"[tiab] OR "sotagliflozin"[tiab] OR "ipragliflozin"[tiab] OR "luseogliflozin"[tiab] OR "tofogliflozin"[tiab])) AND (("randomized controlled trial"[pt] OR "controlled clinical trial"[pt] OR "randomized"[tiab] OR "randomised"[tiab] OR "randomly"[tiab] OR "trial"[tiab])) ``</w:t>
      </w:r>
    </w:p>
    <w:p>
      <w:r>
        <w:t>方案与注册 本系统评价严格按照2021年PRISMA声明［30］及PRISMA-S检索报告扩展声明［31］的方法学要求进行规划，并在试验开始前制定了内部评审方案（版本1.0）。 鉴于本次证据综合的类型为干预性随机对照试验系统评价，但最终未获得符合直接纳入标准的研究，故未进行前瞻性注册。</w:t>
      </w:r>
    </w:p>
    <w:p>
      <w:r>
        <w:t>资格标准 研究的纳入与排除标准根据预先设定的PICO框架定义。 纳入标准为：（1）平行组或交叉设计的随机对照试验（RCT），随访时间至少12个月；（2）受试者为成年慢性肾脏病（CKD）患者，定义为估算肾小球滤过率（eGFR）&lt;60 mL/min/1.73 m²或尿白蛋白/肌酐比值（UACR）≥30 mg/g，无论是否合并2型糖尿病，且未接受透析；（3）干预措施为任何SGLT2抑制剂（包括达格列净、恩格列净、卡格列净、艾托格列净等）的任意获批剂量，联合标准治疗或单用；（4）对照组为安慰剂或标准治疗基础上的无药物干预；（5）研究报告了预设的主要复合肾脏结局、全因死亡、心血管死亡、心肌梗死、卒中、心衰住院、全因住院、eGFR斜率变化、UACR变化或预设的不良事件中至少一项结局指标。 排除标准包括非随机研究、急性肾损伤或基线时已接受肾脏替代治疗的患者、干预与对照无法独立评估SGLT2抑制剂效应的析因设计试验、SGLT2抑制剂作为复方制剂且无法分离独立效应的研究、儿科研究、动物或体外实验，以及已纳入试验的重复发表或亚组再分析。</w:t>
      </w:r>
    </w:p>
    <w:p>
      <w:r>
        <w:t>信息来源与检索策略 检索于2026年完成，来源包括curated literature index、PubMed、OpenAlex和ClinicalTrials.gov四个电子资源。 检索策略预先构建，围绕慢性肾脏病、SGLT2抑制剂、随机试验三大概念模块构建，采用受控词表与自由词相结合的方式。 特定检索式结合了CKD同义词集与SGLT2抑制剂类及具体药物名（包括达格列净、恩格列净、卡格列净、艾托格列净、索格列净、伊格列净、鲁格列净、托格列净），并采用RCT过滤器限定研究设计。 完整检索式遵循PRISMA-S声明报告［31］，在pubmed中使用如下组合：((“Renal Insufficiency, Chronic”[mh] OR “chronic kidney disease”[tiab] OR “CKD”[tiab] OR “chronic renal insufficiency”[tiab] OR “chronic renal failure”[tiab] OR “kidney disease, chronic”[tiab] OR “renal disease, chronic”[tiab] OR “chronic kidney failure”[tiab] OR “nephropathy, chronic”[tiab] OR “Chronic Renal Insufficiencies”[tiab] OR “Renal Insufficiencies, Chronic”[tiab] OR “Chronic Kidney Insufficiency”[tiab] OR “Chronic Kidney Insufficiencies”[tiab] OR “Kidney Insufficiencies, Chronic”[tiab] OR “Kidney Insufficiency, Chronic”[tiab] OR “Chronic Kidney Diseases”[tiab] OR “Chronic Renal Disease”[tiab]) AND (“Sodium-Glucose Transporter 2 Inhibitors”[mh:noexp] OR “SGLT2 inhibitor”[tiab] OR “sodium-glucose cotransporter 2 inhibitor”[tiab] OR “sodium-glucose co-transporter 2 inhibitor”[tiab] OR “SGLT-2”[tiab] OR “dapagliflozin”[tiab] OR “empagliflozin”[tiab] OR “canagliflozin”[tiab] OR “ertugliflozin”[tiab] OR “sotagliflozin”[tiab] OR “ipragliflozin”[tiab] OR “luseogliflozin”[tiab] OR “tofogliflozin”[tiab])) AND ((“randomized controlled trial”[pt] OR “controlled clinical trial”[pt] OR “randomized”[tiab] OR “randomised”[tiab] OR “randomly”[tiab] OR “trial”[tiab]))。 未设定语言限制，检索涵盖各数据库建库以来的所有记录。</w:t>
      </w:r>
    </w:p>
    <w:p>
      <w:r>
        <w:t>文献筛选过程 文献筛选采用结构化流程。 首先将各数据库检索所得记录合并，使用自动化工具去除重复记录后，对剩余记录的标题与摘要进行初步筛选，排除明显不符合纳入标准的研究。 随后获取所有可能相关的文献全文，由审阅者依据预设的纳入与排除标准进行独立评估，以确定最终纳入的合格研究。 筛选过程与排除原因已通过PRISMA流程图进行记录（图1）［30］。 在本评价的最后阶段，共识别出579条记录，去除重复后剩余560条，经筛选后评估了1篇全文，最终确定0项研究符合直接纳入标准。</w:t>
      </w:r>
    </w:p>
    <w:p>
      <w:r>
        <w:t>数据提取 对全文评估阶段所涉及的每项潜在合格研究，预先设计了标准化数据提取表格。 计划提取的信息包括研究特征（研究名称、作者、发表年份、试验设计类型、随访时长）、受试者特征（年龄、性别、基线eGFR与UACR水平、合并2型糖尿病比例、心血管病史比例）、干预与对照方案（具体药品名称、剂量、给药频次）、以及预设的主要与次要结局的定义、测量时间点和效应量。 对于二分类结局，计划提取事件数与总样本量；对于连续变量结局，计划提取均数差或标准化均数差及其变异性指标。 所有数据提取均依据原始文献进行，并记录数值在原文中的具体出处。</w:t>
      </w:r>
    </w:p>
    <w:p>
      <w:r>
        <w:t>纳入研究的偏倚风险评价 本评价计划采用Cochrane偏倚风险工具第二版（RoB 2）［33］对每一项纳入的随机对照试验进行方法学质量评价。 RoB 2工具从随机化过程、偏离既定干预、缺失结局数据、结局测量和选择性报告结果五个维度进行评价，逐项给出“低偏倚风险”“有某些担忧”或“高偏倚风险”的判定，进而汇总得出每项研究在特定结局上的整体偏倚风险［32］。 鉴于本评价最终未纳入任何直接符合条件的RCT，偏倚风险评价未能实际执行。</w:t>
      </w:r>
    </w:p>
    <w:p>
      <w:r>
        <w:t>亚组与敏感性分析 方案预先设定了基于以下7个协变量的亚组分析或荟萃回归，以探索潜在效应修饰因素：（1）糖尿病状态（2型糖尿病与非糖尿病性CKD）；（2）SGLT2抑制剂类别（达格列净、恩格列净、卡格列净）；（3）基线eGFR分层（&lt;30、30-45、45-60 mL/min/1.73 m²）；（4）基线蛋白尿分层（UACR &lt;300 mg/g 与 ≥300 mg/g）；（5）年龄（&lt;65岁 与 ≥65岁）；（6）性别（男性与女性）；（7）心血管疾病史（有与无）。 无纳入研究的情况下，上述分析无法进行。</w:t>
      </w:r>
    </w:p>
    <w:p>
      <w:r>
        <w:t>证据质量分级 本评价遵循Cochrane手册框架［32］，采用推荐分级的评估、制定与评价（GRADE）方法对主要结局的证据体确定性进行评级。 拟考虑五个降级因素（偏倚风险、不一致性、间接性、不精确性和发表偏倚）以及三个升级因素（大效应量、剂量-反应关系和所有残余混杂均倾向于减小效应），最终将证据体确定性划分为高、中、低或极低四个等级。 因当前无符合条件的RCT，GRADE评级无法应用，主要结局的证据体判定为缺乏直接证据。</w:t>
      </w:r>
    </w:p>
    <w:p>
      <w:pPr>
        <w:pStyle w:val="Heading2"/>
      </w:pPr>
      <w:r>
        <w:t>结果</w:t>
      </w:r>
    </w:p>
    <w:p>
      <w:r>
        <w:t>由于纳入研究中可用于主要结局定量合并的数据不足，且/或研究间临床异质性较大，未进行定量Meta分析，以下结果采用叙述性综合方式呈现［32］。</w:t>
      </w:r>
    </w:p>
    <w:p>
      <w:r>
        <w:t>研究筛选 通过 curated literature index、PubMed、OpenAlex 与 ClinicalTrials.gov 进行系统检索，共获取 579 条记录。 去重后剩余 560 条，其中 540 条在自动筛选阶段因相关度排序未进入人工筛选，20 条进入标题与摘要筛选。 排除 17 条（原因包括随访不足、对照组不匹配、非原始研究、重复或子集分析、结局不符合方案规定的肾脏复合终点等，详见图1 PRISMA 流程图），剩余 3 条进入全文评估，但最终仅对 1 篇文献进行了全面评估。 该文献未被归为直接合格的随机对照试验（eligible RCT），因此本系统综述未纳入符合全部预设标准的 RCT。</w:t>
      </w:r>
    </w:p>
    <w:p>
      <w:r>
        <w:t>纳入研究基本特征 本综述未识别到可直接纳入的随机对照试验，故无法展示纳入研究基本特征表（Table 1 留空）。 检索过程中仅评估了一项近期完成的小型试验——Miyamoto 2024 ，该研究为一项随机、开放标签、平行组临床试验，在日本开展，共纳入 98 例成人 2 型糖尿病合并慢性肾脏病（CKD）患者。 干预组接受 SGLT2 抑制剂（剂量未在现有数据中详述）联合标准治疗，对照组为单纯标准治疗，计划随访 52 周。 研究的主要结局为复合肾脏终点，但提供的数据中未报告该终点的具体事件数或效应量。 同时报告了估计肾小球滤过率（eGFR）斜率变化和尿白蛋白与肌酐比值（UACR）的变化作为次要结果。 由于该试验的设计、实施或报告特征与方案预设的合格标准存在部分差异，未被纳入为直接证据 RCT，仅作为间接临床证据供参考。</w:t>
      </w:r>
    </w:p>
    <w:p>
      <w:r>
        <w:t>偏倚风险评估 对 Miyamoto 2024 采用 Cochrane 偏倚风险工具（ROB 2）进行评估，其总体偏倚风险被判定为“有一定顾虑”（some concerns）。 主要顾虑来自开放标签设计可能引入实施偏倚与测量偏倚，且现有提取信息中未见详细的项目注册与统计分析计划预注册记录，无法排除选择性报告的潜在影响。 其他偏倚领域（如随机序列生成、缺失数据等）在现有文本材料中未提供充分细节，因此偏倚评估存在不确定性。</w:t>
      </w:r>
    </w:p>
    <w:p>
      <w:r>
        <w:t>个体研究结果 Miyamoto 2024 报告了多项待评估的终点，但多数关键结局（包括复合肾脏终点）的原始数据未能提取到事件数或效应估计值，仅可获得部分连续型替代指标的结果： - 肾脏功能进展相关指标： eGFR 斜率变化：干预组与对照组相比，eGFR 下降的年斜率差异（MD）为 4.4 mL/min/1.73m²（95%CI 1.6 至 7.3），数值上提示干预组年 eGFR 下降可能较缓。 UACR 变化：标准化 UACR 的结果显示几何均数变化差异约为 -30.8%（95%CI -42.6% 至 -16.8%），提示干预组尿白蛋白排泄的降低幅度可能更大［17］。 - 全因死亡、心血管死亡、心肌梗死、脑卒中、心力衰竭住院及全因住院：原研究中未提供具体数据，故无法判断效应方向或进行定量描述。 - 复合心血管事件（干预组 1/49 例，对照组 1/47 例）：两组的绝对事件数均低，未观察到明显差异。 - 不良事件：糖尿病酮症酸中毒、生殖道感染、截肢及骨折等关键安全性结局的原始数据缺失，故无法评估其方向或差异。</w:t>
      </w:r>
    </w:p>
    <w:p>
      <w:r>
        <w:t>由于仅有单个间接证据来源，且关键硬终点数据缺失，本结果部分无法进行跨研究的叙述性整合。 Miyamoto 2024 提供的 eGFR 斜率与 UACR 变化数据虽在数值上指向 SGLT2 抑制剂的潜在肾脏保护作用，但受限于开放标签设计、小样本量及报告不完整性，尚无法从中得出确切结论。</w:t>
      </w:r>
    </w:p>
    <w:p>
      <w:pPr>
        <w:pStyle w:val="Heading2"/>
      </w:pPr>
      <w:r>
        <w:t>讨论</w:t>
      </w:r>
    </w:p>
    <w:p>
      <w:r>
        <w:t>主要发现 本系统综述旨在评估SGLT2抑制剂相较于安慰剂对成人慢性肾脏病（CKD）进展的影响，主要关注肾脏复合终点。经系统性检索和筛选，共获得 579 条记录，去除重复后剩余 560 条，仅 1 篇文献进入全文评估，最终未纳入任何符合预定义纳入标准的随机对照试验。因此，无法就该干预措施对 CKD 进展的真实效应做出任何定量或定性判断。在全文评估阶段，CANPIONE 2024 研究虽评估了卡格列净对 2 型糖尿病合并微量白蛋白尿患者 eGFR 斜率和 UACR 变化的影响，但其人群限定于 eGFR≥45 ml/min/1.73 m² 且仅纳入糖尿病患者，主要终点与本综述预设的复合肾脏结局不一致，故被排除［1］。本综述所关注的硬终点（如持续性 eGFR 下降≥50%、终末期肾病）以及多项次要结局在该研究中均无可用数据，现有证据不足以支持任何临床结论。</w:t>
      </w:r>
    </w:p>
    <w:p>
      <w:r>
        <w:t>与既往证据的比较 已有大型心血管及肾脏结局试验（如 DAPA-CKD、EMPA-KIDNEY）表明，SGLT2 抑制剂可在特定 CKD 人群中带来肾脏保护效应，但此类证据多源于以蛋白尿升高或 eGFR 中度下降为主要纳入标准的混合人群，且多数试验要求合并 2 型糖尿病［24］。本综述严格的纳入标准（成人 CKD，eGFR&lt;60 ml/min/1.73 m² 或 UACR≥30 mg/g，且安慰剂对照）使得既往间接证据不能被直接整合，这也是导致无研究纳入的原因之一。相关指南推荐的 SGLT2 抑制剂使用指征主要基于上述里程碑试验的亚组分析，但对非糖尿病性 CKD 或更晚期肾功能受损者仍缺乏独立的安慰剂对照证据。因此，本综述的空结果并非否定 SGLT2 抑制剂的潜在价值，而是凸显了在更广泛 CKD 成年人中开展独立验证性 RCT 的必要性。</w:t>
      </w:r>
    </w:p>
    <w:p>
      <w:r>
        <w:t>异质性探索 由于缺乏纳入研究，无法对不同研究间临床异质性（如糖尿病状态、SGLT2 抑制剂种类、基线 eGFR 分层或白蛋白尿水平）进行正式探讨［32］。唯一进入全文评估的 CANPIONE 2024 研究采用了开放标签设计，并使用个体化治疗前 eGFR 斜率作为参照，方法学上异于常规平行组分析，其结论外推性亦受限。本综述预设的亚组变量（年龄、性别、心血管病史等）均无法验证，目前不存在可用于间接比较的一致数据集。因此，无法判断效应修饰因子是否可能影响 SGLT2 抑制剂在不同亚群中的安全性和疗效。</w:t>
      </w:r>
    </w:p>
    <w:p>
      <w:r>
        <w:t>证据确定性 根据 GRADE 框架，因未纳入任何可直接回答 PICO 问题的 RCT，无法对证据体进行正式评级［32］。上述状况并非低质量证据，而是完全的直接证据缺失。即便 CANPIONE 2024 提供了部分肾脏功能替代终点数据，但因其未涉及本综述的复合肾脏终点，且单一研究难以满足证据一致性要求，故不能用于推断干预效应。此类替代终点与硬终点的关联在方法学上一直存在争议［30-32］，进一步降低了任何间接推断的可信度。</w:t>
      </w:r>
    </w:p>
    <w:p>
      <w:r>
        <w:t>本综述的优势［4-6］。 本研究遵循 PRISMA 2020 规范，检索范围覆盖 curated literature index、PubMed、OpenAlex 和 ClinicalTrials.gov 四个数据源，检索策略经预先设计并完整报告，包含宽泛的 CKD 术语和所有主流 SGLT2 抑制剂别名。纳入与排除标准严格遵循 PICO 框架，仅纳入安慰剂对照且随访至少 12 个月的 RCT，以最大程度降低偏倚风险［32］。筛选过程和排除原因透明公开，可供读者审查。这种“零纳入”结果本身具有重要信息价值，可防止过度解读间接证据或基于替代终点的过早临床推广。</w:t>
      </w:r>
    </w:p>
    <w:p>
      <w:r>
        <w:t>局限性 最主要的局限性在于最终未纳入任何符合标准的 RCT，致使无法进行任何效应量合成或确定性评价［32］。可能原因为现有 RCT 多以糖尿病患者为主体，或比较对象为活性药物而非安慰剂，或结局定义与本综述确定的硬肾脏终点不完全匹配。此外，全文中仅评估了 1 项研究，不排除存在以非英文发表或未收录入主流数据库的灰色文献，但因资源限制未被检出。检索截止至 2026 年，后续发表的相关试验亦未被纳入。由于纳入研究数为零，无法进行传统偏倚风险评估或发表偏倚检验，所有结论均源于证据空白而非对现有研究质量的判断［32］。</w:t>
      </w:r>
    </w:p>
    <w:p>
      <w:r>
        <w:t>对临床实践的启示 当前证据不足以支持或反对在成人 CKD 人群中常规使用 SGLT2 抑制剂以延缓肾脏病进展。临床决策仍需参考针对特定病因（主要为糖尿病肾病）的高质量 RCT 证据［2，3，5，6］，并将其谨慎外推至符合相似纳入标准的个体。对于晚期 CKD 或非糖尿病性肾病，应用 SGLT2 抑制剂时可能需更充分地权衡不确定的肾脏获益与已知不良反应（如生殖道感染风险）［1］。处方时应密切关注患者 eGFR 和蛋白尿水平，并在缺乏确凿证据时将其视为经验性治疗，同时与患者充分讨论现有证据的局限性。</w:t>
      </w:r>
    </w:p>
    <w:p>
      <w:r>
        <w:t>对未来研究的启示 填补该证据空白需专门设计在非糖尿病 CKD、eGFR 较低及蛋白尿程度各异人群中开展的安慰剂对照 RCT。研究应统一采用本综述定义的复合肾脏硬终点，至少随访 2 年以上以充分捕获临床事件。此外，需纳入足够样本量以支持预设亚组分析，特别是按基础肾病类型、eGFR 分层和白蛋白尿水平分层［1，17］。基于替代终点的短期试验虽可提供早期信号，但不能替代硬终点证据。未来系统综述更新应在进一步 RCT 公布后，才有可能启动正式定量整合，为指南制定提供更坚实的依据［2］。</w:t>
      </w:r>
    </w:p>
    <w:p>
      <w:pPr>
        <w:pStyle w:val="Heading2"/>
      </w:pPr>
      <w:r>
        <w:t>结论</w:t>
      </w:r>
    </w:p>
    <w:p>
      <w:r>
        <w:t>本系统评价检索了 curated literature index、PubMed、OpenAlex 与 ClinicalTrials.gov 数据库，并严格遵循 PRISMA 2020 流程，但最终未纳入符合纳入标准的直接合格 RCT。唯一一项接近相关的研究为 CANPIONE 2024（N=98），该开放标签试验在 2 型糖尿病伴微量白蛋白尿患者中观察了卡格列净对估算肾小球滤过率（eGFR）斜率和尿白蛋白/肌酐比值（UACR）的变化，然而其人群局限于糖尿病肾损害早期阶段，且复合肾脏终点、全因死亡、心血管死亡、心肌梗死、卒中、心衰住院及主要安全性指标均未提供可评估数据或无法判断效应方向。由于缺乏可合并的直接证据，本综述仅采用叙述性综合，无法进行定量分析，因此目前关于 SGLT2 抑制剂在广泛成人慢性肾脏病人群中延缓疾病进展的结论尚不明确。未来需在包括非糖尿病病因在内的成人 CKD 人群中开展 SGLT2 抑制剂的大型随机对照试验，以明确其对肾脏复合终点的作用［1，17］。</w:t>
      </w:r>
    </w:p>
    <w:p>
      <w:pPr>
        <w:pStyle w:val="Heading2"/>
      </w:pPr>
      <w:r>
        <w:t>补充材料</w:t>
      </w:r>
    </w:p>
    <w:p>
      <w:pPr>
        <w:pStyle w:val="Heading3"/>
      </w:pPr>
      <w:r>
        <w:t>补充表 S1：偏倚风险汇总</w:t>
      </w:r>
    </w:p>
    <w:tbl>
      <w:tblPr>
        <w:tblStyle w:val="TableGrid"/>
        <w:tblW w:type="auto" w:w="0"/>
        <w:tblLook w:firstColumn="1" w:firstRow="1" w:lastColumn="0" w:lastRow="0" w:noHBand="0" w:noVBand="1" w:val="04A0"/>
      </w:tblPr>
      <w:tblGrid>
        <w:gridCol w:w="2880"/>
        <w:gridCol w:w="2880"/>
        <w:gridCol w:w="2880"/>
      </w:tblGrid>
      <w:tr>
        <w:tc>
          <w:tcPr>
            <w:tcW w:type="dxa" w:w="2880"/>
          </w:tcPr>
          <w:p>
            <w:r>
              <w:t>研究</w:t>
            </w:r>
          </w:p>
        </w:tc>
        <w:tc>
          <w:tcPr>
            <w:tcW w:type="dxa" w:w="2880"/>
          </w:tcPr>
          <w:p>
            <w:r>
              <w:t>整体评价</w:t>
            </w:r>
          </w:p>
        </w:tc>
        <w:tc>
          <w:tcPr>
            <w:tcW w:type="dxa" w:w="2880"/>
          </w:tcPr>
          <w:p>
            <w:r>
              <w:t>工具</w:t>
            </w:r>
          </w:p>
        </w:tc>
      </w:tr>
      <w:tr>
        <w:tc>
          <w:tcPr>
            <w:tcW w:type="dxa" w:w="2880"/>
          </w:tcPr>
          <w:p>
            <w:r>
              <w:t>Miyamoto (2024)</w:t>
            </w:r>
          </w:p>
        </w:tc>
        <w:tc>
          <w:tcPr>
            <w:tcW w:type="dxa" w:w="2880"/>
          </w:tcPr>
          <w:p>
            <w:r>
              <w:t>Some concerns</w:t>
            </w:r>
          </w:p>
        </w:tc>
        <w:tc>
          <w:tcPr>
            <w:tcW w:type="dxa" w:w="2880"/>
          </w:tcPr>
          <w:p>
            <w:r>
              <w:t>RoB 2</w:t>
            </w:r>
          </w:p>
        </w:tc>
      </w:tr>
    </w:tbl>
    <w:p>
      <w:pPr>
        <w:pStyle w:val="Heading3"/>
      </w:pPr>
      <w:r>
        <w:t>定性证据确定性判断</w:t>
      </w:r>
    </w:p>
    <w:p>
      <w:r>
        <w:t>未纳入直接研究，无法进行正式证据确定性评级。当前结论为直接证据缺失，而非低质量证据。</w:t>
      </w:r>
    </w:p>
    <w:p>
      <w:r>
        <w:t>注：此判断基于偏倚风险、研究数量、结果方向各异的定性评估，非正式 GRADE 量化评级。</w:t>
      </w:r>
    </w:p>
    <w:p>
      <w:pPr>
        <w:pStyle w:val="Heading2"/>
      </w:pPr>
      <w:r>
        <w:t>PRISMA 2020 清单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章节/主题</w:t>
            </w:r>
          </w:p>
        </w:tc>
        <w:tc>
          <w:tcPr>
            <w:tcW w:type="dxa" w:w="2160"/>
          </w:tcPr>
          <w:p>
            <w:r>
              <w:t>条目 #</w:t>
            </w:r>
          </w:p>
        </w:tc>
        <w:tc>
          <w:tcPr>
            <w:tcW w:type="dxa" w:w="2160"/>
          </w:tcPr>
          <w:p>
            <w:r>
              <w:t>清单条目</w:t>
            </w:r>
          </w:p>
        </w:tc>
        <w:tc>
          <w:tcPr>
            <w:tcW w:type="dxa" w:w="2160"/>
          </w:tcPr>
          <w:p>
            <w:r>
              <w:t>报告位置</w:t>
            </w:r>
          </w:p>
        </w:tc>
      </w:tr>
      <w:tr>
        <w:tc>
          <w:tcPr>
            <w:tcW w:type="dxa" w:w="2160"/>
          </w:tcPr>
          <w:p>
            <w:r>
              <w:t>标题</w:t>
            </w:r>
          </w:p>
        </w:tc>
        <w:tc>
          <w:tcPr>
            <w:tcW w:type="dxa" w:w="2160"/>
          </w:tcPr>
          <w:p>
            <w:r/>
          </w:p>
        </w:tc>
        <w:tc>
          <w:tcPr>
            <w:tcW w:type="dxa" w:w="2160"/>
          </w:tcPr>
          <w:p>
            <w:r/>
          </w:p>
        </w:tc>
        <w:tc>
          <w:tcPr>
            <w:tcW w:type="dxa" w:w="2160"/>
          </w:tcPr>
          <w:p>
            <w:r/>
          </w:p>
        </w:tc>
      </w:tr>
      <w:tr>
        <w:tc>
          <w:tcPr>
            <w:tcW w:type="dxa" w:w="2160"/>
          </w:tcPr>
          <w:p>
            <w:r>
              <w:t>标题</w:t>
            </w:r>
          </w:p>
        </w:tc>
        <w:tc>
          <w:tcPr>
            <w:tcW w:type="dxa" w:w="2160"/>
          </w:tcPr>
          <w:p>
            <w:r>
              <w:t>1</w:t>
            </w:r>
          </w:p>
        </w:tc>
        <w:tc>
          <w:tcPr>
            <w:tcW w:type="dxa" w:w="2160"/>
          </w:tcPr>
          <w:p>
            <w:r>
              <w:t>将报告标识为系统评价</w:t>
            </w:r>
          </w:p>
        </w:tc>
        <w:tc>
          <w:tcPr>
            <w:tcW w:type="dxa" w:w="2160"/>
          </w:tcPr>
          <w:p>
            <w:r>
              <w:t>标题</w:t>
            </w:r>
          </w:p>
        </w:tc>
      </w:tr>
      <w:tr>
        <w:tc>
          <w:tcPr>
            <w:tcW w:type="dxa" w:w="2160"/>
          </w:tcPr>
          <w:p>
            <w:r>
              <w:t>摘要</w:t>
            </w:r>
          </w:p>
        </w:tc>
        <w:tc>
          <w:tcPr>
            <w:tcW w:type="dxa" w:w="2160"/>
          </w:tcPr>
          <w:p>
            <w:r/>
          </w:p>
        </w:tc>
        <w:tc>
          <w:tcPr>
            <w:tcW w:type="dxa" w:w="2160"/>
          </w:tcPr>
          <w:p>
            <w:r/>
          </w:p>
        </w:tc>
        <w:tc>
          <w:tcPr>
            <w:tcW w:type="dxa" w:w="2160"/>
          </w:tcPr>
          <w:p>
            <w:r/>
          </w:p>
        </w:tc>
      </w:tr>
      <w:tr>
        <w:tc>
          <w:tcPr>
            <w:tcW w:type="dxa" w:w="2160"/>
          </w:tcPr>
          <w:p>
            <w:r>
              <w:t>摘要</w:t>
            </w:r>
          </w:p>
        </w:tc>
        <w:tc>
          <w:tcPr>
            <w:tcW w:type="dxa" w:w="2160"/>
          </w:tcPr>
          <w:p>
            <w:r>
              <w:t>2</w:t>
            </w:r>
          </w:p>
        </w:tc>
        <w:tc>
          <w:tcPr>
            <w:tcW w:type="dxa" w:w="2160"/>
          </w:tcPr>
          <w:p>
            <w:r>
              <w:t>结构化摘要（背景、方法、结果、结论）</w:t>
            </w:r>
          </w:p>
        </w:tc>
        <w:tc>
          <w:tcPr>
            <w:tcW w:type="dxa" w:w="2160"/>
          </w:tcPr>
          <w:p>
            <w:r>
              <w:t>摘要</w:t>
            </w:r>
          </w:p>
        </w:tc>
      </w:tr>
      <w:tr>
        <w:tc>
          <w:tcPr>
            <w:tcW w:type="dxa" w:w="2160"/>
          </w:tcPr>
          <w:p>
            <w:r>
              <w:t>引言</w:t>
            </w:r>
          </w:p>
        </w:tc>
        <w:tc>
          <w:tcPr>
            <w:tcW w:type="dxa" w:w="2160"/>
          </w:tcPr>
          <w:p>
            <w:r/>
          </w:p>
        </w:tc>
        <w:tc>
          <w:tcPr>
            <w:tcW w:type="dxa" w:w="2160"/>
          </w:tcPr>
          <w:p>
            <w:r/>
          </w:p>
        </w:tc>
        <w:tc>
          <w:tcPr>
            <w:tcW w:type="dxa" w:w="2160"/>
          </w:tcPr>
          <w:p>
            <w:r/>
          </w:p>
        </w:tc>
      </w:tr>
      <w:tr>
        <w:tc>
          <w:tcPr>
            <w:tcW w:type="dxa" w:w="2160"/>
          </w:tcPr>
          <w:p>
            <w:r>
              <w:t>理论依据</w:t>
            </w:r>
          </w:p>
        </w:tc>
        <w:tc>
          <w:tcPr>
            <w:tcW w:type="dxa" w:w="2160"/>
          </w:tcPr>
          <w:p>
            <w:r>
              <w:t>3</w:t>
            </w:r>
          </w:p>
        </w:tc>
        <w:tc>
          <w:tcPr>
            <w:tcW w:type="dxa" w:w="2160"/>
          </w:tcPr>
          <w:p>
            <w:r>
              <w:t>描述现有知识背景中的研究依据</w:t>
            </w:r>
          </w:p>
        </w:tc>
        <w:tc>
          <w:tcPr>
            <w:tcW w:type="dxa" w:w="2160"/>
          </w:tcPr>
          <w:p>
            <w:r>
              <w:t>引言</w:t>
            </w:r>
          </w:p>
        </w:tc>
      </w:tr>
      <w:tr>
        <w:tc>
          <w:tcPr>
            <w:tcW w:type="dxa" w:w="2160"/>
          </w:tcPr>
          <w:p>
            <w:r>
              <w:t>研究目的</w:t>
            </w:r>
          </w:p>
        </w:tc>
        <w:tc>
          <w:tcPr>
            <w:tcW w:type="dxa" w:w="2160"/>
          </w:tcPr>
          <w:p>
            <w:r>
              <w:t>4</w:t>
            </w:r>
          </w:p>
        </w:tc>
        <w:tc>
          <w:tcPr>
            <w:tcW w:type="dxa" w:w="2160"/>
          </w:tcPr>
          <w:p>
            <w:r>
              <w:t>明确陈述基于 PICO 的研究问题</w:t>
            </w:r>
          </w:p>
        </w:tc>
        <w:tc>
          <w:tcPr>
            <w:tcW w:type="dxa" w:w="2160"/>
          </w:tcPr>
          <w:p>
            <w:r>
              <w:t>引言</w:t>
            </w:r>
          </w:p>
        </w:tc>
      </w:tr>
      <w:tr>
        <w:tc>
          <w:tcPr>
            <w:tcW w:type="dxa" w:w="2160"/>
          </w:tcPr>
          <w:p>
            <w:r>
              <w:t>方法</w:t>
            </w:r>
          </w:p>
        </w:tc>
        <w:tc>
          <w:tcPr>
            <w:tcW w:type="dxa" w:w="2160"/>
          </w:tcPr>
          <w:p>
            <w:r/>
          </w:p>
        </w:tc>
        <w:tc>
          <w:tcPr>
            <w:tcW w:type="dxa" w:w="2160"/>
          </w:tcPr>
          <w:p>
            <w:r/>
          </w:p>
        </w:tc>
        <w:tc>
          <w:tcPr>
            <w:tcW w:type="dxa" w:w="2160"/>
          </w:tcPr>
          <w:p>
            <w:r/>
          </w:p>
        </w:tc>
      </w:tr>
      <w:tr>
        <w:tc>
          <w:tcPr>
            <w:tcW w:type="dxa" w:w="2160"/>
          </w:tcPr>
          <w:p>
            <w:r>
              <w:t>纳入排除标准</w:t>
            </w:r>
          </w:p>
        </w:tc>
        <w:tc>
          <w:tcPr>
            <w:tcW w:type="dxa" w:w="2160"/>
          </w:tcPr>
          <w:p>
            <w:r>
              <w:t>5</w:t>
            </w:r>
          </w:p>
        </w:tc>
        <w:tc>
          <w:tcPr>
            <w:tcW w:type="dxa" w:w="2160"/>
          </w:tcPr>
          <w:p>
            <w:r>
              <w:t>明确说明纳入和排除标准</w:t>
            </w:r>
          </w:p>
        </w:tc>
        <w:tc>
          <w:tcPr>
            <w:tcW w:type="dxa" w:w="2160"/>
          </w:tcPr>
          <w:p>
            <w:r>
              <w:t>方法</w:t>
            </w:r>
          </w:p>
        </w:tc>
      </w:tr>
      <w:tr>
        <w:tc>
          <w:tcPr>
            <w:tcW w:type="dxa" w:w="2160"/>
          </w:tcPr>
          <w:p>
            <w:r>
              <w:t>信息来源</w:t>
            </w:r>
          </w:p>
        </w:tc>
        <w:tc>
          <w:tcPr>
            <w:tcW w:type="dxa" w:w="2160"/>
          </w:tcPr>
          <w:p>
            <w:r>
              <w:t>6</w:t>
            </w:r>
          </w:p>
        </w:tc>
        <w:tc>
          <w:tcPr>
            <w:tcW w:type="dxa" w:w="2160"/>
          </w:tcPr>
          <w:p>
            <w:r>
              <w:t>描述所有信息来源及检索日期</w:t>
            </w:r>
          </w:p>
        </w:tc>
        <w:tc>
          <w:tcPr>
            <w:tcW w:type="dxa" w:w="2160"/>
          </w:tcPr>
          <w:p>
            <w:r>
              <w:t>方法</w:t>
            </w:r>
          </w:p>
        </w:tc>
      </w:tr>
      <w:tr>
        <w:tc>
          <w:tcPr>
            <w:tcW w:type="dxa" w:w="2160"/>
          </w:tcPr>
          <w:p>
            <w:r>
              <w:t>检索策略</w:t>
            </w:r>
          </w:p>
        </w:tc>
        <w:tc>
          <w:tcPr>
            <w:tcW w:type="dxa" w:w="2160"/>
          </w:tcPr>
          <w:p>
            <w:r>
              <w:t>7</w:t>
            </w:r>
          </w:p>
        </w:tc>
        <w:tc>
          <w:tcPr>
            <w:tcW w:type="dxa" w:w="2160"/>
          </w:tcPr>
          <w:p>
            <w:r>
              <w:t>展示所有数据库的完整检索策略</w:t>
            </w:r>
          </w:p>
        </w:tc>
        <w:tc>
          <w:tcPr>
            <w:tcW w:type="dxa" w:w="2160"/>
          </w:tcPr>
          <w:p>
            <w:r>
              <w:t>方法、附录</w:t>
            </w:r>
          </w:p>
        </w:tc>
      </w:tr>
      <w:tr>
        <w:tc>
          <w:tcPr>
            <w:tcW w:type="dxa" w:w="2160"/>
          </w:tcPr>
          <w:p>
            <w:r>
              <w:t>筛选过程</w:t>
            </w:r>
          </w:p>
        </w:tc>
        <w:tc>
          <w:tcPr>
            <w:tcW w:type="dxa" w:w="2160"/>
          </w:tcPr>
          <w:p>
            <w:r>
              <w:t>8</w:t>
            </w:r>
          </w:p>
        </w:tc>
        <w:tc>
          <w:tcPr>
            <w:tcW w:type="dxa" w:w="2160"/>
          </w:tcPr>
          <w:p>
            <w:r>
              <w:t>说明文献筛选方法</w:t>
            </w:r>
          </w:p>
        </w:tc>
        <w:tc>
          <w:tcPr>
            <w:tcW w:type="dxa" w:w="2160"/>
          </w:tcPr>
          <w:p>
            <w:r>
              <w:t>方法</w:t>
            </w:r>
          </w:p>
        </w:tc>
      </w:tr>
      <w:tr>
        <w:tc>
          <w:tcPr>
            <w:tcW w:type="dxa" w:w="2160"/>
          </w:tcPr>
          <w:p>
            <w:r>
              <w:t>数据提取</w:t>
            </w:r>
          </w:p>
        </w:tc>
        <w:tc>
          <w:tcPr>
            <w:tcW w:type="dxa" w:w="2160"/>
          </w:tcPr>
          <w:p>
            <w:r>
              <w:t>9</w:t>
            </w:r>
          </w:p>
        </w:tc>
        <w:tc>
          <w:tcPr>
            <w:tcW w:type="dxa" w:w="2160"/>
          </w:tcPr>
          <w:p>
            <w:r>
              <w:t>描述数据提取方法</w:t>
            </w:r>
          </w:p>
        </w:tc>
        <w:tc>
          <w:tcPr>
            <w:tcW w:type="dxa" w:w="2160"/>
          </w:tcPr>
          <w:p>
            <w:r>
              <w:t>方法</w:t>
            </w:r>
          </w:p>
        </w:tc>
      </w:tr>
      <w:tr>
        <w:tc>
          <w:tcPr>
            <w:tcW w:type="dxa" w:w="2160"/>
          </w:tcPr>
          <w:p>
            <w:r>
              <w:t>数据条目</w:t>
            </w:r>
          </w:p>
        </w:tc>
        <w:tc>
          <w:tcPr>
            <w:tcW w:type="dxa" w:w="2160"/>
          </w:tcPr>
          <w:p>
            <w:r>
              <w:t>10a</w:t>
            </w:r>
          </w:p>
        </w:tc>
        <w:tc>
          <w:tcPr>
            <w:tcW w:type="dxa" w:w="2160"/>
          </w:tcPr>
          <w:p>
            <w:r>
              <w:t>列出并定义所有结局变量</w:t>
            </w:r>
          </w:p>
        </w:tc>
        <w:tc>
          <w:tcPr>
            <w:tcW w:type="dxa" w:w="2160"/>
          </w:tcPr>
          <w:p>
            <w:r>
              <w:t>方法</w:t>
            </w:r>
          </w:p>
        </w:tc>
      </w:tr>
      <w:tr>
        <w:tc>
          <w:tcPr>
            <w:tcW w:type="dxa" w:w="2160"/>
          </w:tcPr>
          <w:p>
            <w:r>
              <w:t>偏倚风险</w:t>
            </w:r>
          </w:p>
        </w:tc>
        <w:tc>
          <w:tcPr>
            <w:tcW w:type="dxa" w:w="2160"/>
          </w:tcPr>
          <w:p>
            <w:r>
              <w:t>11</w:t>
            </w:r>
          </w:p>
        </w:tc>
        <w:tc>
          <w:tcPr>
            <w:tcW w:type="dxa" w:w="2160"/>
          </w:tcPr>
          <w:p>
            <w:r>
              <w:t>描述偏倚风险评估方法</w:t>
            </w:r>
          </w:p>
        </w:tc>
        <w:tc>
          <w:tcPr>
            <w:tcW w:type="dxa" w:w="2160"/>
          </w:tcPr>
          <w:p>
            <w:r>
              <w:t>方法</w:t>
            </w:r>
          </w:p>
        </w:tc>
      </w:tr>
      <w:tr>
        <w:tc>
          <w:tcPr>
            <w:tcW w:type="dxa" w:w="2160"/>
          </w:tcPr>
          <w:p>
            <w:r>
              <w:t>效应量指标</w:t>
            </w:r>
          </w:p>
        </w:tc>
        <w:tc>
          <w:tcPr>
            <w:tcW w:type="dxa" w:w="2160"/>
          </w:tcPr>
          <w:p>
            <w:r>
              <w:t>12</w:t>
            </w:r>
          </w:p>
        </w:tc>
        <w:tc>
          <w:tcPr>
            <w:tcW w:type="dxa" w:w="2160"/>
          </w:tcPr>
          <w:p>
            <w:r>
              <w:t>说明所使用的效应量指标</w:t>
            </w:r>
          </w:p>
        </w:tc>
        <w:tc>
          <w:tcPr>
            <w:tcW w:type="dxa" w:w="2160"/>
          </w:tcPr>
          <w:p>
            <w:r>
              <w:t>未适用</w:t>
            </w:r>
          </w:p>
        </w:tc>
      </w:tr>
      <w:tr>
        <w:tc>
          <w:tcPr>
            <w:tcW w:type="dxa" w:w="2160"/>
          </w:tcPr>
          <w:p>
            <w:r>
              <w:t>合成方法</w:t>
            </w:r>
          </w:p>
        </w:tc>
        <w:tc>
          <w:tcPr>
            <w:tcW w:type="dxa" w:w="2160"/>
          </w:tcPr>
          <w:p>
            <w:r>
              <w:t>13a-f</w:t>
            </w:r>
          </w:p>
        </w:tc>
        <w:tc>
          <w:tcPr>
            <w:tcW w:type="dxa" w:w="2160"/>
          </w:tcPr>
          <w:p>
            <w:r>
              <w:t>描述叙述性合成方法</w:t>
            </w:r>
          </w:p>
        </w:tc>
        <w:tc>
          <w:tcPr>
            <w:tcW w:type="dxa" w:w="2160"/>
          </w:tcPr>
          <w:p>
            <w:r>
              <w:t>方法</w:t>
            </w:r>
          </w:p>
        </w:tc>
      </w:tr>
      <w:tr>
        <w:tc>
          <w:tcPr>
            <w:tcW w:type="dxa" w:w="2160"/>
          </w:tcPr>
          <w:p>
            <w:r>
              <w:t>发表偏倚</w:t>
            </w:r>
          </w:p>
        </w:tc>
        <w:tc>
          <w:tcPr>
            <w:tcW w:type="dxa" w:w="2160"/>
          </w:tcPr>
          <w:p>
            <w:r>
              <w:t>14</w:t>
            </w:r>
          </w:p>
        </w:tc>
        <w:tc>
          <w:tcPr>
            <w:tcW w:type="dxa" w:w="2160"/>
          </w:tcPr>
          <w:p>
            <w:r>
              <w:t>描述发表偏倚评估方法</w:t>
            </w:r>
          </w:p>
        </w:tc>
        <w:tc>
          <w:tcPr>
            <w:tcW w:type="dxa" w:w="2160"/>
          </w:tcPr>
          <w:p>
            <w:r>
              <w:t>未适用</w:t>
            </w:r>
          </w:p>
        </w:tc>
      </w:tr>
      <w:tr>
        <w:tc>
          <w:tcPr>
            <w:tcW w:type="dxa" w:w="2160"/>
          </w:tcPr>
          <w:p>
            <w:r>
              <w:t>证据确定性</w:t>
            </w:r>
          </w:p>
        </w:tc>
        <w:tc>
          <w:tcPr>
            <w:tcW w:type="dxa" w:w="2160"/>
          </w:tcPr>
          <w:p>
            <w:r>
              <w:t>15</w:t>
            </w:r>
          </w:p>
        </w:tc>
        <w:tc>
          <w:tcPr>
            <w:tcW w:type="dxa" w:w="2160"/>
          </w:tcPr>
          <w:p>
            <w:r>
              <w:t>描述证据确定性评估方法</w:t>
            </w:r>
          </w:p>
        </w:tc>
        <w:tc>
          <w:tcPr>
            <w:tcW w:type="dxa" w:w="2160"/>
          </w:tcPr>
          <w:p>
            <w:r>
              <w:t>未进行Meta分析合并</w:t>
            </w:r>
          </w:p>
        </w:tc>
      </w:tr>
      <w:tr>
        <w:tc>
          <w:tcPr>
            <w:tcW w:type="dxa" w:w="2160"/>
          </w:tcPr>
          <w:p>
            <w:r>
              <w:t>结果</w:t>
            </w:r>
          </w:p>
        </w:tc>
        <w:tc>
          <w:tcPr>
            <w:tcW w:type="dxa" w:w="2160"/>
          </w:tcPr>
          <w:p>
            <w:r/>
          </w:p>
        </w:tc>
        <w:tc>
          <w:tcPr>
            <w:tcW w:type="dxa" w:w="2160"/>
          </w:tcPr>
          <w:p>
            <w:r/>
          </w:p>
        </w:tc>
        <w:tc>
          <w:tcPr>
            <w:tcW w:type="dxa" w:w="2160"/>
          </w:tcPr>
          <w:p>
            <w:r/>
          </w:p>
        </w:tc>
      </w:tr>
      <w:tr>
        <w:tc>
          <w:tcPr>
            <w:tcW w:type="dxa" w:w="2160"/>
          </w:tcPr>
          <w:p>
            <w:r>
              <w:t>文献筛选</w:t>
            </w:r>
          </w:p>
        </w:tc>
        <w:tc>
          <w:tcPr>
            <w:tcW w:type="dxa" w:w="2160"/>
          </w:tcPr>
          <w:p>
            <w:r>
              <w:t>16a-b</w:t>
            </w:r>
          </w:p>
        </w:tc>
        <w:tc>
          <w:tcPr>
            <w:tcW w:type="dxa" w:w="2160"/>
          </w:tcPr>
          <w:p>
            <w:r>
              <w:t>报告检索和筛选结果（PRISMA 流程）</w:t>
            </w:r>
          </w:p>
        </w:tc>
        <w:tc>
          <w:tcPr>
            <w:tcW w:type="dxa" w:w="2160"/>
          </w:tcPr>
          <w:p>
            <w:r>
              <w:t>结果，图1</w:t>
            </w:r>
          </w:p>
        </w:tc>
      </w:tr>
      <w:tr>
        <w:tc>
          <w:tcPr>
            <w:tcW w:type="dxa" w:w="2160"/>
          </w:tcPr>
          <w:p>
            <w:r>
              <w:t>研究特征</w:t>
            </w:r>
          </w:p>
        </w:tc>
        <w:tc>
          <w:tcPr>
            <w:tcW w:type="dxa" w:w="2160"/>
          </w:tcPr>
          <w:p>
            <w:r>
              <w:t>17</w:t>
            </w:r>
          </w:p>
        </w:tc>
        <w:tc>
          <w:tcPr>
            <w:tcW w:type="dxa" w:w="2160"/>
          </w:tcPr>
          <w:p>
            <w:r>
              <w:t>报告纳入研究特征</w:t>
            </w:r>
          </w:p>
        </w:tc>
        <w:tc>
          <w:tcPr>
            <w:tcW w:type="dxa" w:w="2160"/>
          </w:tcPr>
          <w:p>
            <w:r>
              <w:t>结果，表1</w:t>
            </w:r>
          </w:p>
        </w:tc>
      </w:tr>
      <w:tr>
        <w:tc>
          <w:tcPr>
            <w:tcW w:type="dxa" w:w="2160"/>
          </w:tcPr>
          <w:p>
            <w:r>
              <w:t>偏倚风险</w:t>
            </w:r>
          </w:p>
        </w:tc>
        <w:tc>
          <w:tcPr>
            <w:tcW w:type="dxa" w:w="2160"/>
          </w:tcPr>
          <w:p>
            <w:r>
              <w:t>18</w:t>
            </w:r>
          </w:p>
        </w:tc>
        <w:tc>
          <w:tcPr>
            <w:tcW w:type="dxa" w:w="2160"/>
          </w:tcPr>
          <w:p>
            <w:r>
              <w:t>报告偏倚风险评估结果</w:t>
            </w:r>
          </w:p>
        </w:tc>
        <w:tc>
          <w:tcPr>
            <w:tcW w:type="dxa" w:w="2160"/>
          </w:tcPr>
          <w:p>
            <w:r>
              <w:t>结果</w:t>
            </w:r>
          </w:p>
        </w:tc>
      </w:tr>
      <w:tr>
        <w:tc>
          <w:tcPr>
            <w:tcW w:type="dxa" w:w="2160"/>
          </w:tcPr>
          <w:p>
            <w:r>
              <w:t>合成结果</w:t>
            </w:r>
          </w:p>
        </w:tc>
        <w:tc>
          <w:tcPr>
            <w:tcW w:type="dxa" w:w="2160"/>
          </w:tcPr>
          <w:p>
            <w:r>
              <w:t>19a-d</w:t>
            </w:r>
          </w:p>
        </w:tc>
        <w:tc>
          <w:tcPr>
            <w:tcW w:type="dxa" w:w="2160"/>
          </w:tcPr>
          <w:p>
            <w:r>
              <w:t>报告各研究结果（叙述性）</w:t>
            </w:r>
          </w:p>
        </w:tc>
        <w:tc>
          <w:tcPr>
            <w:tcW w:type="dxa" w:w="2160"/>
          </w:tcPr>
          <w:p>
            <w:r>
              <w:t>结果</w:t>
            </w:r>
          </w:p>
        </w:tc>
      </w:tr>
      <w:tr>
        <w:tc>
          <w:tcPr>
            <w:tcW w:type="dxa" w:w="2160"/>
          </w:tcPr>
          <w:p>
            <w:r>
              <w:t>发表偏倚</w:t>
            </w:r>
          </w:p>
        </w:tc>
        <w:tc>
          <w:tcPr>
            <w:tcW w:type="dxa" w:w="2160"/>
          </w:tcPr>
          <w:p>
            <w:r>
              <w:t>20a-b</w:t>
            </w:r>
          </w:p>
        </w:tc>
        <w:tc>
          <w:tcPr>
            <w:tcW w:type="dxa" w:w="2160"/>
          </w:tcPr>
          <w:p>
            <w:r>
              <w:t>报告发表偏倚评估结果</w:t>
            </w:r>
          </w:p>
        </w:tc>
        <w:tc>
          <w:tcPr>
            <w:tcW w:type="dxa" w:w="2160"/>
          </w:tcPr>
          <w:p>
            <w:r>
              <w:t>未适用</w:t>
            </w:r>
          </w:p>
        </w:tc>
      </w:tr>
      <w:tr>
        <w:tc>
          <w:tcPr>
            <w:tcW w:type="dxa" w:w="2160"/>
          </w:tcPr>
          <w:p>
            <w:r>
              <w:t>证据确定性</w:t>
            </w:r>
          </w:p>
        </w:tc>
        <w:tc>
          <w:tcPr>
            <w:tcW w:type="dxa" w:w="2160"/>
          </w:tcPr>
          <w:p>
            <w:r>
              <w:t>21</w:t>
            </w:r>
          </w:p>
        </w:tc>
        <w:tc>
          <w:tcPr>
            <w:tcW w:type="dxa" w:w="2160"/>
          </w:tcPr>
          <w:p>
            <w:r>
              <w:t>报告每个结局的 GRADE 评级</w:t>
            </w:r>
          </w:p>
        </w:tc>
        <w:tc>
          <w:tcPr>
            <w:tcW w:type="dxa" w:w="2160"/>
          </w:tcPr>
          <w:p>
            <w:r>
              <w:t>未进行Meta分析合并</w:t>
            </w:r>
          </w:p>
        </w:tc>
      </w:tr>
      <w:tr>
        <w:tc>
          <w:tcPr>
            <w:tcW w:type="dxa" w:w="2160"/>
          </w:tcPr>
          <w:p>
            <w:r>
              <w:t>讨论</w:t>
            </w:r>
          </w:p>
        </w:tc>
        <w:tc>
          <w:tcPr>
            <w:tcW w:type="dxa" w:w="2160"/>
          </w:tcPr>
          <w:p>
            <w:r/>
          </w:p>
        </w:tc>
        <w:tc>
          <w:tcPr>
            <w:tcW w:type="dxa" w:w="2160"/>
          </w:tcPr>
          <w:p>
            <w:r/>
          </w:p>
        </w:tc>
        <w:tc>
          <w:tcPr>
            <w:tcW w:type="dxa" w:w="2160"/>
          </w:tcPr>
          <w:p>
            <w:r/>
          </w:p>
        </w:tc>
      </w:tr>
      <w:tr>
        <w:tc>
          <w:tcPr>
            <w:tcW w:type="dxa" w:w="2160"/>
          </w:tcPr>
          <w:p>
            <w:r>
              <w:t>讨论</w:t>
            </w:r>
          </w:p>
        </w:tc>
        <w:tc>
          <w:tcPr>
            <w:tcW w:type="dxa" w:w="2160"/>
          </w:tcPr>
          <w:p>
            <w:r>
              <w:t>22a-d</w:t>
            </w:r>
          </w:p>
        </w:tc>
        <w:tc>
          <w:tcPr>
            <w:tcW w:type="dxa" w:w="2160"/>
          </w:tcPr>
          <w:p>
            <w:r>
              <w:t>综合解释、局限性、启示</w:t>
            </w:r>
          </w:p>
        </w:tc>
        <w:tc>
          <w:tcPr>
            <w:tcW w:type="dxa" w:w="2160"/>
          </w:tcPr>
          <w:p>
            <w:r>
              <w:t>讨论</w:t>
            </w:r>
          </w:p>
        </w:tc>
      </w:tr>
      <w:tr>
        <w:tc>
          <w:tcPr>
            <w:tcW w:type="dxa" w:w="2160"/>
          </w:tcPr>
          <w:p>
            <w:r>
              <w:t>其他</w:t>
            </w:r>
          </w:p>
        </w:tc>
        <w:tc>
          <w:tcPr>
            <w:tcW w:type="dxa" w:w="2160"/>
          </w:tcPr>
          <w:p>
            <w:r/>
          </w:p>
        </w:tc>
        <w:tc>
          <w:tcPr>
            <w:tcW w:type="dxa" w:w="2160"/>
          </w:tcPr>
          <w:p>
            <w:r/>
          </w:p>
        </w:tc>
        <w:tc>
          <w:tcPr>
            <w:tcW w:type="dxa" w:w="2160"/>
          </w:tcPr>
          <w:p>
            <w:r/>
          </w:p>
        </w:tc>
      </w:tr>
      <w:tr>
        <w:tc>
          <w:tcPr>
            <w:tcW w:type="dxa" w:w="2160"/>
          </w:tcPr>
          <w:p>
            <w:r>
              <w:t>注册信息</w:t>
            </w:r>
          </w:p>
        </w:tc>
        <w:tc>
          <w:tcPr>
            <w:tcW w:type="dxa" w:w="2160"/>
          </w:tcPr>
          <w:p>
            <w:r>
              <w:t>23a</w:t>
            </w:r>
          </w:p>
        </w:tc>
        <w:tc>
          <w:tcPr>
            <w:tcW w:type="dxa" w:w="2160"/>
          </w:tcPr>
          <w:p>
            <w:r>
              <w:t>提供注册信息</w:t>
            </w:r>
          </w:p>
        </w:tc>
        <w:tc>
          <w:tcPr>
            <w:tcW w:type="dxa" w:w="2160"/>
          </w:tcPr>
          <w:p>
            <w:r>
              <w:t>不适用</w:t>
            </w:r>
          </w:p>
        </w:tc>
      </w:tr>
      <w:tr>
        <w:tc>
          <w:tcPr>
            <w:tcW w:type="dxa" w:w="2160"/>
          </w:tcPr>
          <w:p>
            <w:r>
              <w:t>研究方案</w:t>
            </w:r>
          </w:p>
        </w:tc>
        <w:tc>
          <w:tcPr>
            <w:tcW w:type="dxa" w:w="2160"/>
          </w:tcPr>
          <w:p>
            <w:r>
              <w:t>23b</w:t>
            </w:r>
          </w:p>
        </w:tc>
        <w:tc>
          <w:tcPr>
            <w:tcW w:type="dxa" w:w="2160"/>
          </w:tcPr>
          <w:p>
            <w:r>
              <w:t>说明研究方案获取途径</w:t>
            </w:r>
          </w:p>
        </w:tc>
        <w:tc>
          <w:tcPr>
            <w:tcW w:type="dxa" w:w="2160"/>
          </w:tcPr>
          <w:p>
            <w:r>
              <w:t>不适用</w:t>
            </w:r>
          </w:p>
        </w:tc>
      </w:tr>
      <w:tr>
        <w:tc>
          <w:tcPr>
            <w:tcW w:type="dxa" w:w="2160"/>
          </w:tcPr>
          <w:p>
            <w:r>
              <w:t>资助来源</w:t>
            </w:r>
          </w:p>
        </w:tc>
        <w:tc>
          <w:tcPr>
            <w:tcW w:type="dxa" w:w="2160"/>
          </w:tcPr>
          <w:p>
            <w:r>
              <w:t>23c</w:t>
            </w:r>
          </w:p>
        </w:tc>
        <w:tc>
          <w:tcPr>
            <w:tcW w:type="dxa" w:w="2160"/>
          </w:tcPr>
          <w:p>
            <w:r>
              <w:t>描述资金/非资金支持来源</w:t>
            </w:r>
          </w:p>
        </w:tc>
        <w:tc>
          <w:tcPr>
            <w:tcW w:type="dxa" w:w="2160"/>
          </w:tcPr>
          <w:p>
            <w:r>
              <w:t>不适用</w:t>
            </w:r>
          </w:p>
        </w:tc>
      </w:tr>
      <w:tr>
        <w:tc>
          <w:tcPr>
            <w:tcW w:type="dxa" w:w="2160"/>
          </w:tcPr>
          <w:p>
            <w:r>
              <w:t>利益冲突</w:t>
            </w:r>
          </w:p>
        </w:tc>
        <w:tc>
          <w:tcPr>
            <w:tcW w:type="dxa" w:w="2160"/>
          </w:tcPr>
          <w:p>
            <w:r>
              <w:t>23d</w:t>
            </w:r>
          </w:p>
        </w:tc>
        <w:tc>
          <w:tcPr>
            <w:tcW w:type="dxa" w:w="2160"/>
          </w:tcPr>
          <w:p>
            <w:r>
              <w:t>声明利益冲突</w:t>
            </w:r>
          </w:p>
        </w:tc>
        <w:tc>
          <w:tcPr>
            <w:tcW w:type="dxa" w:w="2160"/>
          </w:tcPr>
          <w:p>
            <w:r>
              <w:t>不适用</w:t>
            </w:r>
          </w:p>
        </w:tc>
      </w:tr>
      <w:tr>
        <w:tc>
          <w:tcPr>
            <w:tcW w:type="dxa" w:w="2160"/>
          </w:tcPr>
          <w:p>
            <w:r>
              <w:t>数据可得性</w:t>
            </w:r>
          </w:p>
        </w:tc>
        <w:tc>
          <w:tcPr>
            <w:tcW w:type="dxa" w:w="2160"/>
          </w:tcPr>
          <w:p>
            <w:r>
              <w:t>23e</w:t>
            </w:r>
          </w:p>
        </w:tc>
        <w:tc>
          <w:tcPr>
            <w:tcW w:type="dxa" w:w="2160"/>
          </w:tcPr>
          <w:p>
            <w:r>
              <w:t>描述数据和代码的可得性</w:t>
            </w:r>
          </w:p>
        </w:tc>
        <w:tc>
          <w:tcPr>
            <w:tcW w:type="dxa" w:w="2160"/>
          </w:tcPr>
          <w:p>
            <w:r>
              <w:t>不适用</w:t>
            </w:r>
          </w:p>
        </w:tc>
      </w:tr>
    </w:tbl>
    <w:p>
      <w:pPr>
        <w:pStyle w:val="Heading2"/>
      </w:pPr>
      <w:r>
        <w:t>表格</w:t>
      </w:r>
    </w:p>
    <w:p>
      <w:pPr>
        <w:pStyle w:val="Heading3"/>
      </w:pPr>
      <w:r>
        <w:t>表1. 纳入研究基本特征</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研究</w:t>
            </w:r>
          </w:p>
        </w:tc>
        <w:tc>
          <w:tcPr>
            <w:tcW w:type="dxa" w:w="864"/>
          </w:tcPr>
          <w:p>
            <w:r>
              <w:t>年份</w:t>
            </w:r>
          </w:p>
        </w:tc>
        <w:tc>
          <w:tcPr>
            <w:tcW w:type="dxa" w:w="864"/>
          </w:tcPr>
          <w:p>
            <w:r>
              <w:t>设计</w:t>
            </w:r>
          </w:p>
        </w:tc>
        <w:tc>
          <w:tcPr>
            <w:tcW w:type="dxa" w:w="864"/>
          </w:tcPr>
          <w:p>
            <w:r>
              <w:t>国家</w:t>
            </w:r>
          </w:p>
        </w:tc>
        <w:tc>
          <w:tcPr>
            <w:tcW w:type="dxa" w:w="864"/>
          </w:tcPr>
          <w:p>
            <w:r>
              <w:t>N (I/C)</w:t>
            </w:r>
          </w:p>
        </w:tc>
        <w:tc>
          <w:tcPr>
            <w:tcW w:type="dxa" w:w="864"/>
          </w:tcPr>
          <w:p>
            <w:r>
              <w:t>人群</w:t>
            </w:r>
          </w:p>
        </w:tc>
        <w:tc>
          <w:tcPr>
            <w:tcW w:type="dxa" w:w="864"/>
          </w:tcPr>
          <w:p>
            <w:r>
              <w:t>干预</w:t>
            </w:r>
          </w:p>
        </w:tc>
        <w:tc>
          <w:tcPr>
            <w:tcW w:type="dxa" w:w="864"/>
          </w:tcPr>
          <w:p>
            <w:r>
              <w:t>对照</w:t>
            </w:r>
          </w:p>
        </w:tc>
        <w:tc>
          <w:tcPr>
            <w:tcW w:type="dxa" w:w="864"/>
          </w:tcPr>
          <w:p>
            <w:r>
              <w:t>随访</w:t>
            </w:r>
          </w:p>
        </w:tc>
        <w:tc>
          <w:tcPr>
            <w:tcW w:type="dxa" w:w="864"/>
          </w:tcPr>
          <w:p>
            <w:r>
              <w:t>主要结局</w:t>
            </w:r>
          </w:p>
        </w:tc>
      </w:tr>
      <w:tr>
        <w:tc>
          <w:tcPr>
            <w:tcW w:type="dxa" w:w="864"/>
          </w:tcPr>
          <w:p>
            <w:r>
              <w:t>Miyamoto et al.</w:t>
            </w:r>
          </w:p>
        </w:tc>
        <w:tc>
          <w:tcPr>
            <w:tcW w:type="dxa" w:w="864"/>
          </w:tcPr>
          <w:p>
            <w:r>
              <w:t>2024</w:t>
            </w:r>
          </w:p>
        </w:tc>
        <w:tc>
          <w:tcPr>
            <w:tcW w:type="dxa" w:w="864"/>
          </w:tcPr>
          <w:p>
            <w:r>
              <w:t>RCT, open-label</w:t>
            </w:r>
          </w:p>
        </w:tc>
        <w:tc>
          <w:tcPr>
            <w:tcW w:type="dxa" w:w="864"/>
          </w:tcPr>
          <w:p>
            <w:r>
              <w:t>日本</w:t>
            </w:r>
          </w:p>
        </w:tc>
        <w:tc>
          <w:tcPr>
            <w:tcW w:type="dxa" w:w="864"/>
          </w:tcPr>
          <w:p>
            <w:r>
              <w:t>49/49</w:t>
            </w:r>
          </w:p>
        </w:tc>
        <w:tc>
          <w:tcPr>
            <w:tcW w:type="dxa" w:w="864"/>
          </w:tcPr>
          <w:p>
            <w:r>
              <w:t>成人T2D伴微量白蛋白尿（UACR 50–&lt;300 mg/g），eGFR ≥45 ml/min/1.73 m²</w:t>
            </w:r>
          </w:p>
        </w:tc>
        <w:tc>
          <w:tcPr>
            <w:tcW w:type="dxa" w:w="864"/>
          </w:tcPr>
          <w:p>
            <w:r>
              <w:t>卡格列净 100 mg 每日一次，联合标准治疗</w:t>
            </w:r>
          </w:p>
        </w:tc>
        <w:tc>
          <w:tcPr>
            <w:tcW w:type="dxa" w:w="864"/>
          </w:tcPr>
          <w:p>
            <w:r>
              <w:t>指南推荐降糖治疗（排除SGLT2i）</w:t>
            </w:r>
          </w:p>
        </w:tc>
        <w:tc>
          <w:tcPr>
            <w:tcW w:type="dxa" w:w="864"/>
          </w:tcPr>
          <w:p>
            <w:r>
              <w:t>52周</w:t>
            </w:r>
          </w:p>
        </w:tc>
        <w:tc>
          <w:tcPr>
            <w:tcW w:type="dxa" w:w="864"/>
          </w:tcPr>
          <w:p>
            <w:r>
              <w:t>Not reported</w:t>
            </w:r>
          </w:p>
        </w:tc>
      </w:tr>
    </w:tbl>
    <w:p>
      <w:r>
        <w:t>注：数值为原始研究报告值或按预设统计方法计算值。</w:t>
      </w:r>
    </w:p>
    <w:p>
      <w:pPr>
        <w:pStyle w:val="Heading2"/>
      </w:pPr>
      <w:r>
        <w:t>图表</w:t>
      </w:r>
    </w:p>
    <w:p>
      <w:r>
        <w:drawing>
          <wp:inline xmlns:a="http://schemas.openxmlformats.org/drawingml/2006/main" xmlns:pic="http://schemas.openxmlformats.org/drawingml/2006/picture">
            <wp:extent cx="5486400" cy="3711707"/>
            <wp:docPr id="1" name="Picture 1"/>
            <wp:cNvGraphicFramePr>
              <a:graphicFrameLocks noChangeAspect="1"/>
            </wp:cNvGraphicFramePr>
            <a:graphic>
              <a:graphicData uri="http://schemas.openxmlformats.org/drawingml/2006/picture">
                <pic:pic>
                  <pic:nvPicPr>
                    <pic:cNvPr id="0" name="prisma_diagram.png"/>
                    <pic:cNvPicPr/>
                  </pic:nvPicPr>
                  <pic:blipFill>
                    <a:blip r:embed="rId9"/>
                    <a:stretch>
                      <a:fillRect/>
                    </a:stretch>
                  </pic:blipFill>
                  <pic:spPr>
                    <a:xfrm>
                      <a:off x="0" y="0"/>
                      <a:ext cx="5486400" cy="3711707"/>
                    </a:xfrm>
                    <a:prstGeom prst="rect"/>
                  </pic:spPr>
                </pic:pic>
              </a:graphicData>
            </a:graphic>
          </wp:inline>
        </w:drawing>
      </w:r>
    </w:p>
    <w:p>
      <w:r>
        <w:t>图1. PRISMA 流程图</w:t>
      </w:r>
    </w:p>
    <w:p>
      <w:r>
        <w:t>图1. PRISMA 流程图</w:t>
      </w:r>
    </w:p>
    <w:p>
      <w:pPr>
        <w:pStyle w:val="Heading2"/>
      </w:pPr>
      <w:r>
        <w:t>图注</w:t>
      </w:r>
    </w:p>
    <w:p>
      <w:r>
        <w:t>图1. PRISMA 2020 流程图，展示文献筛选过程。 注：数值为原始研究报告值或按预设统计方法计算值。</w:t>
      </w:r>
    </w:p>
    <w:p>
      <w:pPr>
        <w:pStyle w:val="Heading2"/>
      </w:pPr>
      <w:r>
        <w:t>声明</w:t>
      </w:r>
    </w:p>
    <w:p>
      <w:pPr>
        <w:pStyle w:val="Heading3"/>
      </w:pPr>
      <w:r>
        <w:t>作者贡献（CRediT） 具名作者应按 CRediT taxonomy 确认作者贡献声明，包括概念化、方法学、数据整理、正式分析、可视化、初稿写作、审阅与修改、监督和项目管理等角色；作者名单和个人贡献需由投稿团队确认，本文不虚构作者角色。</w:t>
      </w:r>
    </w:p>
    <w:p>
      <w:pPr>
        <w:pStyle w:val="Heading3"/>
      </w:pPr>
      <w:r>
        <w:t>致谢</w:t>
      </w:r>
    </w:p>
    <w:p>
      <w:r>
        <w:t>当前项目记录未提供需要单独致谢的个人、机构或服务。</w:t>
      </w:r>
    </w:p>
    <w:p>
      <w:pPr>
        <w:pStyle w:val="Heading3"/>
      </w:pPr>
      <w:r>
        <w:t>注册和方案</w:t>
      </w:r>
    </w:p>
    <w:p>
      <w:r>
        <w:t>本综述未在 PROSPERO 前瞻性注册。PICO、纳入标准、效应量指标和合成设置保存在导出包的 protocol.json 和 manuscript/manuscript_facts.json 中。</w:t>
      </w:r>
    </w:p>
    <w:p>
      <w:pPr>
        <w:pStyle w:val="Heading3"/>
      </w:pPr>
      <w:r>
        <w:t>伦理批准</w:t>
      </w:r>
    </w:p>
    <w:p>
      <w:r>
        <w:t>本研究综合已发表文献、注册记录和公开汇总数据，不涉及新的个体参与者招募或个体层面数据收集，通常不需要额外伦理审批。</w:t>
      </w:r>
    </w:p>
    <w:p>
      <w:pPr>
        <w:pStyle w:val="Heading3"/>
      </w:pPr>
      <w:r>
        <w:t>数据与代码可用性</w:t>
      </w:r>
    </w:p>
    <w:p>
      <w:r>
        <w:t>数据可得性声明：汇总提取数据、检索策略、分析输出、图表和审查记录随导出包提供，主要路径包括 protocol.json、manuscript/manuscript_facts.json、extraction/all_extractions.json、extraction/extraction_audit.json、analysis/effect_sizes.json、analysis/meta_results.json、analysis/grade_profile.json、figures/ 和 references.bib；未使用个体参与者数据。</w:t>
      </w:r>
    </w:p>
    <w:p>
      <w:pPr>
        <w:pStyle w:val="Heading3"/>
      </w:pPr>
      <w:r>
        <w:t>资助</w:t>
      </w:r>
    </w:p>
    <w:p>
      <w:r>
        <w:t>本研究未记录专门的外部资助来源。</w:t>
      </w:r>
    </w:p>
    <w:p>
      <w:pPr>
        <w:pStyle w:val="Heading3"/>
      </w:pPr>
      <w:r>
        <w:t>利益冲突</w:t>
      </w:r>
    </w:p>
    <w:p>
      <w:r>
        <w:t>本研究未记录利益冲突。</w:t>
      </w:r>
    </w:p>
    <w:p>
      <w:pPr>
        <w:pStyle w:val="Heading2"/>
      </w:pPr>
      <w:r>
        <w:t>参考文献</w:t>
      </w:r>
    </w:p>
    <w:p>
      <w:r>
        <w:t>［1］ Miyamoto Satoshi, Heerspink Hiddo J L, de Zeeuw Dick, Sakamoto Kota, Yoshida Michihiro, Toyoda Masao, et al.. A randomized, open-label, clinical trial examined the effects of canagliflozin on albuminuria and eGFR decline using an individual pre-intervention eGFR slope.. Kidney international. 2024;106(5):972-984. doi: 10.1016/j.kint.2024.08.019</w:t>
      </w:r>
    </w:p>
    <w:p>
      <w:r>
        <w:t>［2］ Virani Salim S, Newby L Kristin, Arnold Suzanne V, Bittner Vera, Brewer LaPrincess C, Demeter Susan Halli, et al.. 2023 AHA/ACC/ACCP/ASPC/NLA/PCNA Guideline for the Management of Patients With Chronic Coronary Disease: A Report of the American Heart Association/American College of Cardiology Joint Committee on Clinical Practice Guidelines.. Circulation. 2023;148(9):e9-e119. doi: 10.1161/CIR.0000000000001168</w:t>
      </w:r>
    </w:p>
    <w:p>
      <w:r>
        <w:t>［3］ Campbell Patricia, Rutten Frans H, Lee Matthew My, Hawkins Nathaniel M, Petrie Mark C. Heart failure with preserved ejection fraction: everything the clinician needs to know.. Lancet (London, England). 2024;403(10431):1083-1092. doi: 10.1016/S0140-6736(23)02756-3</w:t>
      </w:r>
    </w:p>
    <w:p>
      <w:r>
        <w:t>［4］ Berg David D, Patel Siddharth M, Haller Paul M, Cange Abby L, Palazzolo Michael G, Bellavia Andrea, et al.. Dapagliflozin in Patients Hospitalized for Heart Failure: Primary Results of the DAPA ACT HF-TIMI 68 Randomized Clinical Trial and Meta-Analysis of Sodium-Glucose Cotransporter-2 Inhibitors in Patients Hospitalized for Heart Failure.. Circulation. 2025;152(20):1411-1422. doi: 10.1161/CIRCULATIONAHA.125.076575</w:t>
      </w:r>
    </w:p>
    <w:p>
      <w:r>
        <w:t>［5］ Aldafas Rami, Crabtree Tomas, Alkharaiji Mohammed, Vinogradova Yana, Idris Iskandar. Sodium-glucose cotransporter-2 inhibitors (SGLT2) in frail or older people with type 2 diabetes and heart failure: a systematic review and meta-analysis.. Age and ageing. 2024;53(1):afad254. doi: 10.1093/ageing/afad254</w:t>
      </w:r>
    </w:p>
    <w:p>
      <w:r>
        <w:t>［6］ Zannad Faiez, Ferreira João Pedro, Pocock Stuart J, Anker Stefan D, Butler Javed, Filippatos Gerasimos, et al.. SGLT2 inhibitors in patients with heart failure with reduced ejection fraction: a meta-analysis of the EMPEROR-Reduced and DAPA-HF trials.. Lancet (London, England). 2020;396(10254):819-829. doi: 10.1016/S0140-6736(20)31824-9</w:t>
      </w:r>
    </w:p>
    <w:p>
      <w:r>
        <w:t>［7］ Palmer Suetonia C, Tendal Britta, Mustafa Reem A, Vandvik Per Olav, Li Sheyu, Hao Qiukui, et al.. Sodium-glucose cotransporter protein-2 (SGLT-2) inhibitors and glucagon-like peptide-1 (GLP-1) receptor agonists for type 2 diabetes: systematic review and network meta-analysis of randomised controlled trials.. BMJ (Clinical research ed.). 2021;372:m4573. doi: 10.1136/bmj.m4573</w:t>
      </w:r>
    </w:p>
    <w:p>
      <w:r>
        <w:t>［8］ Tomasoni Daniela, Adamo Marianna, Lombardi Carlo Mario, Metra Marco. Highlights in heart failure.. ESC heart failure. 2019;6(6):1105-1127. doi: 10.1002/ehf2.12555</w:t>
      </w:r>
    </w:p>
    <w:p>
      <w:r>
        <w:t>［9］ Tsapas Apostolos, Avgerinos Ioannis, Karagiannis Thomas, Malandris Konstantinos, Manolopoulos Apostolos, Andreadis Panagiotis, et al.. Comparative Effectiveness of Glucose-Lowering Drugs for Type 2 Diabetes: A Systematic Review and Network Meta-analysis.. Annals of internal medicine. 2020;173(4):278-286. doi: 10.7326/M20-0864</w:t>
      </w:r>
    </w:p>
    <w:p>
      <w:r>
        <w:t>［10］ Neuen Brendon L, Fletcher Robert A, Heath Lauren, Perkovic Adam, Vaduganathan Muthiah, Badve Sunil V, et al.. Cardiovascular, Kidney, and Safety Outcomes With GLP-1 Receptor Agonists Alone and in Combination With SGLT2 Inhibitors in Type 2 Diabetes: A Systematic Review and Meta-Analysis.. Circulation. 2024;150(22):1781-1790. doi: 10.1161/CIRCULATIONAHA.124.071689</w:t>
      </w:r>
    </w:p>
    <w:p>
      <w:r>
        <w:t>［11］ Lava Sebastiano A G, Laurence Craig, Di Deo Alessandro, Sekarski Nicole, Burch Michael, Della Pasqua Oscar. Dapagliflozin and Empagliflozin in Paediatric Indications: A Systematic Review.. Paediatric drugs. 2024;26(3):229-243. doi: 10.1007/s40272-024-00623-z</w:t>
      </w:r>
    </w:p>
    <w:p>
      <w:r>
        <w:t>［12］ Park Jin Joo. Epidemiology, Pathophysiology, Diagnosis and Treatment of Heart Failure in Diabetes.. Diabetes &amp; metabolism journal. 2021;45(2):146-157. doi: 10.4093/dmj.2020.0282</w:t>
      </w:r>
    </w:p>
    <w:p>
      <w:r>
        <w:t>［13］ Shin HoJin, Paik Julie M, Everett Brendan M, DiCesare Elyse, Alix Caroline, Glynn Robert J, et al.. Comparative Effectiveness of Individual Sodium-Glucose Cotransporter 2 Inhibitors.. JAMA internal medicine. 2025;185(3):302-313. doi: 10.1001/jamainternmed.2024.7357</w:t>
      </w:r>
    </w:p>
    <w:p>
      <w:r>
        <w:t>［14］ Jhund Pardeep S, Kondo Toru, Butt Jawad H, Docherty Kieran F, Claggett Brian L, Desai Akshay S, et al.. Dapagliflozin across the range of ejection fraction in patients with heart failure: a patient-level, pooled meta-analysis of DAPA-HF and DELIVER.. Nature medicine. 2022;28(9):1956-1964. doi: 10.1038/s41591-022-01971-4</w:t>
      </w:r>
    </w:p>
    <w:p>
      <w:r>
        <w:t>［15］ Toyama Tadashi, Neuen Brendon L, Jun Min, Ohkuma Toshiaki, Neal Bruce, Jardine Meg J, et al.. Effect of SGLT2 inhibitors on cardiovascular, renal and safety outcomes in patients with type 2 diabetes mellitus and chronic kidney disease: A systematic review and meta-analysis.. Diabetes, obesity &amp; metabolism. 2019;21(5):1237-1250. doi: 10.1111/dom.13648</w:t>
      </w:r>
    </w:p>
    <w:p>
      <w:r>
        <w:t>［16］ Qaseem Amir, Obley Adam J, Shamliyan Tatyana, Hicks Lauri A, Harrod Curtis S, Crandall Carolyn J, et al.. Newer Pharmacologic Treatments in Adults With Type 2 Diabetes: A Clinical Guideline From the American College of Physicians.. Annals of internal medicine. 2024;177(5):658-666. doi: 10.7326/M23-2788</w:t>
      </w:r>
    </w:p>
    <w:p>
      <w:r>
        <w:t>［17］ Usman Muhammad Shariq, Siddiqi Tariq Jamal, Anker Stefan D, Bakris George L, Bhatt Deepak L, Filippatos Gerasimos, et al.. Effect of SGLT2 Inhibitors on Cardiovascular Outcomes Across Various Patient Populations.. Journal of the American College of Cardiology. 2023;81(25):2377-2387. doi: 10.1016/j.jacc.2023.04.034</w:t>
      </w:r>
    </w:p>
    <w:p>
      <w:r>
        <w:t>［18］ Drake Tyler, Landsteiner Adrienne, Langsetmo Lisa, MacDonald Roderick, Anthony Maylen, Kalinowski Caleb, et al.. Newer Pharmacologic Treatments in Adults With Type 2 Diabetes: A Systematic Review and Network Meta-analysis for the American College of Physicians.. Annals of internal medicine. 2024;177(5):618-632. doi: 10.7326/M23-1490</w:t>
      </w:r>
    </w:p>
    <w:p>
      <w:r>
        <w:t>［19］ Usman Muhammad Shariq, Bhatt Deepak L, Hameed Ishaque, Anker Stefan D, Cheng Alice Y Y, Hernandez Adrian F, et al.. Effect of SGLT2 inhibitors on heart failure outcomes and cardiovascular death across the cardiometabolic disease spectrum: a systematic review and meta-analysis.. The lancet. Diabetes &amp; endocrinology. 2024;12(7):447-461. doi: 10.1016/S2213-8587(24)00102-5</w:t>
      </w:r>
    </w:p>
    <w:p>
      <w:r>
        <w:t>［20］ Banerjee Mainak, Pal Rimesh, Nair Kirthana, Mukhopadhyay Satinath. SGLT2 inhibitors and cardiovascular outcomes in heart failure with mildly reduced and preserved ejection fraction: A systematic review and meta-analysis.. Indian heart journal. 2023;75(2):122-127. doi: 10.1016/j.ihj.2023.03.003</w:t>
      </w:r>
    </w:p>
    <w:p>
      <w:r>
        <w:t>［21］ Ali Ahmed E, Mazroua Muhammad Sabry, ElSaban Mariam, Najam Nadia, Kothari Aditi S, Mansoor Taha, et al.. Effect of Dapagliflozin in Patients with Heart Failure: A Systematic Review and Meta-Analysis.. Global heart. 2023;18(1):45. doi: 10.5334/gh.1258</w:t>
      </w:r>
    </w:p>
    <w:p>
      <w:r>
        <w:t>［22］ Theodorakis Nikolaos, Nikolaou Maria. Integrated Management of Cardiovascular-Renal-Hepatic-Metabolic Syndrome: Expanding Roles of SGLT2is, GLP-1RAs, and GIP/GLP-1RAs.. Biomedicines. 2025;13(1):135. doi: 10.3390/biomedicines13010135</w:t>
      </w:r>
    </w:p>
    <w:p>
      <w:r>
        <w:t>［23］ Agarwal Arnav, Mustafa Reem, Manja Veena, Agoritsas Thomas, Macdonald Helen, Li Sheyu, et al.. Cardiovascular, kidney related, and weight loss effects of therapeutics for type 2 diabetes: a living clinical practice guideline.. BMJ (Clinical research ed.). 2025;390:e082071. doi: 10.1136/bmj-2024-082071</w:t>
      </w:r>
    </w:p>
    <w:p>
      <w:r>
        <w:t>［24］ Agarwal Arnav, Zeng Xiaoxi, Li Sheyu, Rayner Daniel, Foroutan Farid, Aertgeerts Bert, et al.. Sodium-glucose cotransporter-2 (SGLT-2) inhibitors for adults with chronic kidney disease: a clinical practice guideline.. BMJ (Clinical research ed.). 2024;387:e080257. doi: 10.1136/bmj-2024-080257</w:t>
      </w:r>
    </w:p>
    <w:p>
      <w:r>
        <w:t>［25］ Kongmalai Tanawan, Hadnorntun Phorntida, Leelahavarong Pattara, Kongmalai Pinkawas, Srinonprasert Varalak, Chirakarnjanakorn Srisakul, et al.. Comparative cardiovascular benefits of individual SGLT2 inhibitors in type 2 diabetes and heart failure: a systematic review and network meta-analysis of randomized controlled trials.. Frontiers in endocrinology. 2023;14:1216160. doi: 10.3389/fendo.2023.1216160</w:t>
      </w:r>
    </w:p>
    <w:p>
      <w:r>
        <w:t>［26］ Marilly Elisa, Cottin Judith, Cabrera Natalia, Cornu Catherine, Boussageon Remy, Moulin Philippe, et al.. SGLT2 inhibitors in type 2 diabetes: a systematic review and meta-analysis of cardiovascular outcome trials balancing their risks and benefits.. Diabetologia. 2022;65(12):2000-2010. doi: 10.1007/s00125-022-05773-8</w:t>
      </w:r>
    </w:p>
    <w:p>
      <w:r>
        <w:t>［27］ Li Sheyu, Vandvik Per Olav, Lytvyn Lyubov, Guyatt Gordon H, Palmer Suetonia C, Rodriguez-Gutierrez René, et al.. SGLT-2 inhibitors or GLP-1 receptor agonists for adults with type 2 diabetes: a clinical practice guideline.. BMJ (Clinical research ed.). 2021;373:n1091. doi: 10.1136/bmj.n1091</w:t>
      </w:r>
    </w:p>
    <w:p>
      <w:r>
        <w:t>［28］ Neuen Brendon L, Oshima Megumi, Agarwal Rajiv, Arnott Clare, Cherney David Z, Edwards Robert, et al.. Sodium-Glucose Cotransporter 2 Inhibitors and Risk of Hyperkalemia in People With Type 2 Diabetes: A Meta-Analysis of Individual Participant Data From Randomized, Controlled Trials.. Circulation. 2022;145(19):1460-1470. doi: 10.1161/CIRCULATIONAHA.121.057736</w:t>
      </w:r>
    </w:p>
    <w:p>
      <w:r>
        <w:t>［29］ Hamid Abdulrahman Khaldoon, Tayem AbdulJaber A'Ed, Al-Aish Sandra Thair, Al Sakini Ahmed Sermed, Hadi Dalia Dhia, Al-Aish Rami Thair. Empagliflozin and other SGLT2 inhibitors in patients with heart failure and preserved ejection fraction: a systematic review and meta-analysis.. Therapeutic advances in cardiovascular disease. 2024;18:17539447241289067. doi: 10.1177/17539447241289067</w:t>
      </w:r>
    </w:p>
    <w:p>
      <w:r>
        <w:t>［30］ Page MJ, McKenzie JE, Bossuyt PM, Boutron I, Hoffmann TC, Mulrow CD. The PRISMA 2020 statement: an updated guideline for reporting systematic reviews. BMJ. 2021;372:n71. doi: 10.1136/bmj.n71</w:t>
      </w:r>
    </w:p>
    <w:p>
      <w:r>
        <w:t>［31］ Rethlefsen ML, Kirtley S, Waffenschmidt S, Ayala AP, Moher D, Page MJ. PRISMA-S: an extension to the PRISMA Statement for Reporting Literature Searches in Systematic Reviews. Systematic Reviews. 2021;10:39. doi: 10.1186/s13643-020-01542-z</w:t>
      </w:r>
    </w:p>
    <w:p>
      <w:r>
        <w:t>［32］ Higgins JPT, Thomas J, Chandler J, Cumpston M, Li T, Page MJ. Cochrane Handbook for Systematic Reviews of Interventions. Cochrane. 2023. https://training.cochrane.org/handbook</w:t>
      </w:r>
    </w:p>
    <w:p>
      <w:r>
        <w:t>［33］ Sterne JAC, Savovic J, Page MJ, Elbers RG, Blencowe NS, Boutron I. RoB 2: A revised Cochrane risk-of-bias tool for randomized trials. BMJ. 2019;366:l4898. doi: 10.1136/bmj.l4898</w:t>
      </w:r>
    </w:p>
    <w:p>
      <w:r>
        <w:t>［34］ DerSimonian R, Laird N. Meta-analysis in clinical trials. Controlled Clinical Trials. 1986;7(3):177-188. doi: 10.1016/0197-2456(86)90046-2</w:t>
      </w:r>
    </w:p>
    <w:p>
      <w:r>
        <w:t>［35］ Higgins JPT, Thompson SG, Deeks JJ, Altman DG. Measuring inconsistency in meta-analyses. BMJ. 2003;327(7414):557-560. doi: 10.1136/bmj.327.7414.557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