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</w:pPr>
      <w:r>
        <w:rPr>
          <w:rFonts w:ascii="PingFang SC" w:hAnsi="PingFang SC" w:eastAsia="PingFang SC"/>
          <w:b/>
          <w:i w:val="0"/>
          <w:color w:val="66788A"/>
          <w:sz w:val="26"/>
        </w:rPr>
        <w:t>灵犀中医 CDSS</w:t>
      </w:r>
    </w:p>
    <w:p>
      <w:r>
        <w:rPr>
          <w:rFonts w:ascii="PingFang SC" w:hAnsi="PingFang SC" w:eastAsia="PingFang SC"/>
          <w:b/>
          <w:i w:val="0"/>
          <w:color w:val="102A43"/>
          <w:sz w:val="46"/>
        </w:rPr>
        <w:t>甲方问题逐项整改与全面复核报告</w:t>
      </w:r>
    </w:p>
    <w:p>
      <w:r>
        <w:rPr>
          <w:rFonts w:ascii="PingFang SC" w:hAnsi="PingFang SC" w:eastAsia="PingFang SC"/>
          <w:b w:val="0"/>
          <w:i w:val="0"/>
          <w:color w:val="66788A"/>
          <w:sz w:val="23"/>
        </w:rPr>
        <w:t>原始反馈截图 × 点对点回复 × 生产整改截图 × 代码/测试/部署证据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 w:val="true"/>
        </w:trPr>
        <w:tc>
          <w:tcPr>
            <w:tcW w:type="dxa" w:w="2500"/>
            <w:shd w:fill="E5EFF8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9"/>
              </w:rPr>
              <w:t>报告日期</w:t>
            </w:r>
          </w:p>
        </w:tc>
        <w:tc>
          <w:tcPr>
            <w:tcW w:type="dxa" w:w="7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9"/>
              </w:rPr>
              <w:t>2026-08-20</w:t>
            </w:r>
          </w:p>
        </w:tc>
      </w:tr>
      <w:tr>
        <w:trPr>
          <w:cantSplit w:val="true"/>
        </w:trPr>
        <w:tc>
          <w:tcPr>
            <w:tcW w:type="dxa" w:w="2500"/>
            <w:shd w:fill="E5EFF8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9"/>
              </w:rPr>
              <w:t>GitHub 分支</w:t>
            </w:r>
          </w:p>
        </w:tc>
        <w:tc>
          <w:tcPr>
            <w:tcW w:type="dxa" w:w="7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9"/>
              </w:rPr>
              <w:t>codex/pharmacopoeia-case-regression</w:t>
            </w:r>
          </w:p>
        </w:tc>
      </w:tr>
      <w:tr>
        <w:trPr>
          <w:cantSplit w:val="true"/>
        </w:trPr>
        <w:tc>
          <w:tcPr>
            <w:tcW w:type="dxa" w:w="2500"/>
            <w:shd w:fill="E5EFF8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9"/>
              </w:rPr>
              <w:t>生产代码提交</w:t>
            </w:r>
          </w:p>
        </w:tc>
        <w:tc>
          <w:tcPr>
            <w:tcW w:type="dxa" w:w="7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9"/>
              </w:rPr>
              <w:t>5caf3ef9c6538557ef8cb2fb1503180112332d89</w:t>
            </w:r>
          </w:p>
        </w:tc>
      </w:tr>
      <w:tr>
        <w:trPr>
          <w:cantSplit w:val="true"/>
        </w:trPr>
        <w:tc>
          <w:tcPr>
            <w:tcW w:type="dxa" w:w="2500"/>
            <w:shd w:fill="E5EFF8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9"/>
              </w:rPr>
              <w:t>生产镜像</w:t>
            </w:r>
          </w:p>
        </w:tc>
        <w:tc>
          <w:tcPr>
            <w:tcW w:type="dxa" w:w="7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9"/>
              </w:rPr>
              <w:t>tcm-cdss:20260820-5caf3ef9</w:t>
            </w:r>
          </w:p>
        </w:tc>
      </w:tr>
      <w:tr>
        <w:trPr>
          <w:cantSplit w:val="true"/>
        </w:trPr>
        <w:tc>
          <w:tcPr>
            <w:tcW w:type="dxa" w:w="2500"/>
            <w:shd w:fill="E5EFF8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9"/>
              </w:rPr>
              <w:t>生产 sourceDigest</w:t>
            </w:r>
          </w:p>
        </w:tc>
        <w:tc>
          <w:tcPr>
            <w:tcW w:type="dxa" w:w="7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9"/>
              </w:rPr>
              <w:t>d630e5c532c9d769398778ad9e778b46205e684ad8f47050e915d7ebfe8d9ba9</w:t>
            </w:r>
          </w:p>
        </w:tc>
      </w:tr>
      <w:tr>
        <w:trPr>
          <w:cantSplit w:val="true"/>
        </w:trPr>
        <w:tc>
          <w:tcPr>
            <w:tcW w:type="dxa" w:w="2500"/>
            <w:shd w:fill="E5EFF8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9"/>
              </w:rPr>
              <w:t>生产入口</w:t>
            </w:r>
          </w:p>
        </w:tc>
        <w:tc>
          <w:tcPr>
            <w:tcW w:type="dxa" w:w="7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9"/>
              </w:rPr>
              <w:t>https://82.156.128.153/tcm-cdss</w:t>
            </w:r>
          </w:p>
        </w:tc>
      </w:tr>
      <w:tr>
        <w:trPr>
          <w:cantSplit w:val="true"/>
        </w:trPr>
        <w:tc>
          <w:tcPr>
            <w:tcW w:type="dxa" w:w="2500"/>
            <w:shd w:fill="E5EFF8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9"/>
              </w:rPr>
              <w:t>鉴权与租户</w:t>
            </w:r>
          </w:p>
        </w:tc>
        <w:tc>
          <w:tcPr>
            <w:tcW w:type="dxa" w:w="7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9"/>
              </w:rPr>
              <w:t>固定交付 token（值不入文档）+ x-cdss-customer-id</w:t>
            </w:r>
          </w:p>
        </w:tc>
      </w:tr>
    </w:tbl>
    <w:p>
      <w:pPr>
        <w:pStyle w:val="Heading1"/>
      </w:pPr>
      <w:r>
        <w:t>1. 交付结论</w:t>
      </w:r>
    </w:p>
    <w:p>
      <w:r>
        <w:rPr>
          <w:rFonts w:ascii="PingFang SC" w:hAnsi="PingFang SC" w:eastAsia="PingFang SC"/>
          <w:b w:val="0"/>
          <w:i w:val="0"/>
          <w:color w:val="000000"/>
          <w:sz w:val="21"/>
        </w:rPr>
        <w:t>本轮不是对历史结论做文字润色，而是重新核对两份甲方 PDF、用户补充截图、外部审查清单、线上真实输出和当前代码路径；按失败用例先行的方式逐类修复，并在生产环境重新完成鉴权、病例、浏览器与移动端验收。</w:t>
      </w:r>
    </w:p>
    <w:p>
      <w:pPr>
        <w:pStyle w:val="ListBullet"/>
        <w:ind w:left="504" w:hanging="259"/>
      </w:pPr>
      <w:r>
        <w:rPr>
          <w:rFonts w:ascii="PingFang SC" w:hAnsi="PingFang SC" w:eastAsia="PingFang SC"/>
          <w:b w:val="0"/>
          <w:i w:val="0"/>
          <w:color w:val="000000"/>
          <w:sz w:val="20"/>
        </w:rPr>
        <w:t>发布总闸：typecheck、ESLint、166/166、fresh 166/166、Next.js production build 全部通过。</w:t>
      </w:r>
    </w:p>
    <w:p>
      <w:pPr>
        <w:pStyle w:val="ListBullet"/>
        <w:ind w:left="504" w:hanging="259"/>
      </w:pPr>
      <w:r>
        <w:rPr>
          <w:rFonts w:ascii="PingFang SC" w:hAnsi="PingFang SC" w:eastAsia="PingFang SC"/>
          <w:b w:val="0"/>
          <w:i w:val="0"/>
          <w:color w:val="000000"/>
          <w:sz w:val="20"/>
        </w:rPr>
        <w:t>生产健康：镜像/commit/sourceDigest 完全一致，strictReady=true，degradedReasons=[]，真实模型探针与审方链可用。</w:t>
      </w:r>
    </w:p>
    <w:p>
      <w:pPr>
        <w:pStyle w:val="ListBullet"/>
        <w:ind w:left="504" w:hanging="259"/>
      </w:pPr>
      <w:r>
        <w:rPr>
          <w:rFonts w:ascii="PingFang SC" w:hAnsi="PingFang SC" w:eastAsia="PingFang SC"/>
          <w:b w:val="0"/>
          <w:i w:val="0"/>
          <w:color w:val="000000"/>
          <w:sz w:val="20"/>
        </w:rPr>
        <w:t>生产鉴权：固定交付 token 未改变且不进入代码/文档；鉴权面 17/17 通过；模型预算按认证身份与客户隔离。</w:t>
      </w:r>
    </w:p>
    <w:p>
      <w:pPr>
        <w:pStyle w:val="ListBullet"/>
        <w:ind w:left="504" w:hanging="259"/>
      </w:pPr>
      <w:r>
        <w:rPr>
          <w:rFonts w:ascii="PingFang SC" w:hAnsi="PingFang SC" w:eastAsia="PingFang SC"/>
          <w:b w:val="0"/>
          <w:i w:val="0"/>
          <w:color w:val="000000"/>
          <w:sz w:val="20"/>
        </w:rPr>
        <w:t>78岁反酸病例：浏览器验收 11/11，R12 编码、中医辨病辨证双依据、具体食疗/耳穴、移动端和用药作文卫生全部通过。</w:t>
      </w:r>
    </w:p>
    <w:p>
      <w:pPr>
        <w:pStyle w:val="ListBullet"/>
        <w:ind w:left="504" w:hanging="259"/>
      </w:pPr>
      <w:r>
        <w:rPr>
          <w:rFonts w:ascii="PingFang SC" w:hAnsi="PingFang SC" w:eastAsia="PingFang SC"/>
          <w:b w:val="0"/>
          <w:i w:val="0"/>
          <w:color w:val="000000"/>
          <w:sz w:val="20"/>
        </w:rPr>
        <w:t>指定生产病例：public-082、modern-01191、modern-12965、modern-09432、modern-17304 为 5/5、失败0。</w:t>
      </w:r>
    </w:p>
    <w:p>
      <w:pPr>
        <w:pStyle w:val="ListBullet"/>
        <w:ind w:left="504" w:hanging="259"/>
      </w:pPr>
      <w:r>
        <w:rPr>
          <w:rFonts w:ascii="PingFang SC" w:hAnsi="PingFang SC" w:eastAsia="PingFang SC"/>
          <w:b w:val="0"/>
          <w:i w:val="0"/>
          <w:color w:val="000000"/>
          <w:sz w:val="20"/>
        </w:rPr>
        <w:t>按用户明确指令，本轮没有恢复剩余77例全量批跑；历史批次在46/77处停止，本报告不把局部/目标回归表述成全量完成。</w:t>
      </w:r>
    </w:p>
    <w:p>
      <w:pPr>
        <w:pStyle w:val="Heading1"/>
      </w:pPr>
      <w:r>
        <w:t>2. 原始问题总表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8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编号</w:t>
            </w:r>
          </w:p>
        </w:tc>
        <w:tc>
          <w:tcPr>
            <w:tcW w:type="dxa" w:w="3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甲方问题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整改方向</w:t>
            </w:r>
          </w:p>
        </w:tc>
        <w:tc>
          <w:tcPr>
            <w:tcW w:type="dxa" w:w="17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C01</w:t>
            </w:r>
          </w:p>
        </w:tc>
        <w:tc>
          <w:tcPr>
            <w:tcW w:type="dxa" w:w="3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慢、等待久、未逐模块输出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性能路由+模块草稿帧</w:t>
            </w:r>
          </w:p>
        </w:tc>
        <w:tc>
          <w:tcPr>
            <w:tcW w:type="dxa" w:w="17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已整改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C02</w:t>
            </w:r>
          </w:p>
        </w:tc>
        <w:tc>
          <w:tcPr>
            <w:tcW w:type="dxa" w:w="3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追问机制不清、候选阻断后原地循环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追问非阻断+失败分级重跑</w:t>
            </w:r>
          </w:p>
        </w:tc>
        <w:tc>
          <w:tcPr>
            <w:tcW w:type="dxa" w:w="17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已整改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C03</w:t>
            </w:r>
          </w:p>
        </w:tc>
        <w:tc>
          <w:tcPr>
            <w:tcW w:type="dxa" w:w="3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西医诊断不规范、无 ICD/错引用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症状级工作诊断+同域文献</w:t>
            </w:r>
          </w:p>
        </w:tc>
        <w:tc>
          <w:tcPr>
            <w:tcW w:type="dxa" w:w="17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已整改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C04</w:t>
            </w:r>
          </w:p>
        </w:tc>
        <w:tc>
          <w:tcPr>
            <w:tcW w:type="dxa" w:w="3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缺中医辨病/辨证与循证依据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病名/证候双结论双引用</w:t>
            </w:r>
          </w:p>
        </w:tc>
        <w:tc>
          <w:tcPr>
            <w:tcW w:type="dxa" w:w="17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已整改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C05</w:t>
            </w:r>
          </w:p>
        </w:tc>
        <w:tc>
          <w:tcPr>
            <w:tcW w:type="dxa" w:w="3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病机、子病机、治则治法错位/占位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四字段病机链+M03冻结</w:t>
            </w:r>
          </w:p>
        </w:tc>
        <w:tc>
          <w:tcPr>
            <w:tcW w:type="dxa" w:w="17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已整改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C06</w:t>
            </w:r>
          </w:p>
        </w:tc>
        <w:tc>
          <w:tcPr>
            <w:tcW w:type="dxa" w:w="3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经典方、煎服、方义错误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经典方身份+方性煎法+自然段方义</w:t>
            </w:r>
          </w:p>
        </w:tc>
        <w:tc>
          <w:tcPr>
            <w:tcW w:type="dxa" w:w="17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已整改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C07</w:t>
            </w:r>
          </w:p>
        </w:tc>
        <w:tc>
          <w:tcPr>
            <w:tcW w:type="dxa" w:w="3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非药物项目内部话术多、具体内容少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医生可见投影</w:t>
            </w:r>
          </w:p>
        </w:tc>
        <w:tc>
          <w:tcPr>
            <w:tcW w:type="dxa" w:w="17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已整改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C08</w:t>
            </w:r>
          </w:p>
        </w:tc>
        <w:tc>
          <w:tcPr>
            <w:tcW w:type="dxa" w:w="3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78岁仍提示妊娠哺乳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浏览器/API/下载/M05同源过滤</w:t>
            </w:r>
          </w:p>
        </w:tc>
        <w:tc>
          <w:tcPr>
            <w:tcW w:type="dxa" w:w="17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已整改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C09</w:t>
            </w:r>
          </w:p>
        </w:tc>
        <w:tc>
          <w:tcPr>
            <w:tcW w:type="dxa" w:w="3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多客户药库与固定鉴权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客户上下文全链路</w:t>
            </w:r>
          </w:p>
        </w:tc>
        <w:tc>
          <w:tcPr>
            <w:tcW w:type="dxa" w:w="17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已整改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C10</w:t>
            </w:r>
          </w:p>
        </w:tc>
        <w:tc>
          <w:tcPr>
            <w:tcW w:type="dxa" w:w="3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审方显示未完成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供应商租户与客户身份域拆分</w:t>
            </w:r>
          </w:p>
        </w:tc>
        <w:tc>
          <w:tcPr>
            <w:tcW w:type="dxa" w:w="17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已整改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C11</w:t>
            </w:r>
          </w:p>
        </w:tc>
        <w:tc>
          <w:tcPr>
            <w:tcW w:type="dxa" w:w="3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模型可自撰中医辨病引用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服务端证据 scope 反查绑定</w:t>
            </w:r>
          </w:p>
        </w:tc>
        <w:tc>
          <w:tcPr>
            <w:tcW w:type="dxa" w:w="17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已整改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C12</w:t>
            </w:r>
          </w:p>
        </w:tc>
        <w:tc>
          <w:tcPr>
            <w:tcW w:type="dxa" w:w="3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混合特殊人群禁忌被整句删除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按人群原子保留适用条款</w:t>
            </w:r>
          </w:p>
        </w:tc>
        <w:tc>
          <w:tcPr>
            <w:tcW w:type="dxa" w:w="17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已整改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C13</w:t>
            </w:r>
          </w:p>
        </w:tc>
        <w:tc>
          <w:tcPr>
            <w:tcW w:type="dxa" w:w="3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未导入库存被误判为非本院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unknown 与 out-of-stock 分离</w:t>
            </w:r>
          </w:p>
        </w:tc>
        <w:tc>
          <w:tcPr>
            <w:tcW w:type="dxa" w:w="17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已整改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C14</w:t>
            </w:r>
          </w:p>
        </w:tc>
        <w:tc>
          <w:tcPr>
            <w:tcW w:type="dxa" w:w="3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M03 草稿泄漏诊断与疗程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非临床状态帧+红旗首屏</w:t>
            </w:r>
          </w:p>
        </w:tc>
        <w:tc>
          <w:tcPr>
            <w:tcW w:type="dxa" w:w="17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已整改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C15</w:t>
            </w:r>
          </w:p>
        </w:tc>
        <w:tc>
          <w:tcPr>
            <w:tcW w:type="dxa" w:w="3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客户头覆盖签名 cookie/共享限流桶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身份冲突409+客户级预算</w:t>
            </w:r>
          </w:p>
        </w:tc>
        <w:tc>
          <w:tcPr>
            <w:tcW w:type="dxa" w:w="17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已整改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C16</w:t>
            </w:r>
          </w:p>
        </w:tc>
        <w:tc>
          <w:tcPr>
            <w:tcW w:type="dxa" w:w="3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旧快照发布后无法恢复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v2租户信封+v1限定迁移</w:t>
            </w:r>
          </w:p>
        </w:tc>
        <w:tc>
          <w:tcPr>
            <w:tcW w:type="dxa" w:w="17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已整改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C17</w:t>
            </w:r>
          </w:p>
        </w:tc>
        <w:tc>
          <w:tcPr>
            <w:tcW w:type="dxa" w:w="3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非口服说明书途径缺失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原文绑定的给药途径解析</w:t>
            </w:r>
          </w:p>
        </w:tc>
        <w:tc>
          <w:tcPr>
            <w:tcW w:type="dxa" w:w="17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已整改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C18</w:t>
            </w:r>
          </w:p>
        </w:tc>
        <w:tc>
          <w:tcPr>
            <w:tcW w:type="dxa" w:w="3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HIS 随访仍为固定模板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M05三出口共享患者级作者</w:t>
            </w:r>
          </w:p>
        </w:tc>
        <w:tc>
          <w:tcPr>
            <w:tcW w:type="dxa" w:w="17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已整改</w:t>
            </w:r>
          </w:p>
        </w:tc>
      </w:tr>
      <w:tr>
        <w:trPr>
          <w:cantSplit w:val="true"/>
        </w:trPr>
        <w:tc>
          <w:tcPr>
            <w:tcW w:type="dxa" w:w="8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C19</w:t>
            </w:r>
          </w:p>
        </w:tc>
        <w:tc>
          <w:tcPr>
            <w:tcW w:type="dxa" w:w="3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注意事项出现无证据药物间隔/减停药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自由文本用药指令逐条隔离</w:t>
            </w:r>
          </w:p>
        </w:tc>
        <w:tc>
          <w:tcPr>
            <w:tcW w:type="dxa" w:w="175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已整改</w:t>
            </w:r>
          </w:p>
        </w:tc>
      </w:tr>
    </w:tbl>
    <w:p>
      <w:pPr>
        <w:pStyle w:val="Heading1"/>
      </w:pPr>
      <w:r>
        <w:t>3. 甲方问题逐项回复与截图证据</w:t>
      </w:r>
    </w:p>
    <w:p>
      <w:pPr>
        <w:pStyle w:val="Heading2"/>
      </w:pPr>
      <w:r>
        <w:t>3.1. 推理速度、追问和逐模块输出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200"/>
            <w:shd w:fill="FFF5E6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20"/>
              </w:rPr>
              <w:t>甲方问题：</w:t>
            </w:r>
            <w:r>
              <w:rPr>
                <w:rFonts w:ascii="PingFang SC" w:hAnsi="PingFang SC" w:eastAsia="PingFang SC"/>
                <w:b w:val="0"/>
                <w:i w:val="0"/>
                <w:color w:val="102A43"/>
                <w:sz w:val="20"/>
              </w:rPr>
              <w:t>模型运行时间长；追问触发机制不清；不能等全部生成完成后一次性输出，应一个模块生成一个模块展示。</w:t>
            </w:r>
          </w:p>
        </w:tc>
      </w:tr>
    </w:tbl>
    <w:p>
      <w:r>
        <w:rPr>
          <w:rFonts w:ascii="PingFang SC" w:hAnsi="PingFang SC" w:eastAsia="PingFang SC"/>
          <w:b/>
          <w:i w:val="0"/>
          <w:color w:val="17324D"/>
          <w:sz w:val="21"/>
        </w:rPr>
        <w:t>甲方原始反馈截图</w:t>
      </w:r>
      <w:r>
        <w:rPr>
          <w:rFonts w:ascii="PingFang SC" w:hAnsi="PingFang SC" w:eastAsia="PingFang SC"/>
          <w:b w:val="0"/>
          <w:i w:val="0"/>
          <w:color w:val="17324D"/>
          <w:sz w:val="21"/>
        </w:rPr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79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i w:val="0"/>
          <w:color w:val="1E6B3A"/>
          <w:sz w:val="21"/>
        </w:rPr>
        <w:t>我方点对点回复：</w:t>
      </w:r>
      <w:r>
        <w:rPr>
          <w:rFonts w:ascii="PingFang SC" w:hAnsi="PingFang SC" w:eastAsia="PingFang SC"/>
          <w:b w:val="0"/>
          <w:i w:val="0"/>
          <w:color w:val="1E6B3A"/>
          <w:sz w:val="21"/>
        </w:rPr>
      </w:r>
    </w:p>
    <w:p>
      <w:r>
        <w:rPr>
          <w:rFonts w:ascii="PingFang SC" w:hAnsi="PingFang SC" w:eastAsia="PingFang SC"/>
          <w:b w:val="0"/>
          <w:i w:val="0"/>
          <w:color w:val="000000"/>
          <w:sz w:val="21"/>
        </w:rPr>
        <w:t>统一了 OpenAI-compatible/Qwen 的模型—端点配对、thinking 缺省语义和复核身份判定。M03 渐进输出不再展示会被后续复核改写的诊断、证候、病机、治法或剂量疗程，只显示固定模块状态；确定性红旗先于首条进度帧。追问保持可选增强，不再作为常规阻断。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实现位置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验证方式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验收结果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模型拓扑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test:text-model-tuning + test:m03-clinical-review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stream contract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test:stream-modules + test:stream-module-frames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追问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test:m02-contract + test:m02-nonblocking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通过</w:t>
            </w:r>
          </w:p>
        </w:tc>
      </w:tr>
    </w:tbl>
    <w:p>
      <w:r>
        <w:rPr>
          <w:rFonts w:ascii="PingFang SC" w:hAnsi="PingFang SC" w:eastAsia="PingFang SC"/>
          <w:b/>
          <w:i w:val="0"/>
          <w:color w:val="17324D"/>
          <w:sz w:val="21"/>
        </w:rPr>
        <w:t>整改后实际截图</w:t>
      </w:r>
      <w:r>
        <w:rPr>
          <w:rFonts w:ascii="PingFang SC" w:hAnsi="PingFang SC" w:eastAsia="PingFang SC"/>
          <w:b w:val="0"/>
          <w:i w:val="0"/>
          <w:color w:val="17324D"/>
          <w:sz w:val="21"/>
        </w:rPr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7726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final-progr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726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3.2. 西医诊断、ICD 与标准文献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200"/>
            <w:shd w:fill="FFF5E6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20"/>
              </w:rPr>
              <w:t>甲方问题：</w:t>
            </w:r>
            <w:r>
              <w:rPr>
                <w:rFonts w:ascii="PingFang SC" w:hAnsi="PingFang SC" w:eastAsia="PingFang SC"/>
                <w:b w:val="0"/>
                <w:i w:val="0"/>
                <w:color w:val="102A43"/>
                <w:sz w:val="20"/>
              </w:rPr>
              <w:t>西医诊断不能是‘胃食管反流症状’或泛化‘病因待查’；必须对应 ICD 编码；鉴别诊断文献不能写模型思考过程或引用中医共识。</w:t>
            </w:r>
          </w:p>
        </w:tc>
      </w:tr>
    </w:tbl>
    <w:p>
      <w:r>
        <w:rPr>
          <w:rFonts w:ascii="PingFang SC" w:hAnsi="PingFang SC" w:eastAsia="PingFang SC"/>
          <w:b/>
          <w:i w:val="0"/>
          <w:color w:val="17324D"/>
          <w:sz w:val="21"/>
        </w:rPr>
        <w:t>甲方原始反馈截图</w:t>
      </w:r>
      <w:r>
        <w:rPr>
          <w:rFonts w:ascii="PingFang SC" w:hAnsi="PingFang SC" w:eastAsia="PingFang SC"/>
          <w:b w:val="0"/>
          <w:i w:val="0"/>
          <w:color w:val="17324D"/>
          <w:sz w:val="21"/>
        </w:rPr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79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79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i w:val="0"/>
          <w:color w:val="1E6B3A"/>
          <w:sz w:val="21"/>
        </w:rPr>
        <w:t>我方点对点回复：</w:t>
      </w:r>
      <w:r>
        <w:rPr>
          <w:rFonts w:ascii="PingFang SC" w:hAnsi="PingFang SC" w:eastAsia="PingFang SC"/>
          <w:b w:val="0"/>
          <w:i w:val="0"/>
          <w:color w:val="1E6B3A"/>
          <w:sz w:val="21"/>
        </w:rPr>
      </w:r>
    </w:p>
    <w:p>
      <w:r>
        <w:rPr>
          <w:rFonts w:ascii="PingFang SC" w:hAnsi="PingFang SC" w:eastAsia="PingFang SC"/>
          <w:b w:val="0"/>
          <w:i w:val="0"/>
          <w:color w:val="000000"/>
          <w:sz w:val="21"/>
        </w:rPr>
        <w:t>最终生产返回症状级工作诊断‘反酸’，编码 R12.x00x002；GERD 保留在鉴别诊断。西医栏只绑定同疾病域的 ACG 2022 GERD 指南（PMID:34807007，DOI:10.14309/ajg.0000000000001538），中医共识不会进入西医栏。M03 参考文献在 M04 作为已签名只读字段冻结。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实现位置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验证方式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验收结果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ICD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test:icd10-coding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29/29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证据域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test:guideline-reference-outlets + customer-review-20260810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跨阶段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cross-stage evidence id collision reproducer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已修复</w:t>
            </w:r>
          </w:p>
        </w:tc>
      </w:tr>
    </w:tbl>
    <w:p>
      <w:r>
        <w:rPr>
          <w:rFonts w:ascii="PingFang SC" w:hAnsi="PingFang SC" w:eastAsia="PingFang SC"/>
          <w:b/>
          <w:i w:val="0"/>
          <w:color w:val="17324D"/>
          <w:sz w:val="21"/>
        </w:rPr>
        <w:t>整改后实际截图</w:t>
      </w:r>
      <w:r>
        <w:rPr>
          <w:rFonts w:ascii="PingFang SC" w:hAnsi="PingFang SC" w:eastAsia="PingFang SC"/>
          <w:b w:val="0"/>
          <w:i w:val="0"/>
          <w:color w:val="17324D"/>
          <w:sz w:val="21"/>
        </w:rPr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30664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inal-diagnos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0664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3.3. 中医辨病辨证、病机与治法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200"/>
            <w:shd w:fill="FFF5E6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20"/>
              </w:rPr>
              <w:t>甲方问题：</w:t>
            </w:r>
            <w:r>
              <w:rPr>
                <w:rFonts w:ascii="PingFang SC" w:hAnsi="PingFang SC" w:eastAsia="PingFang SC"/>
                <w:b w:val="0"/>
                <w:i w:val="0"/>
                <w:color w:val="102A43"/>
                <w:sz w:val="20"/>
              </w:rPr>
              <w:t>中医必须同时返回辨病和辨证并带循证依据；辨病不能写成证型分析；总体病机不能复述病历；子病机必须含患者事实、辨证依据、病机和治法。</w:t>
            </w:r>
          </w:p>
        </w:tc>
      </w:tr>
    </w:tbl>
    <w:p>
      <w:r>
        <w:rPr>
          <w:rFonts w:ascii="PingFang SC" w:hAnsi="PingFang SC" w:eastAsia="PingFang SC"/>
          <w:b/>
          <w:i w:val="0"/>
          <w:color w:val="17324D"/>
          <w:sz w:val="21"/>
        </w:rPr>
        <w:t>甲方原始反馈截图</w:t>
      </w:r>
      <w:r>
        <w:rPr>
          <w:rFonts w:ascii="PingFang SC" w:hAnsi="PingFang SC" w:eastAsia="PingFang SC"/>
          <w:b w:val="0"/>
          <w:i w:val="0"/>
          <w:color w:val="17324D"/>
          <w:sz w:val="21"/>
        </w:rPr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79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79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79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i w:val="0"/>
          <w:color w:val="1E6B3A"/>
          <w:sz w:val="21"/>
        </w:rPr>
        <w:t>我方点对点回复：</w:t>
      </w:r>
      <w:r>
        <w:rPr>
          <w:rFonts w:ascii="PingFang SC" w:hAnsi="PingFang SC" w:eastAsia="PingFang SC"/>
          <w:b w:val="0"/>
          <w:i w:val="0"/>
          <w:color w:val="1E6B3A"/>
          <w:sz w:val="21"/>
        </w:rPr>
      </w:r>
    </w:p>
    <w:p>
      <w:r>
        <w:rPr>
          <w:rFonts w:ascii="PingFang SC" w:hAnsi="PingFang SC" w:eastAsia="PingFang SC"/>
          <w:b w:val="0"/>
          <w:i w:val="0"/>
          <w:color w:val="000000"/>
          <w:sz w:val="21"/>
        </w:rPr>
        <w:t>生产结果独立呈现辨病‘吐酸’和辨证‘脾胃虚弱，湿浊中阻证’，分别绑定 GB/T 15657-2021 与 GB/T 16751.2-2021。每个子病机节点强制包含四个字段；M04 最终签名前再次回绑 M03 的诊断、病机和治法，防止处方阶段重写。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实现位置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验证方式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验收结果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中医引用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test:tcm-diagnostic-citations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病机链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test:stage-contract 382例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呈现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test:presentation-contract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60项通过</w:t>
            </w:r>
          </w:p>
        </w:tc>
      </w:tr>
    </w:tbl>
    <w:p>
      <w:r>
        <w:rPr>
          <w:rFonts w:ascii="PingFang SC" w:hAnsi="PingFang SC" w:eastAsia="PingFang SC"/>
          <w:b/>
          <w:i w:val="0"/>
          <w:color w:val="17324D"/>
          <w:sz w:val="21"/>
        </w:rPr>
        <w:t>整改后实际截图</w:t>
      </w:r>
      <w:r>
        <w:rPr>
          <w:rFonts w:ascii="PingFang SC" w:hAnsi="PingFang SC" w:eastAsia="PingFang SC"/>
          <w:b w:val="0"/>
          <w:i w:val="0"/>
          <w:color w:val="17324D"/>
          <w:sz w:val="21"/>
        </w:rPr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230664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inal-diagnosi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066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1573652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inal-pathogenesi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736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370184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final-therap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018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3.4. 经典方、煎服法与候选阻断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200"/>
            <w:shd w:fill="FFF5E6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20"/>
              </w:rPr>
              <w:t>甲方问题：</w:t>
            </w:r>
            <w:r>
              <w:rPr>
                <w:rFonts w:ascii="PingFang SC" w:hAnsi="PingFang SC" w:eastAsia="PingFang SC"/>
                <w:b w:val="0"/>
                <w:i w:val="0"/>
                <w:color w:val="102A43"/>
                <w:sz w:val="20"/>
              </w:rPr>
              <w:t>经典方优先；麻黄汤加味不能被当作自拟方；补虚方与解表方不能使用同一煎服时长；候选处方不能无解释阻断。</w:t>
            </w:r>
          </w:p>
        </w:tc>
      </w:tr>
    </w:tbl>
    <w:p>
      <w:r>
        <w:rPr>
          <w:rFonts w:ascii="PingFang SC" w:hAnsi="PingFang SC" w:eastAsia="PingFang SC"/>
          <w:b/>
          <w:i w:val="0"/>
          <w:color w:val="17324D"/>
          <w:sz w:val="21"/>
        </w:rPr>
        <w:t>甲方原始反馈截图</w:t>
      </w:r>
      <w:r>
        <w:rPr>
          <w:rFonts w:ascii="PingFang SC" w:hAnsi="PingFang SC" w:eastAsia="PingFang SC"/>
          <w:b w:val="0"/>
          <w:i w:val="0"/>
          <w:color w:val="17324D"/>
          <w:sz w:val="21"/>
        </w:rPr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793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79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793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i w:val="0"/>
          <w:color w:val="1E6B3A"/>
          <w:sz w:val="21"/>
        </w:rPr>
        <w:t>我方点对点回复：</w:t>
      </w:r>
      <w:r>
        <w:rPr>
          <w:rFonts w:ascii="PingFang SC" w:hAnsi="PingFang SC" w:eastAsia="PingFang SC"/>
          <w:b w:val="0"/>
          <w:i w:val="0"/>
          <w:color w:val="1E6B3A"/>
          <w:sz w:val="21"/>
        </w:rPr>
      </w:r>
    </w:p>
    <w:p>
      <w:r>
        <w:rPr>
          <w:rFonts w:ascii="PingFang SC" w:hAnsi="PingFang SC" w:eastAsia="PingFang SC"/>
          <w:b w:val="0"/>
          <w:i w:val="0"/>
          <w:color w:val="000000"/>
          <w:sz w:val="21"/>
        </w:rPr>
        <w:t>M03 锁定经典方方向；M04 必须继承标准组成。实际组成不足时不冒充经典方，而是透明显示为自拟方并说明原锁定方及缺失组成。煎服参数由方剂类别与特殊药味确定性生成；解表、补益、矿物介壳等采用不同配置。M04失败分为可修复、需重跑M03和安全阻断三类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实现位置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验证方式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验收结果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经典方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test:classic-formula-identification + formula-identity-restore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煎服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test:output-quality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4类通过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恢复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test:m04-retry-recovery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通过</w:t>
            </w:r>
          </w:p>
        </w:tc>
      </w:tr>
    </w:tbl>
    <w:p>
      <w:r>
        <w:rPr>
          <w:rFonts w:ascii="PingFang SC" w:hAnsi="PingFang SC" w:eastAsia="PingFang SC"/>
          <w:b/>
          <w:i w:val="0"/>
          <w:color w:val="17324D"/>
          <w:sz w:val="21"/>
        </w:rPr>
        <w:t>整改后实际截图</w:t>
      </w:r>
      <w:r>
        <w:rPr>
          <w:rFonts w:ascii="PingFang SC" w:hAnsi="PingFang SC" w:eastAsia="PingFang SC"/>
          <w:b w:val="0"/>
          <w:i w:val="0"/>
          <w:color w:val="17324D"/>
          <w:sz w:val="21"/>
        </w:rPr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1843548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inal-formul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4354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3.5. 方义解析与内部治理元数据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200"/>
            <w:shd w:fill="FFF5E6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20"/>
              </w:rPr>
              <w:t>甲方问题：</w:t>
            </w:r>
            <w:r>
              <w:rPr>
                <w:rFonts w:ascii="PingFang SC" w:hAnsi="PingFang SC" w:eastAsia="PingFang SC"/>
                <w:b w:val="0"/>
                <w:i w:val="0"/>
                <w:color w:val="102A43"/>
                <w:sz w:val="20"/>
              </w:rPr>
              <w:t>方义要解释君臣佐使、配伍关系、相使相畏与佐制；不能输出原始 Markdown、受控目录组成、方证定位、confirmed 状态或逐味通用功效。</w:t>
            </w:r>
          </w:p>
        </w:tc>
      </w:tr>
    </w:tbl>
    <w:p>
      <w:r>
        <w:rPr>
          <w:rFonts w:ascii="PingFang SC" w:hAnsi="PingFang SC" w:eastAsia="PingFang SC"/>
          <w:b/>
          <w:i w:val="0"/>
          <w:color w:val="17324D"/>
          <w:sz w:val="21"/>
        </w:rPr>
        <w:t>甲方原始反馈截图</w:t>
      </w:r>
      <w:r>
        <w:rPr>
          <w:rFonts w:ascii="PingFang SC" w:hAnsi="PingFang SC" w:eastAsia="PingFang SC"/>
          <w:b w:val="0"/>
          <w:i w:val="0"/>
          <w:color w:val="17324D"/>
          <w:sz w:val="21"/>
        </w:rPr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793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793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i w:val="0"/>
          <w:color w:val="1E6B3A"/>
          <w:sz w:val="21"/>
        </w:rPr>
        <w:t>我方点对点回复：</w:t>
      </w:r>
      <w:r>
        <w:rPr>
          <w:rFonts w:ascii="PingFang SC" w:hAnsi="PingFang SC" w:eastAsia="PingFang SC"/>
          <w:b w:val="0"/>
          <w:i w:val="0"/>
          <w:color w:val="1E6B3A"/>
          <w:sz w:val="21"/>
        </w:rPr>
      </w:r>
    </w:p>
    <w:p>
      <w:r>
        <w:rPr>
          <w:rFonts w:ascii="PingFang SC" w:hAnsi="PingFang SC" w:eastAsia="PingFang SC"/>
          <w:b w:val="0"/>
          <w:i w:val="0"/>
          <w:color w:val="000000"/>
          <w:sz w:val="21"/>
        </w:rPr>
        <w:t>方义改为连续自然段，需覆盖实际药味并明确为君/臣/佐/使及配伍关系；出现非本方药、剂量、Markdown标题/列表或占位语时自动重建。药味表删除‘配伍意义’通用功效列；组成治理、方证判别和未采纳条文线索只留在签名结构/HIS后台，不进入医生正文和下载报告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实现位置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验证方式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验收结果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方义合同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test:client-feedback-20260817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药典功效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test:chp-herb-functions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84味通过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可见输出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test:visible-output-hygiene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通过</w:t>
            </w:r>
          </w:p>
        </w:tc>
      </w:tr>
    </w:tbl>
    <w:p>
      <w:r>
        <w:rPr>
          <w:rFonts w:ascii="PingFang SC" w:hAnsi="PingFang SC" w:eastAsia="PingFang SC"/>
          <w:b/>
          <w:i w:val="0"/>
          <w:color w:val="17324D"/>
          <w:sz w:val="21"/>
        </w:rPr>
        <w:t>整改后实际截图</w:t>
      </w:r>
      <w:r>
        <w:rPr>
          <w:rFonts w:ascii="PingFang SC" w:hAnsi="PingFang SC" w:eastAsia="PingFang SC"/>
          <w:b w:val="0"/>
          <w:i w:val="0"/>
          <w:color w:val="17324D"/>
          <w:sz w:val="21"/>
        </w:rPr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619432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inal-formula-analysi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943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3.6. 中医非药物治疗只呈现核心可执行内容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200"/>
            <w:shd w:fill="FFF5E6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20"/>
              </w:rPr>
              <w:t>甲方问题：</w:t>
            </w:r>
            <w:r>
              <w:rPr>
                <w:rFonts w:ascii="PingFang SC" w:hAnsi="PingFang SC" w:eastAsia="PingFang SC"/>
                <w:b w:val="0"/>
                <w:i w:val="0"/>
                <w:color w:val="102A43"/>
                <w:sz w:val="20"/>
              </w:rPr>
              <w:t>病种模板、政府发布方案、现场医师确认、资质和烫伤风险不是给用户看的；食疗要写具体怎么吃，耳穴/针灸/灸法要给具体穴位和频次。</w:t>
            </w:r>
          </w:p>
        </w:tc>
      </w:tr>
    </w:tbl>
    <w:p>
      <w:r>
        <w:rPr>
          <w:rFonts w:ascii="PingFang SC" w:hAnsi="PingFang SC" w:eastAsia="PingFang SC"/>
          <w:b/>
          <w:i w:val="0"/>
          <w:color w:val="17324D"/>
          <w:sz w:val="21"/>
        </w:rPr>
        <w:t>甲方原始反馈截图</w:t>
      </w:r>
      <w:r>
        <w:rPr>
          <w:rFonts w:ascii="PingFang SC" w:hAnsi="PingFang SC" w:eastAsia="PingFang SC"/>
          <w:b w:val="0"/>
          <w:i w:val="0"/>
          <w:color w:val="17324D"/>
          <w:sz w:val="21"/>
        </w:rPr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793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 w:val="0"/>
          <w:i w:val="0"/>
          <w:color w:val="66788A"/>
          <w:sz w:val="18"/>
        </w:rPr>
        <w:t>原始问题已按甲方补充截图逐字录入；对应截图随原始沟通记录留存，本报告不重复嵌入。</w:t>
      </w:r>
    </w:p>
    <w:p>
      <w:r>
        <w:rPr>
          <w:rFonts w:ascii="PingFang SC" w:hAnsi="PingFang SC" w:eastAsia="PingFang SC"/>
          <w:b/>
          <w:i w:val="0"/>
          <w:color w:val="1E6B3A"/>
          <w:sz w:val="21"/>
        </w:rPr>
        <w:t>我方点对点回复：</w:t>
      </w:r>
      <w:r>
        <w:rPr>
          <w:rFonts w:ascii="PingFang SC" w:hAnsi="PingFang SC" w:eastAsia="PingFang SC"/>
          <w:b w:val="0"/>
          <w:i w:val="0"/>
          <w:color w:val="1E6B3A"/>
          <w:sz w:val="21"/>
        </w:rPr>
      </w:r>
    </w:p>
    <w:p>
      <w:r>
        <w:rPr>
          <w:rFonts w:ascii="PingFang SC" w:hAnsi="PingFang SC" w:eastAsia="PingFang SC"/>
          <w:b w:val="0"/>
          <w:i w:val="0"/>
          <w:color w:val="000000"/>
          <w:sz w:val="21"/>
        </w:rPr>
        <w:t>医生端建立独立投影层：模板状态、来源等级、目录码和‘现场医师确认’等治理套话不上屏；无患者级方案时不展示空卡。具体食物、穴位/耳穴、部位、频次正常展示；感觉障碍、糖尿病足、皮损/烫伤风险等真实禁忌及受训人员要求保留为‘注意事项/实施要求’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实现位置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验证方式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验收结果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医生投影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test:tcm-treatment-clinician-view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适应证绑定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test:treatment-indication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反流浏览器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具体食疗/耳穴/频次/移动端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11/11</w:t>
            </w:r>
          </w:p>
        </w:tc>
      </w:tr>
    </w:tbl>
    <w:p>
      <w:r>
        <w:rPr>
          <w:rFonts w:ascii="PingFang SC" w:hAnsi="PingFang SC" w:eastAsia="PingFang SC"/>
          <w:b/>
          <w:i w:val="0"/>
          <w:color w:val="17324D"/>
          <w:sz w:val="21"/>
        </w:rPr>
        <w:t>整改后实际截图</w:t>
      </w:r>
      <w:r>
        <w:rPr>
          <w:rFonts w:ascii="PingFang SC" w:hAnsi="PingFang SC" w:eastAsia="PingFang SC"/>
          <w:b w:val="0"/>
          <w:i w:val="0"/>
          <w:color w:val="17324D"/>
          <w:sz w:val="21"/>
        </w:rPr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749218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inal-treat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4921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3.7. 老年人群、中成药用法与审方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200"/>
            <w:shd w:fill="FFF5E6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20"/>
              </w:rPr>
              <w:t>甲方问题：</w:t>
            </w:r>
            <w:r>
              <w:rPr>
                <w:rFonts w:ascii="PingFang SC" w:hAnsi="PingFang SC" w:eastAsia="PingFang SC"/>
                <w:b w:val="0"/>
                <w:i w:val="0"/>
                <w:color w:val="102A43"/>
                <w:sz w:val="20"/>
              </w:rPr>
              <w:t>78岁女性不应提示妊娠哺乳；中成药不能显示‘本候选不形成疗程医嘱’或‘联用/替代关系’，说明书有什么显示什么；审方不能一直显示未完成。</w:t>
            </w:r>
          </w:p>
        </w:tc>
      </w:tr>
    </w:tbl>
    <w:p>
      <w:r>
        <w:rPr>
          <w:rFonts w:ascii="PingFang SC" w:hAnsi="PingFang SC" w:eastAsia="PingFang SC"/>
          <w:b/>
          <w:i w:val="0"/>
          <w:color w:val="17324D"/>
          <w:sz w:val="21"/>
        </w:rPr>
        <w:t>甲方原始反馈截图</w:t>
      </w:r>
      <w:r>
        <w:rPr>
          <w:rFonts w:ascii="PingFang SC" w:hAnsi="PingFang SC" w:eastAsia="PingFang SC"/>
          <w:b w:val="0"/>
          <w:i w:val="0"/>
          <w:color w:val="17324D"/>
          <w:sz w:val="21"/>
        </w:rPr>
      </w:r>
    </w:p>
    <w:p>
      <w:r>
        <w:rPr>
          <w:rFonts w:ascii="PingFang SC" w:hAnsi="PingFang SC" w:eastAsia="PingFang SC"/>
          <w:b w:val="0"/>
          <w:i w:val="0"/>
          <w:color w:val="66788A"/>
          <w:sz w:val="18"/>
        </w:rPr>
        <w:t>原始问题已按甲方补充截图逐字录入；对应截图随原始沟通记录留存，本报告不重复嵌入。</w:t>
      </w:r>
    </w:p>
    <w:p>
      <w:r>
        <w:rPr>
          <w:rFonts w:ascii="PingFang SC" w:hAnsi="PingFang SC" w:eastAsia="PingFang SC"/>
          <w:b/>
          <w:i w:val="0"/>
          <w:color w:val="1E6B3A"/>
          <w:sz w:val="21"/>
        </w:rPr>
        <w:t>我方点对点回复：</w:t>
      </w:r>
      <w:r>
        <w:rPr>
          <w:rFonts w:ascii="PingFang SC" w:hAnsi="PingFang SC" w:eastAsia="PingFang SC"/>
          <w:b w:val="0"/>
          <w:i w:val="0"/>
          <w:color w:val="1E6B3A"/>
          <w:sz w:val="21"/>
        </w:rPr>
      </w:r>
    </w:p>
    <w:p>
      <w:r>
        <w:rPr>
          <w:rFonts w:ascii="PingFang SC" w:hAnsi="PingFang SC" w:eastAsia="PingFang SC"/>
          <w:b w:val="0"/>
          <w:i w:val="0"/>
          <w:color w:val="000000"/>
          <w:sz w:val="21"/>
        </w:rPr>
        <w:t>患者相关风险过滤覆盖浏览器、API、下载报告和M05。混合条款只删除不适用的生殖人群，肝肾功能不全、儿童、年老体弱等同句信息继续保留。中成药用法只展示同一说明书条目中的原文绑定字段；给药途径覆盖从2737/3905提升到3488/3905。无证据药物间隔、‘正常调整反应’和自行减停药作文已封堵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实现位置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验证方式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验收结果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人群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test:patient-relevant-medication-risk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用法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test:medication-label-usage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17例通过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最终浏览器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用药作文卫生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通过</w:t>
            </w:r>
          </w:p>
        </w:tc>
      </w:tr>
    </w:tbl>
    <w:p>
      <w:r>
        <w:rPr>
          <w:rFonts w:ascii="PingFang SC" w:hAnsi="PingFang SC" w:eastAsia="PingFang SC"/>
          <w:b/>
          <w:i w:val="0"/>
          <w:color w:val="17324D"/>
          <w:sz w:val="21"/>
        </w:rPr>
        <w:t>整改后实际截图</w:t>
      </w:r>
      <w:r>
        <w:rPr>
          <w:rFonts w:ascii="PingFang SC" w:hAnsi="PingFang SC" w:eastAsia="PingFang SC"/>
          <w:b w:val="0"/>
          <w:i w:val="0"/>
          <w:color w:val="17324D"/>
          <w:sz w:val="21"/>
        </w:rPr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1135625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final-followu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3562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3.8. 多客户药品库、固定鉴权与审方身份域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rPr>
          <w:cantSplit w:val="true"/>
        </w:trPr>
        <w:tc>
          <w:tcPr>
            <w:tcW w:type="dxa" w:w="10200"/>
            <w:shd w:fill="FFF5E6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20"/>
              </w:rPr>
              <w:t>甲方问题：</w:t>
            </w:r>
            <w:r>
              <w:rPr>
                <w:rFonts w:ascii="PingFang SC" w:hAnsi="PingFang SC" w:eastAsia="PingFang SC"/>
                <w:b w:val="0"/>
                <w:i w:val="0"/>
                <w:color w:val="102A43"/>
                <w:sz w:val="20"/>
              </w:rPr>
              <w:t>每个客户的药品库独立，M04 等推药接口要携带客户标识；所有甲方接口继续使用既定固定 token；不能把客户标识误当成第三方审方租户。</w:t>
            </w:r>
          </w:p>
        </w:tc>
      </w:tr>
    </w:tbl>
    <w:p>
      <w:r>
        <w:rPr>
          <w:rFonts w:ascii="PingFang SC" w:hAnsi="PingFang SC" w:eastAsia="PingFang SC"/>
          <w:b/>
          <w:i w:val="0"/>
          <w:color w:val="17324D"/>
          <w:sz w:val="21"/>
        </w:rPr>
        <w:t>甲方原始反馈截图</w:t>
      </w:r>
      <w:r>
        <w:rPr>
          <w:rFonts w:ascii="PingFang SC" w:hAnsi="PingFang SC" w:eastAsia="PingFang SC"/>
          <w:b w:val="0"/>
          <w:i w:val="0"/>
          <w:color w:val="17324D"/>
          <w:sz w:val="21"/>
        </w:rPr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905793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057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i w:val="0"/>
          <w:color w:val="1E6B3A"/>
          <w:sz w:val="21"/>
        </w:rPr>
        <w:t>我方点对点回复：</w:t>
      </w:r>
      <w:r>
        <w:rPr>
          <w:rFonts w:ascii="PingFang SC" w:hAnsi="PingFang SC" w:eastAsia="PingFang SC"/>
          <w:b w:val="0"/>
          <w:i w:val="0"/>
          <w:color w:val="1E6B3A"/>
          <w:sz w:val="21"/>
        </w:rPr>
      </w:r>
    </w:p>
    <w:p>
      <w:r>
        <w:rPr>
          <w:rFonts w:ascii="PingFang SC" w:hAnsi="PingFang SC" w:eastAsia="PingFang SC"/>
          <w:b w:val="0"/>
          <w:i w:val="0"/>
          <w:color w:val="000000"/>
          <w:sz w:val="21"/>
        </w:rPr>
        <w:t>12条临床路由统一客户上下文；签名 cookie 与请求头不一致时返回409，不能静默切租户。客户标识进入库存、病例签名、快照AAD、HIS和限流；未导入库存保持unknown而不是清空候选。新快照写v2并绑定客户，v1只在v1分支迁移。固定 token 只存在运行时秘密配置，版本升级未改变。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实现位置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验证方式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7"/>
              </w:rPr>
              <w:t>验收结果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客户上下文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test:customer-context + customer-route-propagation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库存隔离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test:multitenant-drug-inventory + customer-medicine-candidates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快照/限流</w:t>
            </w:r>
          </w:p>
        </w:tc>
        <w:tc>
          <w:tcPr>
            <w:tcW w:type="dxa" w:w="39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snapshot-auth-binding + model-rate-limit</w:t>
            </w:r>
          </w:p>
        </w:tc>
        <w:tc>
          <w:tcPr>
            <w:tcW w:type="dxa" w:w="36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7"/>
              </w:rPr>
              <w:t>通过</w:t>
            </w:r>
          </w:p>
        </w:tc>
      </w:tr>
    </w:tbl>
    <w:p>
      <w:r>
        <w:rPr>
          <w:rFonts w:ascii="PingFang SC" w:hAnsi="PingFang SC" w:eastAsia="PingFang SC"/>
          <w:b/>
          <w:i w:val="0"/>
          <w:color w:val="17324D"/>
          <w:sz w:val="21"/>
        </w:rPr>
        <w:t>整改后实际截图</w:t>
      </w:r>
      <w:r>
        <w:rPr>
          <w:rFonts w:ascii="PingFang SC" w:hAnsi="PingFang SC" w:eastAsia="PingFang SC"/>
          <w:b w:val="0"/>
          <w:i w:val="0"/>
          <w:color w:val="17324D"/>
          <w:sz w:val="21"/>
        </w:rPr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6400800" cy="42005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inal-full-p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005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全面代码与架构复核结论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2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8"/>
              </w:rPr>
              <w:t>复核维度</w:t>
            </w:r>
          </w:p>
        </w:tc>
        <w:tc>
          <w:tcPr>
            <w:tcW w:type="dxa" w:w="8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8"/>
              </w:rPr>
              <w:t>结论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请求边界</w:t>
            </w:r>
          </w:p>
        </w:tc>
        <w:tc>
          <w:tcPr>
            <w:tcW w:type="dxa" w:w="8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12条临床/审方/HIS/快照/库存路由统一客户上下文；proxy覆盖全部API。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临床阶段所有权</w:t>
            </w:r>
          </w:p>
        </w:tc>
        <w:tc>
          <w:tcPr>
            <w:tcW w:type="dxa" w:w="8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M03诊断、辨病辨证、病机、治法签名后冻结；M04只新增处方与调护。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证据域</w:t>
            </w:r>
          </w:p>
        </w:tc>
        <w:tc>
          <w:tcPr>
            <w:tcW w:type="dxa" w:w="8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西医指南与中医标准分域；扩展病名不得冒领国标；跨阶段ID不重绑定。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可见输出</w:t>
            </w:r>
          </w:p>
        </w:tc>
        <w:tc>
          <w:tcPr>
            <w:tcW w:type="dxa" w:w="8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内部治理字段保留在结构化后台，医生页面/Markdown/HIS医生可见端统一投影。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安全与审方</w:t>
            </w:r>
          </w:p>
        </w:tc>
        <w:tc>
          <w:tcPr>
            <w:tcW w:type="dxa" w:w="8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确定性红旗/剂量/配伍不交给模型；供应商不可用fail-closed，成功结果有auditId/traceId。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性能/流式</w:t>
            </w:r>
          </w:p>
        </w:tc>
        <w:tc>
          <w:tcPr>
            <w:tcW w:type="dxa" w:w="8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结构化阶段受容量门控制；非临床状态帧逐模块反馈；容量1场景按顺序回归，避免把排队时间误判成病例失败。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依赖安全</w:t>
            </w:r>
          </w:p>
        </w:tc>
        <w:tc>
          <w:tcPr>
            <w:tcW w:type="dxa" w:w="8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nanoid 3.3.18；npm audit --omit=dev 为0漏洞。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维护性</w:t>
            </w:r>
          </w:p>
        </w:tc>
        <w:tc>
          <w:tcPr>
            <w:tcW w:type="dxa" w:w="8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DiagnosisClient仍属超大组件，已通过共享投影与测试约束防分叉；后续可拆分但本轮不做高风险大重构。</w:t>
            </w:r>
          </w:p>
        </w:tc>
      </w:tr>
    </w:tbl>
    <w:p>
      <w:pPr>
        <w:pStyle w:val="Heading1"/>
      </w:pPr>
      <w:r>
        <w:t>5. 测试、部署与全量病例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2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8"/>
              </w:rPr>
              <w:t>验证层</w:t>
            </w:r>
          </w:p>
        </w:tc>
        <w:tc>
          <w:tcPr>
            <w:tcW w:type="dxa" w:w="6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8"/>
              </w:rPr>
              <w:t>证据</w:t>
            </w:r>
          </w:p>
        </w:tc>
        <w:tc>
          <w:tcPr>
            <w:tcW w:type="dxa" w:w="2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  <w:shd w:fill="E5EFF8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/>
                <w:i w:val="0"/>
                <w:color w:val="102A43"/>
                <w:sz w:val="18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生产代码</w:t>
            </w:r>
          </w:p>
        </w:tc>
        <w:tc>
          <w:tcPr>
            <w:tcW w:type="dxa" w:w="6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commit / sourceDigest / immutable image</w:t>
            </w:r>
          </w:p>
        </w:tc>
        <w:tc>
          <w:tcPr>
            <w:tcW w:type="dxa" w:w="2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5caf3ef9 / d630e5c5 / 20260820-5caf3ef9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发布总闸</w:t>
            </w:r>
          </w:p>
        </w:tc>
        <w:tc>
          <w:tcPr>
            <w:tcW w:type="dxa" w:w="6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typecheck + lint + deterministic + fresh + build</w:t>
            </w:r>
          </w:p>
        </w:tc>
        <w:tc>
          <w:tcPr>
            <w:tcW w:type="dxa" w:w="2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依赖审计</w:t>
            </w:r>
          </w:p>
        </w:tc>
        <w:tc>
          <w:tcPr>
            <w:tcW w:type="dxa" w:w="6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npm audit --omit=dev --audit-level=high</w:t>
            </w:r>
          </w:p>
        </w:tc>
        <w:tc>
          <w:tcPr>
            <w:tcW w:type="dxa" w:w="2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0 vulnerabilities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生产健康</w:t>
            </w:r>
          </w:p>
        </w:tc>
        <w:tc>
          <w:tcPr>
            <w:tcW w:type="dxa" w:w="6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strictReady / degradedReasons / model probe / non-root</w:t>
            </w:r>
          </w:p>
        </w:tc>
        <w:tc>
          <w:tcPr>
            <w:tcW w:type="dxa" w:w="2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true / [] / 200 / uid1001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生产鉴权</w:t>
            </w:r>
          </w:p>
        </w:tc>
        <w:tc>
          <w:tcPr>
            <w:tcW w:type="dxa" w:w="6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无token、错token、正确token、登录cookie、路径与CSRF</w:t>
            </w:r>
          </w:p>
        </w:tc>
        <w:tc>
          <w:tcPr>
            <w:tcW w:type="dxa" w:w="2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17/17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78岁反酸</w:t>
            </w:r>
          </w:p>
        </w:tc>
        <w:tc>
          <w:tcPr>
            <w:tcW w:type="dxa" w:w="6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M03/M04 + ICD + 非药物 + 老年/用药卫生 + 移动端</w:t>
            </w:r>
          </w:p>
        </w:tc>
        <w:tc>
          <w:tcPr>
            <w:tcW w:type="dxa" w:w="2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11/11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指定生产病例</w:t>
            </w:r>
          </w:p>
        </w:tc>
        <w:tc>
          <w:tcPr>
            <w:tcW w:type="dxa" w:w="6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总数5；通过5；失败0；harnessErrors=0</w:t>
            </w:r>
          </w:p>
        </w:tc>
        <w:tc>
          <w:tcPr>
            <w:tcW w:type="dxa" w:w="2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通过</w:t>
            </w:r>
          </w:p>
        </w:tc>
      </w:tr>
      <w:tr>
        <w:trPr>
          <w:cantSplit w:val="true"/>
        </w:trPr>
        <w:tc>
          <w:tcPr>
            <w:tcW w:type="dxa" w:w="22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77例全量</w:t>
            </w:r>
          </w:p>
        </w:tc>
        <w:tc>
          <w:tcPr>
            <w:tcW w:type="dxa" w:w="6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用户明确停止剩余批跑；历史批次在46/77停止，本轮未恢复</w:t>
            </w:r>
          </w:p>
        </w:tc>
        <w:tc>
          <w:tcPr>
            <w:tcW w:type="dxa" w:w="2000"/>
            <w:tcBorders>
              <w:top w:val="single" w:sz="4" w:color="D5DEE8"/>
              <w:left w:val="single" w:sz="4" w:color="D5DEE8"/>
              <w:bottom w:val="single" w:sz="4" w:color="D5DEE8"/>
              <w:right w:val="single" w:sz="4" w:color="D5DEE8"/>
            </w:tcBorders>
            <w:vAlign w:val="center"/>
          </w:tcPr>
          <w:p>
            <w:pPr>
              <w:spacing w:after="40" w:line="252" w:lineRule="auto"/>
            </w:pPr>
            <w:r>
              <w:rPr>
                <w:rFonts w:ascii="PingFang SC" w:hAnsi="PingFang SC" w:eastAsia="PingFang SC"/>
                <w:b w:val="0"/>
                <w:i w:val="0"/>
                <w:color w:val="102A43"/>
                <w:sz w:val="18"/>
              </w:rPr>
              <w:t>如实披露：未完成</w:t>
            </w:r>
          </w:p>
        </w:tc>
      </w:tr>
    </w:tbl>
    <w:p>
      <w:pPr>
        <w:pStyle w:val="Heading1"/>
      </w:pPr>
      <w:r>
        <w:t>6. 透明披露：运行中发现并修复的问题</w:t>
      </w:r>
    </w:p>
    <w:p>
      <w:pPr>
        <w:pStyle w:val="ListBullet"/>
        <w:ind w:left="504" w:hanging="259"/>
      </w:pPr>
      <w:r>
        <w:rPr>
          <w:rFonts w:ascii="PingFang SC" w:hAnsi="PingFang SC" w:eastAsia="PingFang SC"/>
          <w:b w:val="0"/>
          <w:i w:val="0"/>
          <w:color w:val="000000"/>
          <w:sz w:val="20"/>
        </w:rPr>
        <w:t>审方全量 rxaudit_http_401：根因是客户标识覆盖供应商授权租户；已拆分身份域并通过正向审方。</w:t>
      </w:r>
    </w:p>
    <w:p>
      <w:pPr>
        <w:pStyle w:val="ListBullet"/>
        <w:ind w:left="504" w:hanging="259"/>
      </w:pPr>
      <w:r>
        <w:rPr>
          <w:rFonts w:ascii="PingFang SC" w:hAnsi="PingFang SC" w:eastAsia="PingFang SC"/>
          <w:b w:val="0"/>
          <w:i w:val="0"/>
          <w:color w:val="000000"/>
          <w:sz w:val="20"/>
        </w:rPr>
        <w:t>西医反酸错引中医嗳气共识：已改为同诊断域筛选，并固化 ACG GERD 指南。</w:t>
      </w:r>
    </w:p>
    <w:p>
      <w:pPr>
        <w:pStyle w:val="ListBullet"/>
        <w:ind w:left="504" w:hanging="259"/>
      </w:pPr>
      <w:r>
        <w:rPr>
          <w:rFonts w:ascii="PingFang SC" w:hAnsi="PingFang SC" w:eastAsia="PingFang SC"/>
          <w:b w:val="0"/>
          <w:i w:val="0"/>
          <w:color w:val="000000"/>
          <w:sz w:val="20"/>
        </w:rPr>
        <w:t>M03 文献在 M04 被同号条目改绑：已将 M03 临床字段冻结为只读签名输入。</w:t>
      </w:r>
    </w:p>
    <w:p>
      <w:pPr>
        <w:pStyle w:val="ListBullet"/>
        <w:ind w:left="504" w:hanging="259"/>
      </w:pPr>
      <w:r>
        <w:rPr>
          <w:rFonts w:ascii="PingFang SC" w:hAnsi="PingFang SC" w:eastAsia="PingFang SC"/>
          <w:b w:val="0"/>
          <w:i w:val="0"/>
          <w:color w:val="000000"/>
          <w:sz w:val="20"/>
        </w:rPr>
        <w:t>参苓白术散与复合证候误报寒热/虚实冲突：复合证候分段合并轴，寒热警示要求显式寒热词二次确认。</w:t>
      </w:r>
    </w:p>
    <w:p>
      <w:pPr>
        <w:pStyle w:val="ListBullet"/>
        <w:ind w:left="504" w:hanging="259"/>
      </w:pPr>
      <w:r>
        <w:rPr>
          <w:rFonts w:ascii="PingFang SC" w:hAnsi="PingFang SC" w:eastAsia="PingFang SC"/>
          <w:b w:val="0"/>
          <w:i w:val="0"/>
          <w:color w:val="000000"/>
          <w:sz w:val="20"/>
        </w:rPr>
        <w:t>医生页面已过滤但下载/API仍泄漏老年妊娠条款：处方路由最后出口补传病例状态。</w:t>
      </w:r>
    </w:p>
    <w:p>
      <w:pPr>
        <w:pStyle w:val="ListBullet"/>
        <w:ind w:left="504" w:hanging="259"/>
      </w:pPr>
      <w:r>
        <w:rPr>
          <w:rFonts w:ascii="PingFang SC" w:hAnsi="PingFang SC" w:eastAsia="PingFang SC"/>
          <w:b w:val="0"/>
          <w:i w:val="0"/>
          <w:color w:val="000000"/>
          <w:sz w:val="20"/>
        </w:rPr>
        <w:t>并发3跑指定病例时3例M04因容量排队耗尽编排时限；按生产容量并发1顺序重跑后3/3通过，故未把排队压测误当临床逻辑缺陷。</w:t>
      </w:r>
    </w:p>
    <w:p>
      <w:pPr>
        <w:pStyle w:val="ListBullet"/>
        <w:ind w:left="504" w:hanging="259"/>
      </w:pPr>
      <w:r>
        <w:rPr>
          <w:rFonts w:ascii="PingFang SC" w:hAnsi="PingFang SC" w:eastAsia="PingFang SC"/>
          <w:b w:val="0"/>
          <w:i w:val="0"/>
          <w:color w:val="000000"/>
          <w:sz w:val="20"/>
        </w:rPr>
        <w:t>最终浏览器复核发现无证据‘药物间隔/气机调整反应/减量暂停’作文；补充类级过滤后普通态与fresh态166/166再次通过，最终浏览器11/11通过。</w:t>
      </w:r>
    </w:p>
    <w:p>
      <w:pPr>
        <w:pStyle w:val="Heading1"/>
      </w:pPr>
      <w:r>
        <w:t>7. 交付物索引</w:t>
      </w:r>
    </w:p>
    <w:p>
      <w:pPr>
        <w:pStyle w:val="ListBullet"/>
        <w:ind w:left="504" w:hanging="259"/>
      </w:pPr>
      <w:r>
        <w:rPr>
          <w:rFonts w:ascii="PingFang SC" w:hAnsi="PingFang SC" w:eastAsia="PingFang SC"/>
          <w:b w:val="0"/>
          <w:i w:val="0"/>
          <w:color w:val="000000"/>
          <w:sz w:val="20"/>
        </w:rPr>
        <w:t>docs/客户评测原件/灵犀中医CDSS-甲方问题逐项整改与全面复核报告-20260820.docx</w:t>
      </w:r>
    </w:p>
    <w:p>
      <w:pPr>
        <w:pStyle w:val="ListBullet"/>
        <w:ind w:left="504" w:hanging="259"/>
      </w:pPr>
      <w:r>
        <w:rPr>
          <w:rFonts w:ascii="PingFang SC" w:hAnsi="PingFang SC" w:eastAsia="PingFang SC"/>
          <w:b w:val="0"/>
          <w:i w:val="0"/>
          <w:color w:val="000000"/>
          <w:sz w:val="20"/>
        </w:rPr>
        <w:t>artifacts/remediation-targeted-production-final-20260820/summary.json（本次执行留档）</w:t>
      </w:r>
    </w:p>
    <w:p>
      <w:pPr>
        <w:pStyle w:val="ListBullet"/>
        <w:ind w:left="504" w:hanging="259"/>
      </w:pPr>
      <w:r>
        <w:rPr>
          <w:rFonts w:ascii="PingFang SC" w:hAnsi="PingFang SC" w:eastAsia="PingFang SC"/>
          <w:b w:val="0"/>
          <w:i w:val="0"/>
          <w:color w:val="000000"/>
          <w:sz w:val="20"/>
        </w:rPr>
        <w:t>artifacts/remediation-production-20260820/reflux-browser-final2/result.json（浏览器验收留档）</w:t>
      </w:r>
    </w:p>
    <w:p>
      <w:pPr>
        <w:pStyle w:val="ListBullet"/>
        <w:ind w:left="504" w:hanging="259"/>
      </w:pPr>
      <w:r>
        <w:rPr>
          <w:rFonts w:ascii="PingFang SC" w:hAnsi="PingFang SC" w:eastAsia="PingFang SC"/>
          <w:b w:val="0"/>
          <w:i w:val="0"/>
          <w:color w:val="000000"/>
          <w:sz w:val="20"/>
        </w:rPr>
        <w:t>artifacts/client-proof-5caf3ef9/browser-result.json（截图检查留档）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PingFang SC" w:hAnsi="PingFang SC" w:eastAsia="PingFang SC"/>
        <w:b w:val="0"/>
        <w:i w:val="0"/>
        <w:color w:val="66788A"/>
        <w:sz w:val="17"/>
      </w:rPr>
      <w:t>客户交付材料｜2026-08-20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PingFang SC" w:hAnsi="PingFang SC" w:eastAsia="PingFang SC"/>
        <w:b w:val="0"/>
        <w:i w:val="0"/>
        <w:color w:val="66788A"/>
        <w:sz w:val="17"/>
      </w:rPr>
      <w:t>灵犀中医 CDSS｜甲方逐项整改与全面复核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