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B65" w:rsidRPr="00FA4267" w:rsidRDefault="00911B65" w:rsidP="00911B65">
      <w:r>
        <w:rPr>
          <w:noProof/>
        </w:rPr>
        <w:drawing>
          <wp:anchor distT="0" distB="0" distL="0" distR="0" simplePos="0" relativeHeight="251659264" behindDoc="0" locked="0" layoutInCell="1" allowOverlap="1" wp14:anchorId="551DCC18" wp14:editId="732BA1F6">
            <wp:simplePos x="0" y="0"/>
            <wp:positionH relativeFrom="column">
              <wp:posOffset>28575</wp:posOffset>
            </wp:positionH>
            <wp:positionV relativeFrom="paragraph">
              <wp:posOffset>-396875</wp:posOffset>
            </wp:positionV>
            <wp:extent cx="2284095" cy="1515745"/>
            <wp:effectExtent l="0" t="0" r="1905" b="8255"/>
            <wp:wrapNone/>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8">
                      <a:extLst>
                        <a:ext uri="{28A0092B-C50C-407E-A947-70E740481C1C}">
                          <a14:useLocalDpi xmlns:a14="http://schemas.microsoft.com/office/drawing/2010/main" val="0"/>
                        </a:ext>
                      </a:extLst>
                    </a:blip>
                    <a:srcRect l="-79" t="-119" r="-79" b="-119"/>
                    <a:stretch>
                      <a:fillRect/>
                    </a:stretch>
                  </pic:blipFill>
                  <pic:spPr bwMode="auto">
                    <a:xfrm>
                      <a:off x="0" y="0"/>
                      <a:ext cx="2284095" cy="1515745"/>
                    </a:xfrm>
                    <a:prstGeom prst="rect">
                      <a:avLst/>
                    </a:prstGeom>
                    <a:noFill/>
                  </pic:spPr>
                </pic:pic>
              </a:graphicData>
            </a:graphic>
            <wp14:sizeRelH relativeFrom="page">
              <wp14:pctWidth>0</wp14:pctWidth>
            </wp14:sizeRelH>
            <wp14:sizeRelV relativeFrom="page">
              <wp14:pctHeight>0</wp14:pctHeight>
            </wp14:sizeRelV>
          </wp:anchor>
        </w:drawing>
      </w:r>
      <w:r w:rsidRPr="00FA4267">
        <w:t xml:space="preserve"> </w:t>
      </w:r>
    </w:p>
    <w:p w:rsidR="00911B65" w:rsidRDefault="00911B65" w:rsidP="00911B65"/>
    <w:p w:rsidR="00911B65" w:rsidRDefault="00911B65" w:rsidP="00911B65"/>
    <w:p w:rsidR="00911B65" w:rsidRDefault="00911B65" w:rsidP="00911B65"/>
    <w:p w:rsidR="00911B65" w:rsidRDefault="00911B65" w:rsidP="00911B65"/>
    <w:p w:rsidR="00911B65" w:rsidRPr="00FA4267" w:rsidRDefault="00911B65" w:rsidP="00911B65"/>
    <w:p w:rsidR="00911B65" w:rsidRPr="00FA4267" w:rsidRDefault="00911B65" w:rsidP="00911B65"/>
    <w:p w:rsidR="00911B65" w:rsidRPr="00FA4267" w:rsidRDefault="00911B65" w:rsidP="00911B65"/>
    <w:p w:rsidR="00911B65" w:rsidRPr="000900C0" w:rsidRDefault="00911B65" w:rsidP="00911B65">
      <w:pPr>
        <w:tabs>
          <w:tab w:val="left" w:pos="1644"/>
        </w:tabs>
        <w:rPr>
          <w:rFonts w:ascii="Tahoma" w:hAnsi="Tahoma" w:cs="Tahoma"/>
          <w:b/>
          <w:bCs/>
          <w:sz w:val="32"/>
        </w:rPr>
      </w:pPr>
      <w:r w:rsidRPr="00FA4267">
        <w:rPr>
          <w:rFonts w:ascii="Tahoma" w:hAnsi="Tahoma" w:cs="Tahoma"/>
          <w:b/>
          <w:bCs/>
          <w:sz w:val="32"/>
        </w:rPr>
        <w:t>International Developers Inc.</w:t>
      </w:r>
    </w:p>
    <w:p w:rsidR="00911B65" w:rsidRPr="00FA4267" w:rsidRDefault="00911B65" w:rsidP="00911B65">
      <w:pPr>
        <w:rPr>
          <w:rFonts w:ascii="Tahoma" w:hAnsi="Tahoma" w:cs="Tahoma"/>
          <w:sz w:val="18"/>
        </w:rPr>
      </w:pPr>
    </w:p>
    <w:p w:rsidR="00911B65" w:rsidRPr="00FA4267" w:rsidRDefault="00911B65" w:rsidP="00911B65">
      <w:pPr>
        <w:pStyle w:val="Header"/>
        <w:pBdr>
          <w:bottom w:val="nil"/>
        </w:pBdr>
        <w:tabs>
          <w:tab w:val="clear" w:pos="4680"/>
          <w:tab w:val="clear" w:pos="9360"/>
        </w:tabs>
        <w:rPr>
          <w:rFonts w:ascii="Tahoma" w:hAnsi="Tahoma" w:cs="Tahoma"/>
          <w:szCs w:val="24"/>
        </w:rPr>
      </w:pPr>
    </w:p>
    <w:p w:rsidR="00911B65" w:rsidRPr="00C86116" w:rsidRDefault="00911B65" w:rsidP="00911B65">
      <w:pPr>
        <w:rPr>
          <w:rFonts w:ascii="Tahoma" w:hAnsi="Tahoma" w:cs="Tahoma"/>
          <w:b/>
          <w:bCs/>
          <w:sz w:val="40"/>
        </w:rPr>
      </w:pPr>
      <w:bookmarkStart w:id="0" w:name="_Hlk229657350"/>
      <w:r w:rsidRPr="00FA4267">
        <w:rPr>
          <w:rFonts w:ascii="Tahoma" w:hAnsi="Tahoma" w:cs="Tahoma"/>
          <w:b/>
          <w:bCs/>
          <w:sz w:val="40"/>
        </w:rPr>
        <w:t>EMS Inbound HL7 Interface Specification</w:t>
      </w:r>
      <w:bookmarkEnd w:id="0"/>
    </w:p>
    <w:p w:rsidR="00911B65" w:rsidRPr="00FA4267" w:rsidRDefault="00911B65" w:rsidP="00911B65">
      <w:pPr>
        <w:rPr>
          <w:rFonts w:ascii="Tahoma" w:hAnsi="Tahoma" w:cs="Tahoma"/>
          <w:sz w:val="28"/>
        </w:rPr>
      </w:pPr>
      <w:r w:rsidRPr="00FA4267">
        <w:rPr>
          <w:rFonts w:ascii="Tahoma" w:hAnsi="Tahoma" w:cs="Tahoma"/>
          <w:sz w:val="36"/>
        </w:rPr>
        <w:t>Standard Configuration</w:t>
      </w:r>
    </w:p>
    <w:p w:rsidR="00911B65" w:rsidRPr="00FA4267" w:rsidRDefault="00911B65" w:rsidP="00911B65">
      <w:pPr>
        <w:rPr>
          <w:rFonts w:ascii="Tahoma" w:hAnsi="Tahoma" w:cs="Tahoma"/>
          <w:sz w:val="18"/>
        </w:rPr>
      </w:pPr>
      <w:r>
        <w:rPr>
          <w:rFonts w:ascii="Tahoma" w:hAnsi="Tahoma" w:cs="Tahoma"/>
          <w:sz w:val="28"/>
        </w:rPr>
        <w:t>Based on HL7 2.3</w:t>
      </w:r>
      <w:r w:rsidRPr="00FA4267">
        <w:rPr>
          <w:rFonts w:ascii="Tahoma" w:hAnsi="Tahoma" w:cs="Tahoma"/>
          <w:sz w:val="28"/>
        </w:rPr>
        <w:t xml:space="preserve"> Standard</w:t>
      </w:r>
    </w:p>
    <w:p w:rsidR="00911B65" w:rsidRPr="00FA4267" w:rsidRDefault="00911B65" w:rsidP="00911B65">
      <w:pPr>
        <w:rPr>
          <w:rFonts w:ascii="Tahoma" w:hAnsi="Tahoma" w:cs="Tahoma"/>
          <w:sz w:val="18"/>
        </w:rPr>
      </w:pPr>
    </w:p>
    <w:p w:rsidR="00911B65" w:rsidRPr="00FA4267" w:rsidRDefault="00911B65" w:rsidP="00911B65">
      <w:pPr>
        <w:rPr>
          <w:rFonts w:ascii="Tahoma" w:hAnsi="Tahoma" w:cs="Tahoma"/>
          <w:sz w:val="18"/>
        </w:rPr>
      </w:pPr>
    </w:p>
    <w:p w:rsidR="00911B65" w:rsidRDefault="00911B65" w:rsidP="00911B65">
      <w:pPr>
        <w:rPr>
          <w:rFonts w:ascii="Tahoma" w:hAnsi="Tahoma" w:cs="Tahoma"/>
          <w:sz w:val="28"/>
        </w:rPr>
      </w:pPr>
      <w:r w:rsidRPr="00FA4267">
        <w:rPr>
          <w:rFonts w:ascii="Tahoma" w:hAnsi="Tahoma" w:cs="Tahoma"/>
          <w:sz w:val="28"/>
        </w:rPr>
        <w:t>Version 1.</w:t>
      </w:r>
      <w:r>
        <w:rPr>
          <w:rFonts w:ascii="Tahoma" w:hAnsi="Tahoma" w:cs="Tahoma"/>
          <w:sz w:val="28"/>
        </w:rPr>
        <w:t xml:space="preserve">0 </w:t>
      </w:r>
    </w:p>
    <w:p w:rsidR="00911B65" w:rsidRDefault="00911B65" w:rsidP="00911B65">
      <w:pPr>
        <w:rPr>
          <w:rFonts w:ascii="Tahoma" w:hAnsi="Tahoma" w:cs="Tahoma"/>
          <w:sz w:val="28"/>
        </w:rPr>
      </w:pPr>
    </w:p>
    <w:p w:rsidR="00911B65" w:rsidRDefault="00911B65" w:rsidP="00911B65">
      <w:pPr>
        <w:rPr>
          <w:rFonts w:ascii="Tahoma" w:hAnsi="Tahoma" w:cs="Tahoma"/>
          <w:sz w:val="28"/>
        </w:rPr>
      </w:pPr>
    </w:p>
    <w:p w:rsidR="00911B65" w:rsidRDefault="00911B65" w:rsidP="00911B65">
      <w:pPr>
        <w:rPr>
          <w:rFonts w:ascii="Tahoma" w:hAnsi="Tahoma" w:cs="Tahoma"/>
          <w:sz w:val="28"/>
        </w:rPr>
      </w:pPr>
    </w:p>
    <w:p w:rsidR="00911B65" w:rsidRDefault="00911B65" w:rsidP="00911B65">
      <w:pPr>
        <w:rPr>
          <w:rFonts w:ascii="Tahoma" w:hAnsi="Tahoma" w:cs="Tahoma"/>
          <w:sz w:val="28"/>
        </w:rPr>
      </w:pPr>
    </w:p>
    <w:p w:rsidR="00911B65" w:rsidRDefault="00911B65" w:rsidP="00911B65">
      <w:pPr>
        <w:rPr>
          <w:rFonts w:ascii="Tahoma" w:hAnsi="Tahoma" w:cs="Tahoma"/>
          <w:sz w:val="28"/>
        </w:rPr>
      </w:pPr>
    </w:p>
    <w:p w:rsidR="00911B65" w:rsidRDefault="00911B65" w:rsidP="00911B65">
      <w:pPr>
        <w:rPr>
          <w:rFonts w:ascii="Tahoma" w:hAnsi="Tahoma" w:cs="Tahoma"/>
          <w:sz w:val="28"/>
        </w:rPr>
      </w:pPr>
    </w:p>
    <w:p w:rsidR="00911B65" w:rsidRDefault="00911B65" w:rsidP="00911B65">
      <w:pPr>
        <w:rPr>
          <w:rFonts w:ascii="Tahoma" w:hAnsi="Tahoma" w:cs="Tahoma"/>
          <w:sz w:val="28"/>
        </w:rPr>
      </w:pPr>
    </w:p>
    <w:p w:rsidR="00911B65" w:rsidRDefault="00911B65" w:rsidP="00911B65">
      <w:pPr>
        <w:rPr>
          <w:rFonts w:ascii="Tahoma" w:hAnsi="Tahoma" w:cs="Tahoma"/>
          <w:sz w:val="18"/>
        </w:rPr>
      </w:pPr>
    </w:p>
    <w:p w:rsidR="00911B65" w:rsidRDefault="00911B65" w:rsidP="00911B65">
      <w:pPr>
        <w:rPr>
          <w:rFonts w:ascii="Tahoma" w:hAnsi="Tahoma" w:cs="Tahoma"/>
          <w:sz w:val="18"/>
        </w:rPr>
      </w:pPr>
    </w:p>
    <w:p w:rsidR="00911B65" w:rsidRPr="00FA4267" w:rsidRDefault="00911B65" w:rsidP="00911B65">
      <w:pPr>
        <w:rPr>
          <w:rFonts w:ascii="Tahoma" w:hAnsi="Tahoma" w:cs="Tahoma"/>
          <w:sz w:val="18"/>
        </w:rPr>
      </w:pPr>
      <w:r w:rsidRPr="00FA4267">
        <w:rPr>
          <w:rFonts w:ascii="Tahoma" w:hAnsi="Tahoma" w:cs="Tahoma"/>
          <w:sz w:val="18"/>
        </w:rPr>
        <w:t>INTERNATIONAL DEVELOPERS INC reserves the right to revise this document for any reason, including but not limited to, conformity with standards promulgated by various government or regulatory agencies, utilization of advance in the state of the technical arts, or the reflection of changes in the design of any equipment, techniques, or procedures described or referred to herein. LIABILITY TO ANYONE ARISING OUT OF USE OR RELIANCE UPON ANY INFORMATION SET FORTH HEREIN IS EXPRESSLY DISCLAIMED, AND NO REPRESENTATIONS OR WARRANTIES, EXPRESSED OR IMPLIED, ARE MADE WITH RESPECT TO THE ACCURACY OR UTILITY OF ANY INFORMATION SET FORTH HEREIN.</w:t>
      </w:r>
    </w:p>
    <w:p w:rsidR="00911B65" w:rsidRPr="00FA4267" w:rsidRDefault="00911B65" w:rsidP="00911B65">
      <w:pPr>
        <w:pStyle w:val="copyright"/>
        <w:rPr>
          <w:rFonts w:ascii="Tahoma" w:hAnsi="Tahoma" w:cs="Tahoma"/>
          <w:sz w:val="18"/>
        </w:rPr>
      </w:pPr>
      <w:r w:rsidRPr="00FA4267">
        <w:rPr>
          <w:rFonts w:ascii="Tahoma" w:hAnsi="Tahoma" w:cs="Tahoma"/>
          <w:sz w:val="18"/>
        </w:rPr>
        <w:t>This document is not to be construed as a suggestion to any manufacturer to modify or change any of its products, nor does this document represent any commitment by INTERNATIONAL DEVELOPERS INC to purchase any product whether or not it provides the described characteristics.</w:t>
      </w:r>
    </w:p>
    <w:p w:rsidR="00911B65" w:rsidRPr="00FA4267" w:rsidRDefault="00911B65" w:rsidP="00911B65">
      <w:pPr>
        <w:pStyle w:val="copyright"/>
        <w:rPr>
          <w:rFonts w:ascii="Symbol" w:hAnsi="Symbol" w:cs="Symbol"/>
          <w:sz w:val="18"/>
        </w:rPr>
      </w:pPr>
      <w:r w:rsidRPr="00FA4267">
        <w:rPr>
          <w:rFonts w:ascii="Tahoma" w:hAnsi="Tahoma" w:cs="Tahoma"/>
          <w:sz w:val="18"/>
        </w:rPr>
        <w:t>Nothing contained herein shall be construed as conferring by implication, estoppels or otherwise, any license or right under any patent, whether or not the use of any information herein necessarily employs an invention of any existing or later issued patent.</w:t>
      </w:r>
    </w:p>
    <w:p w:rsidR="00911B65" w:rsidRPr="00FA4267" w:rsidRDefault="00911B65" w:rsidP="00911B65">
      <w:pPr>
        <w:pStyle w:val="copyright"/>
        <w:rPr>
          <w:rFonts w:ascii="Tahoma" w:hAnsi="Tahoma" w:cs="Tahoma"/>
          <w:sz w:val="18"/>
        </w:rPr>
      </w:pPr>
      <w:r w:rsidRPr="00FA4267">
        <w:rPr>
          <w:rFonts w:ascii="Symbol" w:eastAsia="Symbol" w:hAnsi="Symbol" w:cs="Symbol"/>
          <w:sz w:val="18"/>
        </w:rPr>
        <w:sym w:font="Symbol" w:char="F0E3"/>
      </w:r>
      <w:r w:rsidRPr="00FA4267">
        <w:fldChar w:fldCharType="begin"/>
      </w:r>
      <w:r w:rsidRPr="00FA4267">
        <w:instrText xml:space="preserve"> DATE \@"yyyy" </w:instrText>
      </w:r>
      <w:r w:rsidRPr="00FA4267">
        <w:fldChar w:fldCharType="separate"/>
      </w:r>
      <w:r>
        <w:rPr>
          <w:noProof/>
        </w:rPr>
        <w:t>2026</w:t>
      </w:r>
      <w:r w:rsidRPr="00FA4267">
        <w:fldChar w:fldCharType="end"/>
      </w:r>
      <w:r w:rsidRPr="00FA4267">
        <w:rPr>
          <w:rFonts w:ascii="Tahoma" w:eastAsia="Tahoma" w:hAnsi="Tahoma" w:cs="Tahoma"/>
          <w:sz w:val="18"/>
        </w:rPr>
        <w:t xml:space="preserve"> </w:t>
      </w:r>
      <w:r w:rsidRPr="00FA4267">
        <w:rPr>
          <w:rFonts w:ascii="Tahoma" w:hAnsi="Tahoma" w:cs="Tahoma"/>
          <w:sz w:val="18"/>
        </w:rPr>
        <w:t>INTERNATIONAL DEVELOPERS INC — All Rights Reserved.</w:t>
      </w:r>
    </w:p>
    <w:p w:rsidR="00911B65" w:rsidRDefault="00911B65" w:rsidP="00911B65">
      <w:pPr>
        <w:pStyle w:val="copyright"/>
        <w:spacing w:after="0"/>
        <w:jc w:val="left"/>
        <w:rPr>
          <w:rFonts w:ascii="Tahoma" w:hAnsi="Tahoma" w:cs="Tahoma"/>
          <w:sz w:val="18"/>
        </w:rPr>
      </w:pPr>
      <w:r>
        <w:rPr>
          <w:rFonts w:ascii="Tahoma" w:hAnsi="Tahoma" w:cs="Tahoma"/>
          <w:sz w:val="18"/>
        </w:rPr>
        <w:t>Printed in the USA</w:t>
      </w:r>
    </w:p>
    <w:p w:rsidR="00AC46E9" w:rsidRDefault="00AC46E9">
      <w:pPr>
        <w:spacing w:before="60" w:after="60"/>
      </w:pPr>
    </w:p>
    <w:p w:rsidR="00AC46E9" w:rsidRDefault="00AC46E9">
      <w:pPr>
        <w:spacing w:before="60" w:after="60"/>
      </w:pPr>
    </w:p>
    <w:p w:rsidR="00AC46E9" w:rsidRDefault="00AC46E9">
      <w:pPr>
        <w:spacing w:before="60" w:after="60"/>
      </w:pPr>
    </w:p>
    <w:p w:rsidR="00AC46E9" w:rsidRDefault="00911B65">
      <w:pPr>
        <w:pBdr>
          <w:top w:val="single" w:sz="6" w:space="4" w:color="2E75B6"/>
        </w:pBdr>
        <w:spacing w:before="240" w:after="120"/>
        <w:jc w:val="center"/>
      </w:pPr>
      <w:r>
        <w:rPr>
          <w:b/>
          <w:bCs/>
          <w:color w:val="C00000"/>
          <w:sz w:val="18"/>
          <w:szCs w:val="18"/>
        </w:rPr>
        <w:t>PROPRIETARY AND CONFIDENTIAL</w:t>
      </w:r>
    </w:p>
    <w:p w:rsidR="00AC46E9" w:rsidRDefault="00911B65">
      <w:pPr>
        <w:jc w:val="center"/>
      </w:pPr>
      <w:r>
        <w:rPr>
          <w:color w:val="595959"/>
          <w:sz w:val="18"/>
          <w:szCs w:val="18"/>
        </w:rPr>
        <w:t>© 2026 International Developers Inc. - All Rights Reserved.</w:t>
      </w:r>
    </w:p>
    <w:p w:rsidR="00AC46E9" w:rsidRDefault="00AC46E9">
      <w:pPr>
        <w:sectPr w:rsidR="00AC46E9">
          <w:pgSz w:w="12240" w:h="15840"/>
          <w:pgMar w:top="1440" w:right="1440" w:bottom="1440" w:left="1440" w:header="708" w:footer="708" w:gutter="0"/>
          <w:cols w:space="720"/>
          <w:docGrid w:linePitch="360"/>
        </w:sectPr>
      </w:pPr>
    </w:p>
    <w:p w:rsidR="00AC46E9" w:rsidRDefault="00911B65">
      <w:pPr>
        <w:pStyle w:val="Heading1"/>
      </w:pPr>
      <w:r>
        <w:lastRenderedPageBreak/>
        <w:t>Document Control &amp; Revision History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C46E9">
        <w:tblPrEx>
          <w:tblCellMar>
            <w:top w:w="0" w:type="dxa"/>
            <w:bottom w:w="0" w:type="dxa"/>
          </w:tblCellMar>
        </w:tblPrEx>
        <w:trPr>
          <w:tblHeader/>
        </w:trPr>
        <w:tc>
          <w:tcPr>
            <w:tcW w:w="24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Field</w:t>
            </w:r>
          </w:p>
        </w:tc>
        <w:tc>
          <w:tcPr>
            <w:tcW w:w="696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Value</w:t>
            </w:r>
          </w:p>
        </w:tc>
      </w:tr>
      <w:tr w:rsidR="00AC46E9">
        <w:tblPrEx>
          <w:tblCellMar>
            <w:top w:w="0" w:type="dxa"/>
            <w:bottom w:w="0" w:type="dxa"/>
          </w:tblCellMar>
        </w:tblPrEx>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Document Title</w:t>
            </w:r>
          </w:p>
        </w:tc>
        <w:tc>
          <w:tcPr>
            <w:tcW w:w="69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EMS Inbound HL7 Interface Specification</w:t>
            </w:r>
          </w:p>
        </w:tc>
      </w:tr>
      <w:tr w:rsidR="00AC46E9">
        <w:tblPrEx>
          <w:tblCellMar>
            <w:top w:w="0" w:type="dxa"/>
            <w:bottom w:w="0" w:type="dxa"/>
          </w:tblCellMar>
        </w:tblPrEx>
        <w:tc>
          <w:tcPr>
            <w:tcW w:w="24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Product</w:t>
            </w:r>
          </w:p>
        </w:tc>
        <w:tc>
          <w:tcPr>
            <w:tcW w:w="69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HarmScout Emergency Management System (EMS)</w:t>
            </w:r>
          </w:p>
        </w:tc>
      </w:tr>
      <w:tr w:rsidR="00AC46E9">
        <w:tblPrEx>
          <w:tblCellMar>
            <w:top w:w="0" w:type="dxa"/>
            <w:bottom w:w="0" w:type="dxa"/>
          </w:tblCellMar>
        </w:tblPrEx>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HL7 Standard</w:t>
            </w:r>
          </w:p>
        </w:tc>
        <w:tc>
          <w:tcPr>
            <w:tcW w:w="69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Version 2.3 (2.2 also supported)</w:t>
            </w:r>
          </w:p>
        </w:tc>
      </w:tr>
      <w:tr w:rsidR="00AC46E9">
        <w:tblPrEx>
          <w:tblCellMar>
            <w:top w:w="0" w:type="dxa"/>
            <w:bottom w:w="0" w:type="dxa"/>
          </w:tblCellMar>
        </w:tblPrEx>
        <w:tc>
          <w:tcPr>
            <w:tcW w:w="24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Document Version</w:t>
            </w:r>
          </w:p>
        </w:tc>
        <w:tc>
          <w:tcPr>
            <w:tcW w:w="69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1.0</w:t>
            </w:r>
          </w:p>
        </w:tc>
      </w:tr>
      <w:tr w:rsidR="00AC46E9">
        <w:tblPrEx>
          <w:tblCellMar>
            <w:top w:w="0" w:type="dxa"/>
            <w:bottom w:w="0" w:type="dxa"/>
          </w:tblCellMar>
        </w:tblPrEx>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Status</w:t>
            </w:r>
          </w:p>
        </w:tc>
        <w:tc>
          <w:tcPr>
            <w:tcW w:w="69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Approved - Production Release</w:t>
            </w:r>
          </w:p>
        </w:tc>
      </w:tr>
      <w:tr w:rsidR="00AC46E9">
        <w:tblPrEx>
          <w:tblCellMar>
            <w:top w:w="0" w:type="dxa"/>
            <w:bottom w:w="0" w:type="dxa"/>
          </w:tblCellMar>
        </w:tblPrEx>
        <w:tc>
          <w:tcPr>
            <w:tcW w:w="24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Effective Date</w:t>
            </w:r>
          </w:p>
        </w:tc>
        <w:tc>
          <w:tcPr>
            <w:tcW w:w="69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14-May-2026</w:t>
            </w:r>
          </w:p>
        </w:tc>
      </w:tr>
      <w:tr w:rsidR="00AC46E9">
        <w:tblPrEx>
          <w:tblCellMar>
            <w:top w:w="0" w:type="dxa"/>
            <w:bottom w:w="0" w:type="dxa"/>
          </w:tblCellMar>
        </w:tblPrEx>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Prepared By</w:t>
            </w:r>
          </w:p>
        </w:tc>
        <w:tc>
          <w:tcPr>
            <w:tcW w:w="69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International Developers Inc.</w:t>
            </w:r>
          </w:p>
        </w:tc>
      </w:tr>
      <w:tr w:rsidR="00AC46E9">
        <w:tblPrEx>
          <w:tblCellMar>
            <w:top w:w="0" w:type="dxa"/>
            <w:bottom w:w="0" w:type="dxa"/>
          </w:tblCellMar>
        </w:tblPrEx>
        <w:tc>
          <w:tcPr>
            <w:tcW w:w="24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Classification</w:t>
            </w:r>
          </w:p>
        </w:tc>
        <w:tc>
          <w:tcPr>
            <w:tcW w:w="69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Proprietary &amp; Confidential</w:t>
            </w:r>
          </w:p>
        </w:tc>
      </w:tr>
      <w:tr w:rsidR="00AC46E9">
        <w:tblPrEx>
          <w:tblCellMar>
            <w:top w:w="0" w:type="dxa"/>
            <w:bottom w:w="0" w:type="dxa"/>
          </w:tblCellMar>
        </w:tblPrEx>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Document ID</w:t>
            </w:r>
          </w:p>
        </w:tc>
        <w:tc>
          <w:tcPr>
            <w:tcW w:w="69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EMS-HL7-INBOUND-001</w:t>
            </w:r>
          </w:p>
        </w:tc>
      </w:tr>
    </w:tbl>
    <w:p w:rsidR="00AC46E9" w:rsidRDefault="00AC46E9">
      <w:pPr>
        <w:spacing w:before="60" w:after="60"/>
      </w:pPr>
    </w:p>
    <w:p w:rsidR="00AC46E9" w:rsidRDefault="00911B65">
      <w:pPr>
        <w:pStyle w:val="Heading2"/>
      </w:pPr>
      <w:r>
        <w:t>Revision History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2000"/>
        <w:gridCol w:w="4860"/>
      </w:tblGrid>
      <w:tr w:rsidR="00AC46E9">
        <w:tblPrEx>
          <w:tblCellMar>
            <w:top w:w="0" w:type="dxa"/>
            <w:bottom w:w="0" w:type="dxa"/>
          </w:tblCellMar>
        </w:tblPrEx>
        <w:trPr>
          <w:tblHeader/>
        </w:trPr>
        <w:tc>
          <w:tcPr>
            <w:tcW w:w="10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Version</w:t>
            </w:r>
          </w:p>
        </w:tc>
        <w:tc>
          <w:tcPr>
            <w:tcW w:w="15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Date</w:t>
            </w:r>
          </w:p>
        </w:tc>
        <w:tc>
          <w:tcPr>
            <w:tcW w:w="20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Author</w:t>
            </w:r>
          </w:p>
        </w:tc>
        <w:tc>
          <w:tcPr>
            <w:tcW w:w="486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Description</w:t>
            </w:r>
          </w:p>
        </w:tc>
      </w:tr>
      <w:tr w:rsidR="00AC46E9">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AC46E9">
            <w:pPr>
              <w:jc w:val="center"/>
            </w:pP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AC46E9"/>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AC46E9"/>
        </w:tc>
        <w:tc>
          <w:tcPr>
            <w:tcW w:w="4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AC46E9"/>
        </w:tc>
      </w:tr>
      <w:tr w:rsidR="00AC46E9">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1.0</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14-May-2026</w:t>
            </w:r>
          </w:p>
        </w:tc>
        <w:tc>
          <w:tcPr>
            <w:tcW w:w="2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IDinc</w:t>
            </w:r>
          </w:p>
        </w:tc>
        <w:tc>
          <w:tcPr>
            <w:tcW w:w="4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Approved Production Release</w:t>
            </w:r>
          </w:p>
        </w:tc>
      </w:tr>
    </w:tbl>
    <w:p w:rsidR="00AC46E9" w:rsidRDefault="00AC46E9">
      <w:pPr>
        <w:spacing w:before="60" w:after="60"/>
      </w:pPr>
    </w:p>
    <w:p w:rsidR="00AC46E9" w:rsidRDefault="00911B65">
      <w:pPr>
        <w:pStyle w:val="Heading2"/>
      </w:pPr>
      <w:r>
        <w:t>Confidentiality Notice</w:t>
      </w:r>
    </w:p>
    <w:p w:rsidR="00AC46E9" w:rsidRDefault="00911B65">
      <w:pPr>
        <w:spacing w:before="60" w:after="60"/>
      </w:pPr>
      <w:r>
        <w:rPr>
          <w:color w:val="000000"/>
        </w:rPr>
        <w:t>This document contains proprietary and confidential information of International Developers Inc. and is intended solely for authorized personnel involved in the implementation, support, and maintenance of EMS/HarmScout interfaces. Unauthorized distribution or disclosure is strictly prohibited.</w:t>
      </w:r>
    </w:p>
    <w:p w:rsidR="00AC46E9" w:rsidRDefault="00911B65">
      <w:r>
        <w:br w:type="page"/>
      </w:r>
    </w:p>
    <w:p w:rsidR="00AC46E9" w:rsidRDefault="00911B65">
      <w:pPr>
        <w:pStyle w:val="Heading1"/>
      </w:pPr>
      <w:r>
        <w:lastRenderedPageBreak/>
        <w:t>1  Specification Overview</w:t>
      </w:r>
    </w:p>
    <w:p w:rsidR="00AC46E9" w:rsidRDefault="00911B65">
      <w:pPr>
        <w:pStyle w:val="Heading2"/>
      </w:pPr>
      <w:r>
        <w:t>1.1  Purpose</w:t>
      </w:r>
    </w:p>
    <w:p w:rsidR="00AC46E9" w:rsidRDefault="00911B65">
      <w:pPr>
        <w:spacing w:before="60" w:after="60"/>
      </w:pPr>
      <w:r>
        <w:rPr>
          <w:color w:val="000000"/>
        </w:rPr>
        <w:t>The purpose of this Interface Specification is to define inbound HL7 messaging requirements supported by HarmScout EMS, including patient demographics, encounter information, clinical orders, observation results, scheduling information, and clinical documentation.</w:t>
      </w:r>
    </w:p>
    <w:p w:rsidR="00AC46E9" w:rsidRDefault="00911B65">
      <w:pPr>
        <w:spacing w:before="60" w:after="60"/>
      </w:pPr>
      <w:r>
        <w:rPr>
          <w:color w:val="000000"/>
        </w:rPr>
        <w:t>EMS may require multiple HL7 feeds depending on source-system capabilities. A recommended implementation approach is to separate feeds into ADT, MDM, ORM, ORU, and SIU categories with site-specific port assignments.</w:t>
      </w:r>
    </w:p>
    <w:p w:rsidR="00AC46E9" w:rsidRDefault="00911B65">
      <w:pPr>
        <w:spacing w:before="60" w:after="60"/>
        <w:ind w:left="360"/>
      </w:pPr>
      <w:r>
        <w:rPr>
          <w:i/>
          <w:iCs/>
          <w:color w:val="595959"/>
          <w:sz w:val="18"/>
          <w:szCs w:val="18"/>
        </w:rPr>
        <w:t>EMS/HarmScout may require a significant amount of data to be transmitted. The client may divide data into several feeds, each using its own port number.</w:t>
      </w:r>
    </w:p>
    <w:p w:rsidR="00AC46E9" w:rsidRDefault="00911B65">
      <w:pPr>
        <w:pStyle w:val="Heading2"/>
      </w:pPr>
      <w:r>
        <w:t>1.2  Related Documents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AC46E9">
        <w:tblPrEx>
          <w:tblCellMar>
            <w:top w:w="0" w:type="dxa"/>
            <w:bottom w:w="0" w:type="dxa"/>
          </w:tblCellMar>
        </w:tblPrEx>
        <w:trPr>
          <w:tblHeader/>
        </w:trPr>
        <w:tc>
          <w:tcPr>
            <w:tcW w:w="696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Document</w:t>
            </w:r>
          </w:p>
        </w:tc>
        <w:tc>
          <w:tcPr>
            <w:tcW w:w="24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Version</w:t>
            </w:r>
          </w:p>
        </w:tc>
      </w:tr>
      <w:tr w:rsidR="00AC46E9">
        <w:tblPrEx>
          <w:tblCellMar>
            <w:top w:w="0" w:type="dxa"/>
            <w:bottom w:w="0" w:type="dxa"/>
          </w:tblCellMar>
        </w:tblPrEx>
        <w:tc>
          <w:tcPr>
            <w:tcW w:w="69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Health Level Seven (HL7) Standard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2.2</w:t>
            </w:r>
          </w:p>
        </w:tc>
      </w:tr>
      <w:tr w:rsidR="00AC46E9">
        <w:tblPrEx>
          <w:tblCellMar>
            <w:top w:w="0" w:type="dxa"/>
            <w:bottom w:w="0" w:type="dxa"/>
          </w:tblCellMar>
        </w:tblPrEx>
        <w:tc>
          <w:tcPr>
            <w:tcW w:w="69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Health Level Seven (HL7) Standard</w:t>
            </w:r>
          </w:p>
        </w:tc>
        <w:tc>
          <w:tcPr>
            <w:tcW w:w="24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2.3</w:t>
            </w:r>
          </w:p>
        </w:tc>
      </w:tr>
      <w:tr w:rsidR="00AC46E9">
        <w:tblPrEx>
          <w:tblCellMar>
            <w:top w:w="0" w:type="dxa"/>
            <w:bottom w:w="0" w:type="dxa"/>
          </w:tblCellMar>
        </w:tblPrEx>
        <w:tc>
          <w:tcPr>
            <w:tcW w:w="69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EMS Interface Configuration Guide</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Current Release</w:t>
            </w:r>
          </w:p>
        </w:tc>
      </w:tr>
      <w:tr w:rsidR="00AC46E9">
        <w:tblPrEx>
          <w:tblCellMar>
            <w:top w:w="0" w:type="dxa"/>
            <w:bottom w:w="0" w:type="dxa"/>
          </w:tblCellMar>
        </w:tblPrEx>
        <w:tc>
          <w:tcPr>
            <w:tcW w:w="69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EMS Deployment Guide</w:t>
            </w:r>
          </w:p>
        </w:tc>
        <w:tc>
          <w:tcPr>
            <w:tcW w:w="24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Current Release</w:t>
            </w:r>
          </w:p>
        </w:tc>
      </w:tr>
      <w:tr w:rsidR="00AC46E9">
        <w:tblPrEx>
          <w:tblCellMar>
            <w:top w:w="0" w:type="dxa"/>
            <w:bottom w:w="0" w:type="dxa"/>
          </w:tblCellMar>
        </w:tblPrEx>
        <w:tc>
          <w:tcPr>
            <w:tcW w:w="69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EMS Database Mapping Reference</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Current Release</w:t>
            </w:r>
          </w:p>
        </w:tc>
      </w:tr>
    </w:tbl>
    <w:p w:rsidR="00AC46E9" w:rsidRDefault="00911B65">
      <w:pPr>
        <w:pStyle w:val="Heading2"/>
      </w:pPr>
      <w:r>
        <w:t>1.3  Conventions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AC46E9">
        <w:tblPrEx>
          <w:tblCellMar>
            <w:top w:w="0" w:type="dxa"/>
            <w:bottom w:w="0" w:type="dxa"/>
          </w:tblCellMar>
        </w:tblPrEx>
        <w:trPr>
          <w:tblHeader/>
        </w:trPr>
        <w:tc>
          <w:tcPr>
            <w:tcW w:w="8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Value</w:t>
            </w:r>
          </w:p>
        </w:tc>
        <w:tc>
          <w:tcPr>
            <w:tcW w:w="24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Description</w:t>
            </w:r>
          </w:p>
        </w:tc>
        <w:tc>
          <w:tcPr>
            <w:tcW w:w="616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Comments</w:t>
            </w:r>
          </w:p>
        </w:tc>
      </w:tr>
      <w:tr w:rsidR="00AC46E9">
        <w:tblPrEx>
          <w:tblCellMar>
            <w:top w:w="0" w:type="dxa"/>
            <w:bottom w:w="0" w:type="dxa"/>
          </w:tblCellMar>
        </w:tblPrEx>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R</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Required</w:t>
            </w:r>
          </w:p>
        </w:tc>
        <w:tc>
          <w:tcPr>
            <w:tcW w:w="61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Field must contain a valid value; missing required fields may be rejected.</w:t>
            </w:r>
          </w:p>
        </w:tc>
      </w:tr>
      <w:tr w:rsidR="00AC46E9">
        <w:tblPrEx>
          <w:tblCellMar>
            <w:top w:w="0" w:type="dxa"/>
            <w:bottom w:w="0" w:type="dxa"/>
          </w:tblCellMar>
        </w:tblPrEx>
        <w:tc>
          <w:tcPr>
            <w:tcW w:w="8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RE</w:t>
            </w:r>
          </w:p>
        </w:tc>
        <w:tc>
          <w:tcPr>
            <w:tcW w:w="24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Required but May be Empty</w:t>
            </w:r>
          </w:p>
        </w:tc>
        <w:tc>
          <w:tcPr>
            <w:tcW w:w="61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Populate whenever source data is available.</w:t>
            </w:r>
          </w:p>
        </w:tc>
      </w:tr>
      <w:tr w:rsidR="00AC46E9">
        <w:tblPrEx>
          <w:tblCellMar>
            <w:top w:w="0" w:type="dxa"/>
            <w:bottom w:w="0" w:type="dxa"/>
          </w:tblCellMar>
        </w:tblPrEx>
        <w:tc>
          <w:tcPr>
            <w:tcW w:w="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O</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Optional</w:t>
            </w:r>
          </w:p>
        </w:tc>
        <w:tc>
          <w:tcPr>
            <w:tcW w:w="61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May be omitted without affecting processing.</w:t>
            </w:r>
          </w:p>
        </w:tc>
      </w:tr>
      <w:tr w:rsidR="00AC46E9">
        <w:tblPrEx>
          <w:tblCellMar>
            <w:top w:w="0" w:type="dxa"/>
            <w:bottom w:w="0" w:type="dxa"/>
          </w:tblCellMar>
        </w:tblPrEx>
        <w:tc>
          <w:tcPr>
            <w:tcW w:w="8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C</w:t>
            </w:r>
          </w:p>
        </w:tc>
        <w:tc>
          <w:tcPr>
            <w:tcW w:w="24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Conditional</w:t>
            </w:r>
          </w:p>
        </w:tc>
        <w:tc>
          <w:tcPr>
            <w:tcW w:w="61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Required only when specific business rules apply.</w:t>
            </w:r>
          </w:p>
        </w:tc>
      </w:tr>
    </w:tbl>
    <w:p w:rsidR="00AC46E9" w:rsidRDefault="00AC46E9">
      <w:pPr>
        <w:spacing w:before="60" w:after="60"/>
      </w:pPr>
    </w:p>
    <w:p w:rsidR="00911B65" w:rsidRDefault="00911B65">
      <w:pPr>
        <w:pStyle w:val="Heading1"/>
      </w:pPr>
    </w:p>
    <w:p w:rsidR="00911B65" w:rsidRDefault="00911B65">
      <w:pPr>
        <w:pStyle w:val="Heading1"/>
      </w:pPr>
    </w:p>
    <w:p w:rsidR="00911B65" w:rsidRDefault="00911B65">
      <w:pPr>
        <w:pStyle w:val="Heading1"/>
      </w:pPr>
    </w:p>
    <w:p w:rsidR="00911B65" w:rsidRDefault="00911B65">
      <w:pPr>
        <w:pStyle w:val="Heading1"/>
      </w:pPr>
    </w:p>
    <w:p w:rsidR="00911B65" w:rsidRDefault="00911B65">
      <w:pPr>
        <w:pStyle w:val="Heading1"/>
      </w:pPr>
    </w:p>
    <w:p w:rsidR="00AC46E9" w:rsidRDefault="00911B65">
      <w:pPr>
        <w:pStyle w:val="Heading1"/>
      </w:pPr>
      <w:r>
        <w:lastRenderedPageBreak/>
        <w:t>2  General Considerations</w:t>
      </w:r>
    </w:p>
    <w:p w:rsidR="00AC46E9" w:rsidRDefault="00911B65">
      <w:pPr>
        <w:pStyle w:val="Heading2"/>
      </w:pPr>
      <w:r>
        <w:t>2.1  HL7 Version and MLLP</w:t>
      </w:r>
    </w:p>
    <w:p w:rsidR="00AC46E9" w:rsidRDefault="00911B65">
      <w:pPr>
        <w:spacing w:before="60" w:after="60"/>
      </w:pPr>
      <w:r>
        <w:rPr>
          <w:color w:val="000000"/>
        </w:rPr>
        <w:t>EMS supports HL7 Version 2.3; Version 2.2 is also accepted. EMS interfaces are implemented using MLLP over TCP/IP.</w:t>
      </w:r>
    </w:p>
    <w:p w:rsidR="00AC46E9" w:rsidRDefault="00911B65">
      <w:pPr>
        <w:pStyle w:val="ListParagraph"/>
        <w:numPr>
          <w:ilvl w:val="0"/>
          <w:numId w:val="2"/>
        </w:numPr>
        <w:spacing w:before="40" w:after="40"/>
      </w:pPr>
      <w:r>
        <w:rPr>
          <w:color w:val="000000"/>
        </w:rPr>
        <w:t>Message Start Block (VT) = 0x0B</w:t>
      </w:r>
    </w:p>
    <w:p w:rsidR="00AC46E9" w:rsidRDefault="00911B65">
      <w:pPr>
        <w:pStyle w:val="ListParagraph"/>
        <w:numPr>
          <w:ilvl w:val="0"/>
          <w:numId w:val="2"/>
        </w:numPr>
        <w:spacing w:before="40" w:after="40"/>
      </w:pPr>
      <w:r>
        <w:rPr>
          <w:color w:val="000000"/>
        </w:rPr>
        <w:t>Message End Block (FS) = 0x1C</w:t>
      </w:r>
    </w:p>
    <w:p w:rsidR="00AC46E9" w:rsidRDefault="00911B65">
      <w:pPr>
        <w:pStyle w:val="ListParagraph"/>
        <w:numPr>
          <w:ilvl w:val="0"/>
          <w:numId w:val="2"/>
        </w:numPr>
        <w:spacing w:before="40" w:after="40"/>
      </w:pPr>
      <w:r>
        <w:rPr>
          <w:color w:val="000000"/>
        </w:rPr>
        <w:t>Carriage Return (CR) = 0x0D</w:t>
      </w:r>
    </w:p>
    <w:p w:rsidR="00AC46E9" w:rsidRDefault="00911B65">
      <w:pPr>
        <w:pStyle w:val="Heading2"/>
      </w:pPr>
      <w:r>
        <w:t>2.2  Message Delimiters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C46E9">
        <w:tblPrEx>
          <w:tblCellMar>
            <w:top w:w="0" w:type="dxa"/>
            <w:bottom w:w="0" w:type="dxa"/>
          </w:tblCellMar>
        </w:tblPrEx>
        <w:trPr>
          <w:tblHeader/>
        </w:trPr>
        <w:tc>
          <w:tcPr>
            <w:tcW w:w="30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Delimiter</w:t>
            </w:r>
          </w:p>
        </w:tc>
        <w:tc>
          <w:tcPr>
            <w:tcW w:w="636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Value</w:t>
            </w:r>
          </w:p>
        </w:tc>
      </w:tr>
      <w:tr w:rsidR="00AC46E9">
        <w:tblPrEx>
          <w:tblCellMar>
            <w:top w:w="0" w:type="dxa"/>
            <w:bottom w:w="0" w:type="dxa"/>
          </w:tblCellMar>
        </w:tblPrEx>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Segment Terminator</w:t>
            </w:r>
          </w:p>
        </w:tc>
        <w:tc>
          <w:tcPr>
            <w:tcW w:w="6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&lt;CR&gt; (0x0D)</w:t>
            </w:r>
          </w:p>
        </w:tc>
      </w:tr>
      <w:tr w:rsidR="00AC46E9">
        <w:tblPrEx>
          <w:tblCellMar>
            <w:top w:w="0" w:type="dxa"/>
            <w:bottom w:w="0" w:type="dxa"/>
          </w:tblCellMar>
        </w:tblPrEx>
        <w:tc>
          <w:tcPr>
            <w:tcW w:w="30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Field Separator</w:t>
            </w:r>
          </w:p>
        </w:tc>
        <w:tc>
          <w:tcPr>
            <w:tcW w:w="63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w:t>
            </w:r>
          </w:p>
        </w:tc>
      </w:tr>
      <w:tr w:rsidR="00AC46E9">
        <w:tblPrEx>
          <w:tblCellMar>
            <w:top w:w="0" w:type="dxa"/>
            <w:bottom w:w="0" w:type="dxa"/>
          </w:tblCellMar>
        </w:tblPrEx>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Component Separator</w:t>
            </w:r>
          </w:p>
        </w:tc>
        <w:tc>
          <w:tcPr>
            <w:tcW w:w="6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w:t>
            </w:r>
          </w:p>
        </w:tc>
      </w:tr>
      <w:tr w:rsidR="00AC46E9">
        <w:tblPrEx>
          <w:tblCellMar>
            <w:top w:w="0" w:type="dxa"/>
            <w:bottom w:w="0" w:type="dxa"/>
          </w:tblCellMar>
        </w:tblPrEx>
        <w:tc>
          <w:tcPr>
            <w:tcW w:w="30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Subcomponent Separator</w:t>
            </w:r>
          </w:p>
        </w:tc>
        <w:tc>
          <w:tcPr>
            <w:tcW w:w="63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&amp;</w:t>
            </w:r>
          </w:p>
        </w:tc>
      </w:tr>
      <w:tr w:rsidR="00AC46E9">
        <w:tblPrEx>
          <w:tblCellMar>
            <w:top w:w="0" w:type="dxa"/>
            <w:bottom w:w="0" w:type="dxa"/>
          </w:tblCellMar>
        </w:tblPrEx>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Repetition Separator</w:t>
            </w:r>
          </w:p>
        </w:tc>
        <w:tc>
          <w:tcPr>
            <w:tcW w:w="6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w:t>
            </w:r>
          </w:p>
        </w:tc>
      </w:tr>
      <w:tr w:rsidR="00AC46E9">
        <w:tblPrEx>
          <w:tblCellMar>
            <w:top w:w="0" w:type="dxa"/>
            <w:bottom w:w="0" w:type="dxa"/>
          </w:tblCellMar>
        </w:tblPrEx>
        <w:tc>
          <w:tcPr>
            <w:tcW w:w="30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Escape Character</w:t>
            </w:r>
          </w:p>
        </w:tc>
        <w:tc>
          <w:tcPr>
            <w:tcW w:w="63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w:t>
            </w:r>
          </w:p>
        </w:tc>
      </w:tr>
    </w:tbl>
    <w:p w:rsidR="00AC46E9" w:rsidRDefault="00911B65">
      <w:pPr>
        <w:pStyle w:val="Heading2"/>
      </w:pPr>
      <w:r>
        <w:t>2.3  Supported HL7 Transactions</w:t>
      </w:r>
    </w:p>
    <w:p w:rsidR="00AC46E9" w:rsidRDefault="00911B65">
      <w:pPr>
        <w:pStyle w:val="ListParagraph"/>
        <w:numPr>
          <w:ilvl w:val="0"/>
          <w:numId w:val="2"/>
        </w:numPr>
        <w:spacing w:before="40" w:after="40"/>
      </w:pPr>
      <w:r>
        <w:rPr>
          <w:color w:val="000000"/>
        </w:rPr>
        <w:t>ADT: A01, A02, A03, A04, A05, A06, A07, A08, A11, A12, A13, A18, A28, A31, A34, A35, A36, A40, A41, A42, A43, A44</w:t>
      </w:r>
    </w:p>
    <w:p w:rsidR="00AC46E9" w:rsidRDefault="00911B65">
      <w:pPr>
        <w:pStyle w:val="ListParagraph"/>
        <w:numPr>
          <w:ilvl w:val="0"/>
          <w:numId w:val="2"/>
        </w:numPr>
        <w:spacing w:before="40" w:after="40"/>
      </w:pPr>
      <w:r>
        <w:rPr>
          <w:color w:val="000000"/>
        </w:rPr>
        <w:t>Scheduling: S12, S14, S15</w:t>
      </w:r>
    </w:p>
    <w:p w:rsidR="00AC46E9" w:rsidRDefault="00911B65">
      <w:pPr>
        <w:pStyle w:val="ListParagraph"/>
        <w:numPr>
          <w:ilvl w:val="0"/>
          <w:numId w:val="2"/>
        </w:numPr>
        <w:spacing w:before="40" w:after="40"/>
      </w:pPr>
      <w:r>
        <w:rPr>
          <w:color w:val="000000"/>
        </w:rPr>
        <w:t>Patient Updates: P05</w:t>
      </w:r>
    </w:p>
    <w:p w:rsidR="00AC46E9" w:rsidRDefault="00911B65">
      <w:pPr>
        <w:pStyle w:val="ListParagraph"/>
        <w:numPr>
          <w:ilvl w:val="0"/>
          <w:numId w:val="2"/>
        </w:numPr>
        <w:spacing w:before="40" w:after="40"/>
      </w:pPr>
      <w:r>
        <w:rPr>
          <w:color w:val="000000"/>
        </w:rPr>
        <w:t>Orders: O01, O02, O03, O04, O11, O19, O20, O21, O22</w:t>
      </w:r>
    </w:p>
    <w:p w:rsidR="00AC46E9" w:rsidRDefault="00911B65">
      <w:pPr>
        <w:pStyle w:val="ListParagraph"/>
        <w:numPr>
          <w:ilvl w:val="0"/>
          <w:numId w:val="2"/>
        </w:numPr>
        <w:spacing w:before="40" w:after="40"/>
      </w:pPr>
      <w:r>
        <w:rPr>
          <w:color w:val="000000"/>
        </w:rPr>
        <w:t>Results: R01, R02, R03</w:t>
      </w:r>
    </w:p>
    <w:p w:rsidR="00AC46E9" w:rsidRDefault="00911B65">
      <w:pPr>
        <w:pStyle w:val="ListParagraph"/>
        <w:numPr>
          <w:ilvl w:val="0"/>
          <w:numId w:val="2"/>
        </w:numPr>
        <w:spacing w:before="40" w:after="40"/>
      </w:pPr>
      <w:r>
        <w:rPr>
          <w:color w:val="000000"/>
        </w:rPr>
        <w:t>Documents: T02, T08</w:t>
      </w:r>
    </w:p>
    <w:p w:rsidR="00AC46E9" w:rsidRDefault="00911B65">
      <w:pPr>
        <w:pStyle w:val="Heading2"/>
      </w:pPr>
      <w:r>
        <w:t>2.4  Date and Time Format</w:t>
      </w:r>
    </w:p>
    <w:p w:rsidR="00AC46E9" w:rsidRDefault="00911B65">
      <w:pPr>
        <w:spacing w:before="60" w:after="60"/>
      </w:pPr>
      <w:r>
        <w:rPr>
          <w:b/>
          <w:bCs/>
          <w:color w:val="000000"/>
        </w:rPr>
        <w:t>Format: YYYYMMDDHHMMSS</w:t>
      </w:r>
    </w:p>
    <w:p w:rsidR="00AC46E9" w:rsidRDefault="00911B65">
      <w:pPr>
        <w:spacing w:before="60" w:after="60"/>
      </w:pPr>
      <w:r>
        <w:rPr>
          <w:color w:val="000000"/>
        </w:rPr>
        <w:t>Example: 20260523143000</w:t>
      </w:r>
    </w:p>
    <w:p w:rsidR="00AC46E9" w:rsidRDefault="00911B65">
      <w:pPr>
        <w:pStyle w:val="Heading2"/>
      </w:pPr>
      <w:r>
        <w:t>2.5  Patient Identifiers</w:t>
      </w:r>
    </w:p>
    <w:p w:rsidR="00AC46E9" w:rsidRDefault="00911B65">
      <w:pPr>
        <w:spacing w:before="60" w:after="60"/>
      </w:pPr>
      <w:r>
        <w:rPr>
          <w:b/>
          <w:bCs/>
          <w:color w:val="000000"/>
        </w:rPr>
        <w:t>Format: &lt;MRN&gt;^^^&lt;Facility&gt;^MR</w:t>
      </w:r>
    </w:p>
    <w:p w:rsidR="00AC46E9" w:rsidRDefault="00911B65">
      <w:pPr>
        <w:spacing w:before="60" w:after="60"/>
      </w:pPr>
      <w:r>
        <w:rPr>
          <w:color w:val="000000"/>
        </w:rPr>
        <w:t>Example: 123456^^^FACILITY^MR</w:t>
      </w:r>
    </w:p>
    <w:p w:rsidR="00AC46E9" w:rsidRDefault="00911B65">
      <w:r>
        <w:br w:type="page"/>
      </w:r>
    </w:p>
    <w:p w:rsidR="00AC46E9" w:rsidRDefault="00911B65">
      <w:pPr>
        <w:pStyle w:val="Heading1"/>
      </w:pPr>
      <w:r>
        <w:lastRenderedPageBreak/>
        <w:t>3  ADT Events</w:t>
      </w:r>
    </w:p>
    <w:p w:rsidR="00AC46E9" w:rsidRDefault="00911B65">
      <w:pPr>
        <w:spacing w:before="60" w:after="60"/>
      </w:pPr>
      <w:r>
        <w:rPr>
          <w:color w:val="000000"/>
        </w:rPr>
        <w:t>The Event Code is read from EVN[1] or MSH[9.2] if EVN[1] is empty or not found.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700"/>
        <w:gridCol w:w="2100"/>
        <w:gridCol w:w="2850"/>
        <w:gridCol w:w="1860"/>
      </w:tblGrid>
      <w:tr w:rsidR="00AC46E9">
        <w:tblPrEx>
          <w:tblCellMar>
            <w:top w:w="0" w:type="dxa"/>
            <w:bottom w:w="0" w:type="dxa"/>
          </w:tblCellMar>
        </w:tblPrEx>
        <w:trPr>
          <w:tblHeader/>
        </w:trPr>
        <w:tc>
          <w:tcPr>
            <w:tcW w:w="8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Code</w:t>
            </w:r>
          </w:p>
        </w:tc>
        <w:tc>
          <w:tcPr>
            <w:tcW w:w="17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Event Name</w:t>
            </w:r>
          </w:p>
        </w:tc>
        <w:tc>
          <w:tcPr>
            <w:tcW w:w="21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Segments</w:t>
            </w:r>
          </w:p>
        </w:tc>
        <w:tc>
          <w:tcPr>
            <w:tcW w:w="28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Description</w:t>
            </w:r>
          </w:p>
        </w:tc>
        <w:tc>
          <w:tcPr>
            <w:tcW w:w="186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Processing Notes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A01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Admit Patient</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PV1, DG1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Admits or updates patient demographics and stay information based on MRN.</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Creates or updates patient and encounter information.</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A02</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Transfer Patient</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MSH, EVN, PID, PV1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Updates visit information based on visit number.</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Updates unit, room, and bed assignment.</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A03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Discharge Patient</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PV1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Updates discharge information for the visit.</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Updates discharge date and encounter status.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A04</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Register Patient</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MSH, EVN, PID, PV1, DG1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Registers or updates outpatient demographic and visit information.</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Creates outpatient visit information.</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A05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Pre-Admit Patient</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PV1, DG1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Creates or updates pre-admission patient information.</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Creates pending encounter information.</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A08</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 Demographics</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MSH, EVN, PID, PV1, DG1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Updates patient demographics and visit data.</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Refreshes patient and encounter information.</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A11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Cancel Admit</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PV1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Deletes patient visit information based on visit number.</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Reverses previous admission processing.</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A12</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Cancel Transfer</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MSH, EVN, PID, PV1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Cancels the last patient transfer.</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Restores previous unit, room, and bed assignment.</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A13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Cancel Discharge</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PV1, DG1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Updates visit information based on visit number.</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Reopens discharged encounter.</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A18</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Merge Patient (Flexible)</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MSH, EVN, PID, MRG</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If MRG-3 has a value, executes visit move; otherwise executes patient merge.</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Dynamic merge routing based on MRG content.</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A28</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Add Person Information</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PV1, DG1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Adds new patient demographic information.</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Creates person demographic record.</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A31</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 Person Information</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MSH, EVN, PID, PV1, DG1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Updates existing patient demographic information.</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Updates person demographic record.</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A34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 Patient - Patient ID</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MRG</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Merges MRG-1 patient into PID-3 surviving patient.</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Merges INDIV_MRN2 into INDIV_MRN1.</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A35</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Merge Visit - Account Number</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MSH, EVN, PID, PV1, MRG</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Merges MRG-3 visit into PV1-19 surviving visit.</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Combines two account/visit numbers into one.</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A36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Move Visit - Patient &amp; Account</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MRG</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Moves MRG-3 visit to patient PID-3.</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Moves visit between patients.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lastRenderedPageBreak/>
              <w:t>A40</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Merge Patient - Internal ID</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MSH, EVN, PID, MRG</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Flexible merge. Executes A18 logic.</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processing as A18.</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A41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 Visit - Account Number</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PV1, MRG</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Merges visit. Executes A35 logic.</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Same processing as A35.</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A42</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Merge Visit - Account Number</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MSH, EVN, PID, PV1, MRG</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Merges visit. Executes A35 logic.</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processing as A35.</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A43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 Patient - Internal ID</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MRG</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Merges patient. Executes A34 logic.</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Same processing as A34.</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A44</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Move Account Info - Account Number</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MSH, EVN, PID, MRG</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Moves visit to other patient. Executes A36 logic.</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processing as A36.</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S12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New Appointment</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PV1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Updates patient data and creates visit information.</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Creates appointment encounter.</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S14</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Appointment Confirmed</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MSH, EVN, PID, PV1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Updates patient data and creates visit information.</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Confirms appointment encounter.</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S15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Appointment Cancelled / No Show</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PV1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Updates and deletes visit data if no event is attached.</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Cancels appointment encounter when eligible.</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P05</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 Account</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MSH, EVN, PID, PV1, DG1, NK1, GT1, IN1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Updates patient demographics and visit data.</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Processes guarantor, next-of-kin, and insurance information.</w:t>
            </w:r>
          </w:p>
        </w:tc>
      </w:tr>
    </w:tbl>
    <w:p w:rsidR="00AC46E9" w:rsidRDefault="00911B65">
      <w:pPr>
        <w:spacing w:before="60" w:after="60"/>
        <w:ind w:left="360"/>
      </w:pPr>
      <w:r>
        <w:rPr>
          <w:i/>
          <w:iCs/>
          <w:color w:val="595959"/>
          <w:sz w:val="18"/>
          <w:szCs w:val="18"/>
        </w:rPr>
        <w:t>EMS identifies transaction types using EVN[1]. When EVN[1] is unavailable, EMS uses MSH[9.2].</w:t>
      </w:r>
    </w:p>
    <w:p w:rsidR="00AC46E9" w:rsidRDefault="00911B65">
      <w:r>
        <w:br w:type="page"/>
      </w:r>
    </w:p>
    <w:p w:rsidR="00AC46E9" w:rsidRDefault="00911B65">
      <w:pPr>
        <w:pStyle w:val="Heading1"/>
      </w:pPr>
      <w:r>
        <w:lastRenderedPageBreak/>
        <w:t>4  Order Events</w:t>
      </w:r>
    </w:p>
    <w:p w:rsidR="00AC46E9" w:rsidRDefault="00911B65">
      <w:pPr>
        <w:spacing w:before="60" w:after="60"/>
      </w:pPr>
      <w:r>
        <w:rPr>
          <w:color w:val="000000"/>
        </w:rPr>
        <w:t>The following table describes Order and Observation Result transactions processed by EMS.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700"/>
        <w:gridCol w:w="2100"/>
        <w:gridCol w:w="2850"/>
        <w:gridCol w:w="1860"/>
      </w:tblGrid>
      <w:tr w:rsidR="00AC46E9">
        <w:tblPrEx>
          <w:tblCellMar>
            <w:top w:w="0" w:type="dxa"/>
            <w:bottom w:w="0" w:type="dxa"/>
          </w:tblCellMar>
        </w:tblPrEx>
        <w:trPr>
          <w:tblHeader/>
        </w:trPr>
        <w:tc>
          <w:tcPr>
            <w:tcW w:w="8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Code</w:t>
            </w:r>
          </w:p>
        </w:tc>
        <w:tc>
          <w:tcPr>
            <w:tcW w:w="17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Event Name</w:t>
            </w:r>
          </w:p>
        </w:tc>
        <w:tc>
          <w:tcPr>
            <w:tcW w:w="21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Segments</w:t>
            </w:r>
          </w:p>
        </w:tc>
        <w:tc>
          <w:tcPr>
            <w:tcW w:w="28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Description</w:t>
            </w:r>
          </w:p>
        </w:tc>
        <w:tc>
          <w:tcPr>
            <w:tcW w:w="186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Processing Notes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O01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General Order Message</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PV1, ORC, OBR, OBX, NTE, ODS, PR1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Updates patient and visit information, then creates or updates order records.</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Creates or updates order-related clinical information.</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O02</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General Order Response</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as O01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processing as O01.</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Processes response messages using O01 logic.</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O03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Ancillary Order Update</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Same as O01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Same processing as O01.</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Processes ancillary order updates.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O04</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Order Acknowledgment</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as O01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processing as O01.</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Processes acknowledgments.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O11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Pharmacy / Treatment Order</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PV1, ORC, OBR, OBX, NTE, RXE, ZTA</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Stores medication name, dosage, interval, start/end dates, and medication category.</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Stores full prescription details including ZTA.</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O19</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General Clinical Order</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as O01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processing as O01.</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Processes clinical orders.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O20</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General Clinical Order Response</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Same as O01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Same processing as O01.</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Processes clinical order responses.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O21</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General Clinical Order (Laboratory)</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as O01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processing as O01.</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Processes laboratory orders.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O22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General Laboratory Order Response</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Same as O01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Same processing as O01.</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Processes laboratory order responses.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R01</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Unsolicited Observation</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as O01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Updates patient and visit information and creates or updates observation results.</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Processes observation results and clinical data.</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R02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Query for Observation Results</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Same as O01</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Same processing as R01.</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Processes observation result queries.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R03</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Display-Oriented Results</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as O01</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processing as R01.</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Processes display-oriented observation results.</w:t>
            </w:r>
          </w:p>
        </w:tc>
      </w:tr>
    </w:tbl>
    <w:p w:rsidR="00AC46E9" w:rsidRDefault="00911B65">
      <w:pPr>
        <w:spacing w:before="60" w:after="60"/>
        <w:ind w:left="360"/>
      </w:pPr>
      <w:r>
        <w:rPr>
          <w:i/>
          <w:iCs/>
          <w:color w:val="595959"/>
          <w:sz w:val="18"/>
          <w:szCs w:val="18"/>
        </w:rPr>
        <w:t>Patient and visit validation is performed before order, result, pharmacy, or document processing occurs.</w:t>
      </w:r>
    </w:p>
    <w:p w:rsidR="00AC46E9" w:rsidRDefault="00911B65">
      <w:r>
        <w:br w:type="page"/>
      </w:r>
    </w:p>
    <w:p w:rsidR="00AC46E9" w:rsidRDefault="00911B65">
      <w:pPr>
        <w:pStyle w:val="Heading1"/>
      </w:pPr>
      <w:r>
        <w:lastRenderedPageBreak/>
        <w:t>5  MDM Events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700"/>
        <w:gridCol w:w="2100"/>
        <w:gridCol w:w="2850"/>
        <w:gridCol w:w="1860"/>
      </w:tblGrid>
      <w:tr w:rsidR="00AC46E9">
        <w:tblPrEx>
          <w:tblCellMar>
            <w:top w:w="0" w:type="dxa"/>
            <w:bottom w:w="0" w:type="dxa"/>
          </w:tblCellMar>
        </w:tblPrEx>
        <w:trPr>
          <w:tblHeader/>
        </w:trPr>
        <w:tc>
          <w:tcPr>
            <w:tcW w:w="8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Code</w:t>
            </w:r>
          </w:p>
        </w:tc>
        <w:tc>
          <w:tcPr>
            <w:tcW w:w="17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Event Name</w:t>
            </w:r>
          </w:p>
        </w:tc>
        <w:tc>
          <w:tcPr>
            <w:tcW w:w="21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Segments</w:t>
            </w:r>
          </w:p>
        </w:tc>
        <w:tc>
          <w:tcPr>
            <w:tcW w:w="28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Description</w:t>
            </w:r>
          </w:p>
        </w:tc>
        <w:tc>
          <w:tcPr>
            <w:tcW w:w="186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Processing Notes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T02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Original Document Notification</w:t>
            </w:r>
          </w:p>
        </w:tc>
        <w:tc>
          <w:tcPr>
            <w:tcW w:w="21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MSH, EVN, PID, PV1, ORC, OBR, OBX, NTE, TXA</w:t>
            </w:r>
          </w:p>
        </w:tc>
        <w:tc>
          <w:tcPr>
            <w:tcW w:w="28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Updates patient and visit information and stores clinical document notification information.</w:t>
            </w:r>
          </w:p>
        </w:tc>
        <w:tc>
          <w:tcPr>
            <w:tcW w:w="18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Creates clinical document record; may use short-path processing when visit exists.</w:t>
            </w:r>
          </w:p>
        </w:tc>
      </w:tr>
      <w:tr w:rsidR="00AC46E9">
        <w:tblPrEx>
          <w:tblCellMar>
            <w:top w:w="0" w:type="dxa"/>
            <w:bottom w:w="0" w:type="dxa"/>
          </w:tblCellMar>
        </w:tblPrEx>
        <w:tc>
          <w:tcPr>
            <w:tcW w:w="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T08</w:t>
            </w:r>
          </w:p>
        </w:tc>
        <w:tc>
          <w:tcPr>
            <w:tcW w:w="1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Document Edit Notification</w:t>
            </w:r>
          </w:p>
        </w:tc>
        <w:tc>
          <w:tcPr>
            <w:tcW w:w="21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as T02</w:t>
            </w:r>
          </w:p>
        </w:tc>
        <w:tc>
          <w:tcPr>
            <w:tcW w:w="28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Same processing as T02.</w:t>
            </w:r>
          </w:p>
        </w:tc>
        <w:tc>
          <w:tcPr>
            <w:tcW w:w="18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Processes edited document notifications using T02 logic.</w:t>
            </w:r>
          </w:p>
        </w:tc>
      </w:tr>
    </w:tbl>
    <w:p w:rsidR="00AC46E9" w:rsidRDefault="00911B65">
      <w:r>
        <w:br w:type="page"/>
      </w:r>
    </w:p>
    <w:p w:rsidR="00AC46E9" w:rsidRDefault="00911B65">
      <w:pPr>
        <w:pStyle w:val="Heading1"/>
      </w:pPr>
      <w:r>
        <w:lastRenderedPageBreak/>
        <w:t>6  Message Segment Specifications</w:t>
      </w:r>
    </w:p>
    <w:p w:rsidR="00AC46E9" w:rsidRDefault="00911B65">
      <w:pPr>
        <w:pStyle w:val="Heading2"/>
      </w:pPr>
      <w:r>
        <w:t>6.1  MSH Segment - Message Header</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1969"/>
        <w:gridCol w:w="661"/>
        <w:gridCol w:w="611"/>
        <w:gridCol w:w="781"/>
        <w:gridCol w:w="2156"/>
        <w:gridCol w:w="2542"/>
      </w:tblGrid>
      <w:tr w:rsidR="00AC46E9">
        <w:tblPrEx>
          <w:tblCellMar>
            <w:top w:w="0" w:type="dxa"/>
            <w:bottom w:w="0" w:type="dxa"/>
          </w:tblCellMar>
        </w:tblPrEx>
        <w:trPr>
          <w:tblHeader/>
        </w:trPr>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w:t>
            </w:r>
          </w:p>
        </w:tc>
        <w:tc>
          <w:tcPr>
            <w:tcW w:w="20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Element Name</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Type</w:t>
            </w:r>
          </w:p>
        </w:tc>
        <w:tc>
          <w:tcPr>
            <w:tcW w:w="5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Len.</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Usage</w:t>
            </w:r>
          </w:p>
        </w:tc>
        <w:tc>
          <w:tcPr>
            <w:tcW w:w="22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EMS Data Field</w:t>
            </w:r>
          </w:p>
        </w:tc>
        <w:tc>
          <w:tcPr>
            <w:tcW w:w="261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Notes</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1</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Field Separator</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1</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Standard HL7 field separator</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2</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Encoding Characters</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4</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^~\&amp;</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Component, repetition, escape, subcomponent separators</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4</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Sending Facility</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6</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Visits.SiteId</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Used for site mapping. Must exist in EMS.</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7</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Message Date/Time</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TS</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12</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Current Date/Time</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Format: YYYYMMDDHHMM</w:t>
            </w:r>
          </w:p>
        </w:tc>
        <w:bookmarkStart w:id="1" w:name="_GoBack"/>
        <w:bookmarkEnd w:id="1"/>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9.1</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Message Type</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ID</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3</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TransactionType</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ADT / ORM / ORU / MDM</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9.2</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Event Code</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ID</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3</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Transaction</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A01, O01, R01, T02, etc.</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10</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Message Control ID</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10</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MessageControlId</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Unique per message.</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11</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Processing ID</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ID</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 or T</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 = Production; T = Test</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12</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Version ID</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ID</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3</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2.3</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Accepted: 2.2 or 2.3</w:t>
            </w:r>
          </w:p>
        </w:tc>
      </w:tr>
    </w:tbl>
    <w:p w:rsidR="00AC46E9" w:rsidRDefault="00AC46E9">
      <w:pPr>
        <w:spacing w:before="60" w:after="60"/>
      </w:pPr>
    </w:p>
    <w:p w:rsidR="00AC46E9" w:rsidRDefault="00911B65">
      <w:pPr>
        <w:pStyle w:val="Heading2"/>
      </w:pPr>
      <w:r>
        <w:t>6.2  PID Segment - Patient Identification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
        <w:gridCol w:w="1574"/>
        <w:gridCol w:w="661"/>
        <w:gridCol w:w="611"/>
        <w:gridCol w:w="781"/>
        <w:gridCol w:w="2712"/>
        <w:gridCol w:w="2455"/>
      </w:tblGrid>
      <w:tr w:rsidR="00AC46E9">
        <w:tblPrEx>
          <w:tblCellMar>
            <w:top w:w="0" w:type="dxa"/>
            <w:bottom w:w="0" w:type="dxa"/>
          </w:tblCellMar>
        </w:tblPrEx>
        <w:trPr>
          <w:tblHeader/>
        </w:trPr>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w:t>
            </w:r>
          </w:p>
        </w:tc>
        <w:tc>
          <w:tcPr>
            <w:tcW w:w="20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Element Name</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Type</w:t>
            </w:r>
          </w:p>
        </w:tc>
        <w:tc>
          <w:tcPr>
            <w:tcW w:w="5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Len.</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Usage</w:t>
            </w:r>
          </w:p>
        </w:tc>
        <w:tc>
          <w:tcPr>
            <w:tcW w:w="22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EMS Data Field</w:t>
            </w:r>
          </w:p>
        </w:tc>
        <w:tc>
          <w:tcPr>
            <w:tcW w:w="261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Notes</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3.1</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MRN</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12</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Patients.MRN</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Primary patient identifier per site.</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4</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Alternate Patient ID</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CX</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13</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Patients.MasterIndex</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Master patient index.</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5.1</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Last Name</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19</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Individuals.LastName</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AC46E9"/>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5.2</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First Name</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14</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Individuals.FirstName</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AC46E9"/>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7</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Date of Birth</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TS</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8</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Individuals.DateOfBirth</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YYYYMMDD</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8</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Administrative Sex</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IS</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Patients.Gender</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M/F/U</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11</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Patient Address</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XAD</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AC46E9"/>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IndividualAddresses</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addr1^addr2^city^state^zip</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13</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Phone / Email</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XTN</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13</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IndividualPhoneNumbers</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Home, cell, and email components.</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18</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Patient Account Number</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CX</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12</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 Processing Only</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Required for A35/A41/A42.</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19</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Patient SSN</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9</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SocialSecurityNumber</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NNNNNNNNN</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29</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Patient Death Date/Time</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TS</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26</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Patients.DateAndTimeOfDeath</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AC46E9"/>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30</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Death Indicator</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ID</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Patients.DeathIndicator</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Y/N</w:t>
            </w:r>
          </w:p>
        </w:tc>
      </w:tr>
    </w:tbl>
    <w:p w:rsidR="00AC46E9" w:rsidRDefault="00AC46E9">
      <w:pPr>
        <w:spacing w:before="60" w:after="60"/>
      </w:pPr>
    </w:p>
    <w:p w:rsidR="00AC46E9" w:rsidRDefault="00911B65">
      <w:pPr>
        <w:pStyle w:val="Heading2"/>
      </w:pPr>
      <w:r>
        <w:lastRenderedPageBreak/>
        <w:t>6.3  PV1 Segment - Patient Visit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7"/>
        <w:gridCol w:w="1793"/>
        <w:gridCol w:w="661"/>
        <w:gridCol w:w="611"/>
        <w:gridCol w:w="781"/>
        <w:gridCol w:w="2351"/>
        <w:gridCol w:w="2546"/>
      </w:tblGrid>
      <w:tr w:rsidR="00AC46E9">
        <w:tblPrEx>
          <w:tblCellMar>
            <w:top w:w="0" w:type="dxa"/>
            <w:bottom w:w="0" w:type="dxa"/>
          </w:tblCellMar>
        </w:tblPrEx>
        <w:trPr>
          <w:tblHeader/>
        </w:trPr>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w:t>
            </w:r>
          </w:p>
        </w:tc>
        <w:tc>
          <w:tcPr>
            <w:tcW w:w="20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Element Name</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Type</w:t>
            </w:r>
          </w:p>
        </w:tc>
        <w:tc>
          <w:tcPr>
            <w:tcW w:w="5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Len.</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Usage</w:t>
            </w:r>
          </w:p>
        </w:tc>
        <w:tc>
          <w:tcPr>
            <w:tcW w:w="22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EMS Data Field</w:t>
            </w:r>
          </w:p>
        </w:tc>
        <w:tc>
          <w:tcPr>
            <w:tcW w:w="261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Notes</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2</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Patient Class</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IS</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1</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Visits.PatientClass</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 O, E, P</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3.1</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Unit</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11</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Visits.Unit</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Assigned location unit.</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3.2</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Room</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7</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Visits.Room</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AC46E9"/>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3.3</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Bed</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3</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Visits.Bed</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AC46E9"/>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7</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Attending Doctor</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XCN</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60</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Physicians / Individuals</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ID^Last^First^Initial^^^Title</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14</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Admit Source</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IS</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3</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Visits.AdmissionSource</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HL7 Table 0023</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19</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Visit Number</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CX</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15</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Visits.StayNumber</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Must represent patient account/visit number.</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36</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Discharge Disposition</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IS</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3</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Visits.UnitDispositionCode</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HL7 Table 0112</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44</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Admit Date/Time</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TS</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12</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Visits.AdmissionDate</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YYYYMMDDHHMM</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45</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Discharge Date/Time</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TS</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12</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Visits.DischargeDate</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Always transmit even after discharge.</w:t>
            </w:r>
          </w:p>
        </w:tc>
      </w:tr>
    </w:tbl>
    <w:p w:rsidR="00AC46E9" w:rsidRDefault="00AC46E9">
      <w:pPr>
        <w:spacing w:before="60" w:after="60"/>
      </w:pPr>
    </w:p>
    <w:p w:rsidR="00AC46E9" w:rsidRDefault="00911B65">
      <w:pPr>
        <w:pStyle w:val="Heading2"/>
      </w:pPr>
      <w:r>
        <w:t>6.4  ORC Segment - Common Order</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
        <w:gridCol w:w="1726"/>
        <w:gridCol w:w="661"/>
        <w:gridCol w:w="611"/>
        <w:gridCol w:w="781"/>
        <w:gridCol w:w="2922"/>
        <w:gridCol w:w="2054"/>
      </w:tblGrid>
      <w:tr w:rsidR="00AC46E9">
        <w:tblPrEx>
          <w:tblCellMar>
            <w:top w:w="0" w:type="dxa"/>
            <w:bottom w:w="0" w:type="dxa"/>
          </w:tblCellMar>
        </w:tblPrEx>
        <w:trPr>
          <w:tblHeader/>
        </w:trPr>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w:t>
            </w:r>
          </w:p>
        </w:tc>
        <w:tc>
          <w:tcPr>
            <w:tcW w:w="20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Element Name</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Type</w:t>
            </w:r>
          </w:p>
        </w:tc>
        <w:tc>
          <w:tcPr>
            <w:tcW w:w="5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Len.</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Usage</w:t>
            </w:r>
          </w:p>
        </w:tc>
        <w:tc>
          <w:tcPr>
            <w:tcW w:w="22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EMS Data Field</w:t>
            </w:r>
          </w:p>
        </w:tc>
        <w:tc>
          <w:tcPr>
            <w:tcW w:w="261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Notes</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1</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Order Control</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ID</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2</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Orders.OrderControl</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NW, CA, DC, etc.</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2</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Placer Order Number</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EI</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22</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VisitOrders.Hl7OrderUniqueId</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Source system order identifier.</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5</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Order Status</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ID</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2</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VisitOrders.Status</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CA/DC canceled; ER/RP deleted; CM/A available.</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9</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Transaction Date/Time</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TS</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26</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VisitOrders.OrderDateTime</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Part of order text.</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12</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Ordering Provider</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XCN</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250</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VisitProcedures.OrderingProvider</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Ordering clinician.</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15</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Order Effective Date/Time</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TS</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26</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VisitOrders.OrderDateTime</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Higher priority than transaction date.</w:t>
            </w:r>
          </w:p>
        </w:tc>
      </w:tr>
    </w:tbl>
    <w:p w:rsidR="00AC46E9" w:rsidRDefault="00AC46E9">
      <w:pPr>
        <w:spacing w:before="60" w:after="60"/>
      </w:pPr>
    </w:p>
    <w:p w:rsidR="00AC46E9" w:rsidRDefault="00911B65">
      <w:pPr>
        <w:pStyle w:val="Heading2"/>
      </w:pPr>
      <w:r>
        <w:t>6.5  OBR Segment - Observation Request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1587"/>
        <w:gridCol w:w="661"/>
        <w:gridCol w:w="611"/>
        <w:gridCol w:w="781"/>
        <w:gridCol w:w="3172"/>
        <w:gridCol w:w="1965"/>
      </w:tblGrid>
      <w:tr w:rsidR="00AC46E9">
        <w:tblPrEx>
          <w:tblCellMar>
            <w:top w:w="0" w:type="dxa"/>
            <w:bottom w:w="0" w:type="dxa"/>
          </w:tblCellMar>
        </w:tblPrEx>
        <w:trPr>
          <w:tblHeader/>
        </w:trPr>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w:t>
            </w:r>
          </w:p>
        </w:tc>
        <w:tc>
          <w:tcPr>
            <w:tcW w:w="20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Element Name</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Type</w:t>
            </w:r>
          </w:p>
        </w:tc>
        <w:tc>
          <w:tcPr>
            <w:tcW w:w="5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Len.</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Usage</w:t>
            </w:r>
          </w:p>
        </w:tc>
        <w:tc>
          <w:tcPr>
            <w:tcW w:w="22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EMS Data Field</w:t>
            </w:r>
          </w:p>
        </w:tc>
        <w:tc>
          <w:tcPr>
            <w:tcW w:w="261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Notes</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2</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Placer Order Number</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EI</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22</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Orders.PlacerOrderNumber</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Links to ORC-2.</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4</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Universal Service Identifier</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CE</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250</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VisitDiagnosticReports.DisplayName</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Requested procedure/test.</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7</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Observation Date/Time</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TS</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26</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PerformedDateTime</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Falls back to ORC dates.</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16</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 xml:space="preserve">Ordering </w:t>
            </w:r>
            <w:r>
              <w:rPr>
                <w:color w:val="000000"/>
                <w:sz w:val="18"/>
                <w:szCs w:val="18"/>
              </w:rPr>
              <w:lastRenderedPageBreak/>
              <w:t>Provider</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lastRenderedPageBreak/>
              <w:t>XCN</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250</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Orders.OrderingProvider</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AC46E9"/>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lastRenderedPageBreak/>
              <w:t>22</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Results Report Status Date/Time</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TS</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26</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Orders.ResultDate</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AC46E9"/>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34</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Technician</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CM</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200</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VisitDiagnosticReports.PerformedBy</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AC46E9"/>
        </w:tc>
      </w:tr>
    </w:tbl>
    <w:p w:rsidR="00AC46E9" w:rsidRDefault="00AC46E9">
      <w:pPr>
        <w:spacing w:before="60" w:after="60"/>
      </w:pPr>
    </w:p>
    <w:p w:rsidR="00AC46E9" w:rsidRDefault="00911B65">
      <w:pPr>
        <w:pStyle w:val="Heading2"/>
      </w:pPr>
      <w:r>
        <w:t>6.6  OBX Segment - Observation / Result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9"/>
        <w:gridCol w:w="1485"/>
        <w:gridCol w:w="901"/>
        <w:gridCol w:w="741"/>
        <w:gridCol w:w="781"/>
        <w:gridCol w:w="3242"/>
        <w:gridCol w:w="1641"/>
      </w:tblGrid>
      <w:tr w:rsidR="00AC46E9">
        <w:tblPrEx>
          <w:tblCellMar>
            <w:top w:w="0" w:type="dxa"/>
            <w:bottom w:w="0" w:type="dxa"/>
          </w:tblCellMar>
        </w:tblPrEx>
        <w:trPr>
          <w:tblHeader/>
        </w:trPr>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w:t>
            </w:r>
          </w:p>
        </w:tc>
        <w:tc>
          <w:tcPr>
            <w:tcW w:w="20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Element Name</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Type</w:t>
            </w:r>
          </w:p>
        </w:tc>
        <w:tc>
          <w:tcPr>
            <w:tcW w:w="5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Len.</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Usage</w:t>
            </w:r>
          </w:p>
        </w:tc>
        <w:tc>
          <w:tcPr>
            <w:tcW w:w="22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EMS Data Field</w:t>
            </w:r>
          </w:p>
        </w:tc>
        <w:tc>
          <w:tcPr>
            <w:tcW w:w="261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Notes</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1</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Set ID</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SI</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4</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Observations.Sequence</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AC46E9"/>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2</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Value Type</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ID</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2</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Observations.ValueType</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NM, ST, CE, TX, etc.</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3</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Observation Identifier</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CE</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250</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VisitObservations.Code/DisplayName</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Clinical observation code and name.</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5</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Observation Value</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VARIES</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99999</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VisitObservations.Value</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Full text for notes, flowsheets, radiology.</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6</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Units</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CE</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250</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VisitObservations.Unit</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AC46E9"/>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7</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Reference Range</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60</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VisitObservations.ReferenceRange</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AC46E9"/>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8</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Abnormal Flags</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IS</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5</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VisitObservations.Abnormal</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H/L/A indicators.</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11</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Observation Result Status</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ID</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Filter Only</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F final, C corrected, D delete.</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14</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Observation Date/Time</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TS</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26</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PerformedDateTime</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Falls back to OBR-7.</w:t>
            </w:r>
          </w:p>
        </w:tc>
      </w:tr>
    </w:tbl>
    <w:p w:rsidR="00AC46E9" w:rsidRDefault="00AC46E9">
      <w:pPr>
        <w:spacing w:before="60" w:after="60"/>
      </w:pPr>
    </w:p>
    <w:p w:rsidR="00AC46E9" w:rsidRDefault="00911B65">
      <w:pPr>
        <w:pStyle w:val="Heading2"/>
      </w:pPr>
      <w:r>
        <w:t>6.7  MRG Segment - Merge Patient Information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1"/>
        <w:gridCol w:w="1976"/>
        <w:gridCol w:w="661"/>
        <w:gridCol w:w="611"/>
        <w:gridCol w:w="781"/>
        <w:gridCol w:w="2164"/>
        <w:gridCol w:w="2526"/>
      </w:tblGrid>
      <w:tr w:rsidR="00AC46E9">
        <w:tblPrEx>
          <w:tblCellMar>
            <w:top w:w="0" w:type="dxa"/>
            <w:bottom w:w="0" w:type="dxa"/>
          </w:tblCellMar>
        </w:tblPrEx>
        <w:trPr>
          <w:tblHeader/>
        </w:trPr>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w:t>
            </w:r>
          </w:p>
        </w:tc>
        <w:tc>
          <w:tcPr>
            <w:tcW w:w="20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Element Name</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Type</w:t>
            </w:r>
          </w:p>
        </w:tc>
        <w:tc>
          <w:tcPr>
            <w:tcW w:w="5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Len.</w:t>
            </w:r>
          </w:p>
        </w:tc>
        <w:tc>
          <w:tcPr>
            <w:tcW w:w="65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Usage</w:t>
            </w:r>
          </w:p>
        </w:tc>
        <w:tc>
          <w:tcPr>
            <w:tcW w:w="22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EMS Data Field</w:t>
            </w:r>
          </w:p>
        </w:tc>
        <w:tc>
          <w:tcPr>
            <w:tcW w:w="261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Notes</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1.1</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Prior Patient MRN</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ST</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12</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FromMrn</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Patient MRN to be merged.</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3</w:t>
            </w:r>
          </w:p>
        </w:tc>
        <w:tc>
          <w:tcPr>
            <w:tcW w:w="20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Prior Patient Account Number</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CX</w:t>
            </w:r>
          </w:p>
        </w:tc>
        <w:tc>
          <w:tcPr>
            <w:tcW w:w="5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12</w:t>
            </w:r>
          </w:p>
        </w:tc>
        <w:tc>
          <w:tcPr>
            <w:tcW w:w="65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w:t>
            </w:r>
          </w:p>
        </w:tc>
        <w:tc>
          <w:tcPr>
            <w:tcW w:w="22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FromStayNumber</w:t>
            </w:r>
          </w:p>
        </w:tc>
        <w:tc>
          <w:tcPr>
            <w:tcW w:w="261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Visit/account number to merge; required for A35/A41/A42.</w:t>
            </w:r>
          </w:p>
        </w:tc>
      </w:tr>
      <w:tr w:rsidR="00AC46E9">
        <w:tblPrEx>
          <w:tblCellMar>
            <w:top w:w="0" w:type="dxa"/>
            <w:bottom w:w="0" w:type="dxa"/>
          </w:tblCellMar>
        </w:tblPrEx>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4</w:t>
            </w:r>
          </w:p>
        </w:tc>
        <w:tc>
          <w:tcPr>
            <w:tcW w:w="2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Prior External Patient ID</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CX</w:t>
            </w:r>
          </w:p>
        </w:tc>
        <w:tc>
          <w:tcPr>
            <w:tcW w:w="5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16</w:t>
            </w:r>
          </w:p>
        </w:tc>
        <w:tc>
          <w:tcPr>
            <w:tcW w:w="6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FromMasterIndex</w:t>
            </w:r>
          </w:p>
        </w:tc>
        <w:tc>
          <w:tcPr>
            <w:tcW w:w="261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Used for MPI merge.</w:t>
            </w:r>
          </w:p>
        </w:tc>
      </w:tr>
    </w:tbl>
    <w:p w:rsidR="00AC46E9" w:rsidRDefault="00AC46E9">
      <w:pPr>
        <w:spacing w:before="60" w:after="60"/>
      </w:pPr>
    </w:p>
    <w:p w:rsidR="00AC46E9" w:rsidRDefault="00911B65">
      <w:pPr>
        <w:pStyle w:val="Heading2"/>
      </w:pPr>
      <w:r>
        <w:t>Additional Supported Segments</w:t>
      </w:r>
    </w:p>
    <w:p w:rsidR="00AC46E9" w:rsidRDefault="00911B65">
      <w:pPr>
        <w:spacing w:before="60" w:after="60"/>
      </w:pPr>
      <w:r>
        <w:rPr>
          <w:color w:val="000000"/>
        </w:rPr>
        <w:lastRenderedPageBreak/>
        <w:t>DG1, GT1, IN1, IN2, NK1, ODS, PR1, NTE, RXE, and TXA are supported for diagnosis, guarantor, insurance, next-of-kin, dietary order, procedure, notes, pharmacy, and clinical document workflows. These segments follow HL7 v2.3 structure and are mapped according to the EMS data fields documented in the implementation workbook.</w:t>
      </w:r>
    </w:p>
    <w:p w:rsidR="00AC46E9" w:rsidRDefault="00911B65">
      <w:r>
        <w:br w:type="page"/>
      </w:r>
    </w:p>
    <w:p w:rsidR="00AC46E9" w:rsidRDefault="00911B65">
      <w:pPr>
        <w:pStyle w:val="Heading1"/>
      </w:pPr>
      <w:r>
        <w:lastRenderedPageBreak/>
        <w:t>7  Merge Processing Rules</w:t>
      </w:r>
    </w:p>
    <w:p w:rsidR="00AC46E9" w:rsidRDefault="00911B65">
      <w:pPr>
        <w:spacing w:before="60" w:after="60"/>
      </w:pPr>
      <w:r>
        <w:rPr>
          <w:color w:val="000000"/>
        </w:rPr>
        <w:t>EMS supports patient and visit merge/move operations. Processing behavior depends on ADT event code and data provided in PID, PV1, and MRG.</w:t>
      </w:r>
    </w:p>
    <w:p w:rsidR="00AC46E9" w:rsidRDefault="00911B65">
      <w:pPr>
        <w:spacing w:before="60" w:after="60"/>
        <w:ind w:left="360"/>
      </w:pPr>
      <w:r>
        <w:rPr>
          <w:i/>
          <w:iCs/>
          <w:color w:val="595959"/>
          <w:sz w:val="18"/>
          <w:szCs w:val="18"/>
        </w:rPr>
        <w:t>If a Visit Number is provided in MRG-3, the system moves that visit from one MRN to another. If only MRN is present in MRG, the system merges MRN records.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1480"/>
        <w:gridCol w:w="3391"/>
        <w:gridCol w:w="3538"/>
      </w:tblGrid>
      <w:tr w:rsidR="00AC46E9">
        <w:tblPrEx>
          <w:tblCellMar>
            <w:top w:w="0" w:type="dxa"/>
            <w:bottom w:w="0" w:type="dxa"/>
          </w:tblCellMar>
        </w:tblPrEx>
        <w:trPr>
          <w:tblHeader/>
        </w:trPr>
        <w:tc>
          <w:tcPr>
            <w:tcW w:w="7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Event</w:t>
            </w:r>
          </w:p>
        </w:tc>
        <w:tc>
          <w:tcPr>
            <w:tcW w:w="15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Operation</w:t>
            </w:r>
          </w:p>
        </w:tc>
        <w:tc>
          <w:tcPr>
            <w:tcW w:w="35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Description</w:t>
            </w:r>
          </w:p>
        </w:tc>
        <w:tc>
          <w:tcPr>
            <w:tcW w:w="366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EMS Processing</w:t>
            </w:r>
          </w:p>
        </w:tc>
      </w:tr>
      <w:tr w:rsidR="00AC46E9">
        <w:tblPrEx>
          <w:tblCellMar>
            <w:top w:w="0" w:type="dxa"/>
            <w:bottom w:w="0" w:type="dxa"/>
          </w:tblCellMar>
        </w:tblPrEx>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A18</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Flexible Merge</w:t>
            </w:r>
          </w:p>
        </w:tc>
        <w:tc>
          <w:tcPr>
            <w:tcW w:w="3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Determines merge type dynamically based on MRG-3 content.</w:t>
            </w:r>
          </w:p>
        </w:tc>
        <w:tc>
          <w:tcPr>
            <w:tcW w:w="36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If MRG-3 exists execute A36; otherwise execute A34.</w:t>
            </w:r>
          </w:p>
        </w:tc>
      </w:tr>
      <w:tr w:rsidR="00AC46E9">
        <w:tblPrEx>
          <w:tblCellMar>
            <w:top w:w="0" w:type="dxa"/>
            <w:bottom w:w="0" w:type="dxa"/>
          </w:tblCellMar>
        </w:tblPrEx>
        <w:tc>
          <w:tcPr>
            <w:tcW w:w="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A34</w:t>
            </w:r>
          </w:p>
        </w:tc>
        <w:tc>
          <w:tcPr>
            <w:tcW w:w="15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Patient Merge</w:t>
            </w:r>
          </w:p>
        </w:tc>
        <w:tc>
          <w:tcPr>
            <w:tcW w:w="35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Merge two patient records.</w:t>
            </w:r>
          </w:p>
        </w:tc>
        <w:tc>
          <w:tcPr>
            <w:tcW w:w="36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Merge MRG-1 patient into PID-3 survivor.</w:t>
            </w:r>
          </w:p>
        </w:tc>
      </w:tr>
      <w:tr w:rsidR="00AC46E9">
        <w:tblPrEx>
          <w:tblCellMar>
            <w:top w:w="0" w:type="dxa"/>
            <w:bottom w:w="0" w:type="dxa"/>
          </w:tblCellMar>
        </w:tblPrEx>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A35</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Visit Merge</w:t>
            </w:r>
          </w:p>
        </w:tc>
        <w:tc>
          <w:tcPr>
            <w:tcW w:w="3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 two visits/account numbers into one.</w:t>
            </w:r>
          </w:p>
        </w:tc>
        <w:tc>
          <w:tcPr>
            <w:tcW w:w="36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 MRG-3 visit into PV1-19 survivor.</w:t>
            </w:r>
          </w:p>
        </w:tc>
      </w:tr>
      <w:tr w:rsidR="00AC46E9">
        <w:tblPrEx>
          <w:tblCellMar>
            <w:top w:w="0" w:type="dxa"/>
            <w:bottom w:w="0" w:type="dxa"/>
          </w:tblCellMar>
        </w:tblPrEx>
        <w:tc>
          <w:tcPr>
            <w:tcW w:w="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A36</w:t>
            </w:r>
          </w:p>
        </w:tc>
        <w:tc>
          <w:tcPr>
            <w:tcW w:w="15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 Move</w:t>
            </w:r>
          </w:p>
        </w:tc>
        <w:tc>
          <w:tcPr>
            <w:tcW w:w="35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Move a visit from one patient to another.</w:t>
            </w:r>
          </w:p>
        </w:tc>
        <w:tc>
          <w:tcPr>
            <w:tcW w:w="36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Move MRG-3 visit to patient PID-3.</w:t>
            </w:r>
          </w:p>
        </w:tc>
      </w:tr>
      <w:tr w:rsidR="00AC46E9">
        <w:tblPrEx>
          <w:tblCellMar>
            <w:top w:w="0" w:type="dxa"/>
            <w:bottom w:w="0" w:type="dxa"/>
          </w:tblCellMar>
        </w:tblPrEx>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A40</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Flexible Merge</w:t>
            </w:r>
          </w:p>
        </w:tc>
        <w:tc>
          <w:tcPr>
            <w:tcW w:w="3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Alias for A18.</w:t>
            </w:r>
          </w:p>
        </w:tc>
        <w:tc>
          <w:tcPr>
            <w:tcW w:w="36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Executes A18 logic.</w:t>
            </w:r>
          </w:p>
        </w:tc>
      </w:tr>
      <w:tr w:rsidR="00AC46E9">
        <w:tblPrEx>
          <w:tblCellMar>
            <w:top w:w="0" w:type="dxa"/>
            <w:bottom w:w="0" w:type="dxa"/>
          </w:tblCellMar>
        </w:tblPrEx>
        <w:tc>
          <w:tcPr>
            <w:tcW w:w="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A41/A42</w:t>
            </w:r>
          </w:p>
        </w:tc>
        <w:tc>
          <w:tcPr>
            <w:tcW w:w="15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Visit Merge</w:t>
            </w:r>
          </w:p>
        </w:tc>
        <w:tc>
          <w:tcPr>
            <w:tcW w:w="35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Alias for A35.</w:t>
            </w:r>
          </w:p>
        </w:tc>
        <w:tc>
          <w:tcPr>
            <w:tcW w:w="36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Executes A35 logic.</w:t>
            </w:r>
          </w:p>
        </w:tc>
      </w:tr>
      <w:tr w:rsidR="00AC46E9">
        <w:tblPrEx>
          <w:tblCellMar>
            <w:top w:w="0" w:type="dxa"/>
            <w:bottom w:w="0" w:type="dxa"/>
          </w:tblCellMar>
        </w:tblPrEx>
        <w:tc>
          <w:tcPr>
            <w:tcW w:w="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A43</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Patient Merge</w:t>
            </w:r>
          </w:p>
        </w:tc>
        <w:tc>
          <w:tcPr>
            <w:tcW w:w="3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Alias for A34.</w:t>
            </w:r>
          </w:p>
        </w:tc>
        <w:tc>
          <w:tcPr>
            <w:tcW w:w="36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Executes A34 logic.</w:t>
            </w:r>
          </w:p>
        </w:tc>
      </w:tr>
      <w:tr w:rsidR="00AC46E9">
        <w:tblPrEx>
          <w:tblCellMar>
            <w:top w:w="0" w:type="dxa"/>
            <w:bottom w:w="0" w:type="dxa"/>
          </w:tblCellMar>
        </w:tblPrEx>
        <w:tc>
          <w:tcPr>
            <w:tcW w:w="7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A44</w:t>
            </w:r>
          </w:p>
        </w:tc>
        <w:tc>
          <w:tcPr>
            <w:tcW w:w="15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Move Account Info</w:t>
            </w:r>
          </w:p>
        </w:tc>
        <w:tc>
          <w:tcPr>
            <w:tcW w:w="35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Alias for A36.</w:t>
            </w:r>
          </w:p>
        </w:tc>
        <w:tc>
          <w:tcPr>
            <w:tcW w:w="36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Executes A36 logic.</w:t>
            </w:r>
          </w:p>
        </w:tc>
      </w:tr>
    </w:tbl>
    <w:p w:rsidR="00AC46E9" w:rsidRDefault="00911B65">
      <w:pPr>
        <w:pStyle w:val="Heading2"/>
      </w:pPr>
      <w:r>
        <w:t>Required Fields</w:t>
      </w:r>
    </w:p>
    <w:p w:rsidR="00AC46E9" w:rsidRDefault="00911B65">
      <w:pPr>
        <w:pStyle w:val="Heading3"/>
      </w:pPr>
      <w:r>
        <w:t>Patient Merge</w:t>
      </w:r>
    </w:p>
    <w:p w:rsidR="00AC46E9" w:rsidRDefault="00911B65">
      <w:pPr>
        <w:pStyle w:val="ListParagraph"/>
        <w:numPr>
          <w:ilvl w:val="0"/>
          <w:numId w:val="2"/>
        </w:numPr>
        <w:spacing w:before="40" w:after="40"/>
      </w:pPr>
      <w:r>
        <w:rPr>
          <w:color w:val="000000"/>
        </w:rPr>
        <w:t>Site: MSH-4.1</w:t>
      </w:r>
    </w:p>
    <w:p w:rsidR="00AC46E9" w:rsidRDefault="00911B65">
      <w:pPr>
        <w:pStyle w:val="ListParagraph"/>
        <w:numPr>
          <w:ilvl w:val="0"/>
          <w:numId w:val="2"/>
        </w:numPr>
        <w:spacing w:before="40" w:after="40"/>
      </w:pPr>
      <w:r>
        <w:rPr>
          <w:color w:val="000000"/>
        </w:rPr>
        <w:t>ToMrn: PID-3.1</w:t>
      </w:r>
    </w:p>
    <w:p w:rsidR="00AC46E9" w:rsidRDefault="00911B65">
      <w:pPr>
        <w:pStyle w:val="ListParagraph"/>
        <w:numPr>
          <w:ilvl w:val="0"/>
          <w:numId w:val="2"/>
        </w:numPr>
        <w:spacing w:before="40" w:after="40"/>
      </w:pPr>
      <w:r>
        <w:rPr>
          <w:color w:val="000000"/>
        </w:rPr>
        <w:t>FromMrn: MRG-1.1</w:t>
      </w:r>
    </w:p>
    <w:p w:rsidR="00AC46E9" w:rsidRDefault="00911B65">
      <w:pPr>
        <w:pStyle w:val="Heading3"/>
      </w:pPr>
      <w:r>
        <w:t>Visit Merge</w:t>
      </w:r>
    </w:p>
    <w:p w:rsidR="00AC46E9" w:rsidRDefault="00911B65">
      <w:pPr>
        <w:pStyle w:val="ListParagraph"/>
        <w:numPr>
          <w:ilvl w:val="0"/>
          <w:numId w:val="2"/>
        </w:numPr>
        <w:spacing w:before="40" w:after="40"/>
      </w:pPr>
      <w:r>
        <w:rPr>
          <w:color w:val="000000"/>
        </w:rPr>
        <w:t>ToStayNumber: PV1-19</w:t>
      </w:r>
    </w:p>
    <w:p w:rsidR="00AC46E9" w:rsidRDefault="00911B65">
      <w:pPr>
        <w:pStyle w:val="ListParagraph"/>
        <w:numPr>
          <w:ilvl w:val="0"/>
          <w:numId w:val="2"/>
        </w:numPr>
        <w:spacing w:before="40" w:after="40"/>
      </w:pPr>
      <w:r>
        <w:rPr>
          <w:color w:val="000000"/>
        </w:rPr>
        <w:t>FromStayNumber: MRG-3.1</w:t>
      </w:r>
    </w:p>
    <w:p w:rsidR="00AC46E9" w:rsidRDefault="00911B65">
      <w:pPr>
        <w:pStyle w:val="Heading3"/>
      </w:pPr>
      <w:r>
        <w:t>Visit Move</w:t>
      </w:r>
    </w:p>
    <w:p w:rsidR="00AC46E9" w:rsidRDefault="00911B65">
      <w:pPr>
        <w:pStyle w:val="ListParagraph"/>
        <w:numPr>
          <w:ilvl w:val="0"/>
          <w:numId w:val="2"/>
        </w:numPr>
        <w:spacing w:before="40" w:after="40"/>
      </w:pPr>
      <w:r>
        <w:rPr>
          <w:color w:val="000000"/>
        </w:rPr>
        <w:t>ToMrn: PID-3.1</w:t>
      </w:r>
    </w:p>
    <w:p w:rsidR="00AC46E9" w:rsidRDefault="00911B65">
      <w:pPr>
        <w:pStyle w:val="ListParagraph"/>
        <w:numPr>
          <w:ilvl w:val="0"/>
          <w:numId w:val="2"/>
        </w:numPr>
        <w:spacing w:before="40" w:after="40"/>
      </w:pPr>
      <w:r>
        <w:rPr>
          <w:color w:val="000000"/>
        </w:rPr>
        <w:t>FromStayNumber: MRG-3.1</w:t>
      </w:r>
    </w:p>
    <w:p w:rsidR="00AC46E9" w:rsidRDefault="00911B65">
      <w:pPr>
        <w:pStyle w:val="Heading2"/>
      </w:pPr>
      <w:r>
        <w:t>Master Patient Index Merge</w:t>
      </w:r>
    </w:p>
    <w:p w:rsidR="00AC46E9" w:rsidRDefault="00911B65">
      <w:pPr>
        <w:spacing w:before="60" w:after="60"/>
      </w:pPr>
      <w:r>
        <w:rPr>
          <w:color w:val="000000"/>
        </w:rPr>
        <w:t>To initiate an MPI merge instead of a standard MRN merge, provide valid Master Index values in both MRG-4 and PID-4.</w:t>
      </w:r>
    </w:p>
    <w:p w:rsidR="00AC46E9" w:rsidRDefault="00911B65">
      <w:r>
        <w:br w:type="page"/>
      </w:r>
    </w:p>
    <w:p w:rsidR="00AC46E9" w:rsidRDefault="00911B65">
      <w:pPr>
        <w:pStyle w:val="Heading1"/>
      </w:pPr>
      <w:r>
        <w:lastRenderedPageBreak/>
        <w:t>8  Supported HL7 Transactions</w:t>
      </w:r>
    </w:p>
    <w:p w:rsidR="00AC46E9" w:rsidRDefault="00911B65">
      <w:pPr>
        <w:pStyle w:val="Heading2"/>
      </w:pPr>
      <w:r>
        <w:t>8.1  ADT Transactions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C46E9">
        <w:tblPrEx>
          <w:tblCellMar>
            <w:top w:w="0" w:type="dxa"/>
            <w:bottom w:w="0" w:type="dxa"/>
          </w:tblCellMar>
        </w:tblPrEx>
        <w:trPr>
          <w:tblHeader/>
        </w:trPr>
        <w:tc>
          <w:tcPr>
            <w:tcW w:w="9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Code</w:t>
            </w:r>
          </w:p>
        </w:tc>
        <w:tc>
          <w:tcPr>
            <w:tcW w:w="846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Description</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A01</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Admit Patient</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A02</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Transfer Patient</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A03</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Discharge Patient</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A04</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Register Patient</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A05</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Pre-Admit Patient</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A08</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 Demographics</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A11</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Cancel Admit</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A12</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Cancel Transfer</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A13</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Cancel Discharge</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A18</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Merge Patient (Flexible)</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A28</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Add Person Information</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A31</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 Person Information</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A34</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 Patient - Patient ID</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A35</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Merge Visit - Account Number</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A36</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Move Visit - Patient &amp; Account</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A40</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Merge Patient - Internal ID</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A41</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 Visit - Account Number</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A42</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Merge Visit - Account Number</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A43</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Merge Patient - Internal ID</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A44</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Move Account Info - Account Number</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S12</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New Appointment</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S14</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Appointment Confirmed</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S15</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Appointment Cancelled / No Show</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P05</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Update Account</w:t>
            </w:r>
          </w:p>
        </w:tc>
      </w:tr>
    </w:tbl>
    <w:p w:rsidR="00AC46E9" w:rsidRDefault="00911B65">
      <w:pPr>
        <w:pStyle w:val="Heading2"/>
      </w:pPr>
      <w:r>
        <w:t>8.2  Order, Result, and Document Transactions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C46E9">
        <w:tblPrEx>
          <w:tblCellMar>
            <w:top w:w="0" w:type="dxa"/>
            <w:bottom w:w="0" w:type="dxa"/>
          </w:tblCellMar>
        </w:tblPrEx>
        <w:trPr>
          <w:tblHeader/>
        </w:trPr>
        <w:tc>
          <w:tcPr>
            <w:tcW w:w="90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Code</w:t>
            </w:r>
          </w:p>
        </w:tc>
        <w:tc>
          <w:tcPr>
            <w:tcW w:w="8460" w:type="dxa"/>
            <w:tcBorders>
              <w:top w:val="single" w:sz="4" w:space="0" w:color="9DC3E6"/>
              <w:left w:val="single" w:sz="4" w:space="0" w:color="9DC3E6"/>
              <w:bottom w:val="single" w:sz="4" w:space="0" w:color="9DC3E6"/>
              <w:right w:val="single" w:sz="4" w:space="0" w:color="9DC3E6"/>
            </w:tcBorders>
            <w:shd w:val="clear" w:color="auto" w:fill="1F4E79"/>
            <w:tcMar>
              <w:top w:w="80" w:type="dxa"/>
              <w:left w:w="120" w:type="dxa"/>
              <w:bottom w:w="80" w:type="dxa"/>
              <w:right w:w="120" w:type="dxa"/>
            </w:tcMar>
            <w:vAlign w:val="center"/>
          </w:tcPr>
          <w:p w:rsidR="00AC46E9" w:rsidRDefault="00911B65">
            <w:pPr>
              <w:jc w:val="center"/>
            </w:pPr>
            <w:r>
              <w:rPr>
                <w:b/>
                <w:bCs/>
                <w:color w:val="FFFFFF"/>
                <w:sz w:val="18"/>
                <w:szCs w:val="18"/>
              </w:rPr>
              <w:t>Description</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O01</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General Order Message</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O02</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General Order Response</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O03</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Ancillary Order Update</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O04</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Order Acknowledgment</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O11</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Pharmacy / Treatment Order</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lastRenderedPageBreak/>
              <w:t>O19</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General Clinical Order</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O20</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General Clinical Order Response</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O21</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General Clinical Order (Laboratory)</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O22</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General Laboratory Order Response</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R01</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Unsolicited Observation</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R02</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Query for Observation Results</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R03</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Display-Oriented Results</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pPr>
              <w:jc w:val="center"/>
            </w:pPr>
            <w:r>
              <w:rPr>
                <w:b/>
                <w:bCs/>
                <w:color w:val="000000"/>
                <w:sz w:val="18"/>
                <w:szCs w:val="18"/>
              </w:rPr>
              <w:t>T02</w:t>
            </w:r>
          </w:p>
        </w:tc>
        <w:tc>
          <w:tcPr>
            <w:tcW w:w="84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AC46E9" w:rsidRDefault="00911B65">
            <w:r>
              <w:rPr>
                <w:color w:val="000000"/>
                <w:sz w:val="18"/>
                <w:szCs w:val="18"/>
              </w:rPr>
              <w:t>Original Document Notification and Content</w:t>
            </w:r>
          </w:p>
        </w:tc>
      </w:tr>
      <w:tr w:rsidR="00AC46E9">
        <w:tblPrEx>
          <w:tblCellMar>
            <w:top w:w="0" w:type="dxa"/>
            <w:bottom w:w="0" w:type="dxa"/>
          </w:tblCellMar>
        </w:tblPrEx>
        <w:tc>
          <w:tcPr>
            <w:tcW w:w="90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pPr>
              <w:jc w:val="center"/>
            </w:pPr>
            <w:r>
              <w:rPr>
                <w:b/>
                <w:bCs/>
                <w:color w:val="000000"/>
                <w:sz w:val="18"/>
                <w:szCs w:val="18"/>
              </w:rPr>
              <w:t>T08</w:t>
            </w:r>
          </w:p>
        </w:tc>
        <w:tc>
          <w:tcPr>
            <w:tcW w:w="8460"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vAlign w:val="center"/>
          </w:tcPr>
          <w:p w:rsidR="00AC46E9" w:rsidRDefault="00911B65">
            <w:r>
              <w:rPr>
                <w:color w:val="000000"/>
                <w:sz w:val="18"/>
                <w:szCs w:val="18"/>
              </w:rPr>
              <w:t>Document Edit Notification and Content</w:t>
            </w:r>
          </w:p>
        </w:tc>
      </w:tr>
    </w:tbl>
    <w:p w:rsidR="00AC46E9" w:rsidRDefault="00911B65">
      <w:r>
        <w:br w:type="page"/>
      </w:r>
    </w:p>
    <w:p w:rsidR="00AC46E9" w:rsidRDefault="00911B65">
      <w:pPr>
        <w:pStyle w:val="Heading1"/>
      </w:pPr>
      <w:r>
        <w:lastRenderedPageBreak/>
        <w:t>9  HL7 Message Examples</w:t>
      </w:r>
    </w:p>
    <w:p w:rsidR="00AC46E9" w:rsidRDefault="00911B65">
      <w:pPr>
        <w:spacing w:before="60" w:after="60"/>
      </w:pPr>
      <w:r>
        <w:rPr>
          <w:color w:val="000000"/>
        </w:rPr>
        <w:t>The following examples illustrate typical HL7 messages processed by EMS. Actual implementations may vary.</w:t>
      </w:r>
    </w:p>
    <w:p w:rsidR="00AC46E9" w:rsidRDefault="00911B65">
      <w:pPr>
        <w:pStyle w:val="Heading2"/>
      </w:pPr>
      <w:r>
        <w:t>9.1  Laboratory Results (ORU^R01)</w:t>
      </w:r>
    </w:p>
    <w:p w:rsidR="00AC46E9" w:rsidRDefault="00911B65">
      <w:pPr>
        <w:pBdr>
          <w:top w:val="single" w:sz="4" w:space="0" w:color="9DC3E6"/>
          <w:left w:val="single" w:sz="4" w:space="0" w:color="9DC3E6"/>
          <w:right w:val="single" w:sz="4" w:space="0" w:color="9DC3E6"/>
        </w:pBdr>
        <w:shd w:val="clear" w:color="auto" w:fill="F7F7F7"/>
        <w:spacing w:before="80"/>
      </w:pPr>
      <w:r>
        <w:rPr>
          <w:rFonts w:ascii="Courier New" w:eastAsia="Courier New" w:hAnsi="Courier New" w:cs="Courier New"/>
          <w:sz w:val="16"/>
          <w:szCs w:val="16"/>
        </w:rPr>
        <w:t>MSH|^~\&amp;|EHR|GH|LAB|GH|20250617073000||ORU^R01|80002|P|2.5.1</w:t>
      </w:r>
    </w:p>
    <w:p w:rsidR="00AC46E9" w:rsidRDefault="00911B65">
      <w:pPr>
        <w:pBdr>
          <w:left w:val="single" w:sz="4" w:space="0" w:color="9DC3E6"/>
          <w:right w:val="single" w:sz="4" w:space="0" w:color="9DC3E6"/>
        </w:pBdr>
        <w:shd w:val="clear" w:color="auto" w:fill="F7F7F7"/>
      </w:pPr>
      <w:r>
        <w:rPr>
          <w:rFonts w:ascii="Courier New" w:eastAsia="Courier New" w:hAnsi="Courier New" w:cs="Courier New"/>
          <w:sz w:val="16"/>
          <w:szCs w:val="16"/>
        </w:rPr>
        <w:t>PID|1||387968^^^GH^MRN^1||Johnson^Sarah||19490305|F|||456 Oak St^^Greenville^TX^75401||214-555-7890</w:t>
      </w:r>
    </w:p>
    <w:p w:rsidR="00AC46E9" w:rsidRDefault="00911B65">
      <w:pPr>
        <w:pBdr>
          <w:left w:val="single" w:sz="4" w:space="0" w:color="9DC3E6"/>
          <w:right w:val="single" w:sz="4" w:space="0" w:color="9DC3E6"/>
        </w:pBdr>
        <w:shd w:val="clear" w:color="auto" w:fill="F7F7F7"/>
      </w:pPr>
      <w:r>
        <w:rPr>
          <w:rFonts w:ascii="Courier New" w:eastAsia="Courier New" w:hAnsi="Courier New" w:cs="Courier New"/>
          <w:sz w:val="16"/>
          <w:szCs w:val="16"/>
        </w:rPr>
        <w:t>PV1|1|I|ICU^301^A^1^^^S||||1234^Smith^Robert^J|||||||||||61854^^^AccMgr^VN||||||||||||||||||||20250616100000</w:t>
      </w:r>
    </w:p>
    <w:p w:rsidR="00AC46E9" w:rsidRDefault="00911B65">
      <w:pPr>
        <w:pBdr>
          <w:left w:val="single" w:sz="4" w:space="0" w:color="9DC3E6"/>
          <w:right w:val="single" w:sz="4" w:space="0" w:color="9DC3E6"/>
        </w:pBdr>
        <w:shd w:val="clear" w:color="auto" w:fill="F7F7F7"/>
      </w:pPr>
      <w:r>
        <w:rPr>
          <w:rFonts w:ascii="Courier New" w:eastAsia="Courier New" w:hAnsi="Courier New" w:cs="Courier New"/>
          <w:sz w:val="16"/>
          <w:szCs w:val="16"/>
        </w:rPr>
        <w:t>ORC||352045209|||||||20250617080000</w:t>
      </w:r>
    </w:p>
    <w:p w:rsidR="00AC46E9" w:rsidRDefault="00911B65">
      <w:pPr>
        <w:pBdr>
          <w:left w:val="single" w:sz="4" w:space="0" w:color="9DC3E6"/>
          <w:right w:val="single" w:sz="4" w:space="0" w:color="9DC3E6"/>
        </w:pBdr>
        <w:shd w:val="clear" w:color="auto" w:fill="F7F7F7"/>
      </w:pPr>
      <w:r>
        <w:rPr>
          <w:rFonts w:ascii="Courier New" w:eastAsia="Courier New" w:hAnsi="Courier New" w:cs="Courier New"/>
          <w:sz w:val="16"/>
          <w:szCs w:val="16"/>
        </w:rPr>
        <w:t>OBR|1||L1234567|Potassium Level^Basic Metabolic Panel^LN|||20250617070000</w:t>
      </w:r>
    </w:p>
    <w:p w:rsidR="00AC46E9" w:rsidRDefault="00911B65">
      <w:pPr>
        <w:pBdr>
          <w:left w:val="single" w:sz="4" w:space="0" w:color="9DC3E6"/>
          <w:bottom w:val="single" w:sz="4" w:space="0" w:color="9DC3E6"/>
          <w:right w:val="single" w:sz="4" w:space="0" w:color="9DC3E6"/>
        </w:pBdr>
        <w:shd w:val="clear" w:color="auto" w:fill="F7F7F7"/>
        <w:spacing w:after="80"/>
      </w:pPr>
      <w:r>
        <w:rPr>
          <w:rFonts w:ascii="Courier New" w:eastAsia="Courier New" w:hAnsi="Courier New" w:cs="Courier New"/>
          <w:sz w:val="16"/>
          <w:szCs w:val="16"/>
        </w:rPr>
        <w:t>OBX|1|NM|2823-3^Potassium [Moles/volume] in Serum or Plasma^LN||6.2|mmol/L|3.5-5.1|H|||F|||20250617073000</w:t>
      </w:r>
    </w:p>
    <w:p w:rsidR="00AC46E9" w:rsidRDefault="00911B65">
      <w:pPr>
        <w:pStyle w:val="Heading2"/>
      </w:pPr>
      <w:r>
        <w:t>9.2  Vital Signs (ORU^R01)</w:t>
      </w:r>
    </w:p>
    <w:p w:rsidR="00AC46E9" w:rsidRDefault="00911B65">
      <w:pPr>
        <w:pBdr>
          <w:top w:val="single" w:sz="4" w:space="0" w:color="9DC3E6"/>
          <w:left w:val="single" w:sz="4" w:space="0" w:color="9DC3E6"/>
          <w:right w:val="single" w:sz="4" w:space="0" w:color="9DC3E6"/>
        </w:pBdr>
        <w:shd w:val="clear" w:color="auto" w:fill="F7F7F7"/>
        <w:spacing w:before="80"/>
      </w:pPr>
      <w:r>
        <w:rPr>
          <w:rFonts w:ascii="Courier New" w:eastAsia="Courier New" w:hAnsi="Courier New" w:cs="Courier New"/>
          <w:sz w:val="16"/>
          <w:szCs w:val="16"/>
        </w:rPr>
        <w:t>MSH|^~\&amp;|EPIC|GH|EPICDOC|UF|20250615040000|RNDOEJ|ORU^R01|11006|P|2.3</w:t>
      </w:r>
    </w:p>
    <w:p w:rsidR="00AC46E9" w:rsidRDefault="00911B65">
      <w:pPr>
        <w:pBdr>
          <w:left w:val="single" w:sz="4" w:space="0" w:color="9DC3E6"/>
          <w:right w:val="single" w:sz="4" w:space="0" w:color="9DC3E6"/>
        </w:pBdr>
        <w:shd w:val="clear" w:color="auto" w:fill="F7F7F7"/>
      </w:pPr>
      <w:r>
        <w:rPr>
          <w:rFonts w:ascii="Courier New" w:eastAsia="Courier New" w:hAnsi="Courier New" w:cs="Courier New"/>
          <w:sz w:val="16"/>
          <w:szCs w:val="16"/>
        </w:rPr>
        <w:t>PID|||165746^^^1^MRN^1||Doe^John^^||19531122|M</w:t>
      </w:r>
    </w:p>
    <w:p w:rsidR="00AC46E9" w:rsidRDefault="00911B65">
      <w:pPr>
        <w:pBdr>
          <w:left w:val="single" w:sz="4" w:space="0" w:color="9DC3E6"/>
          <w:right w:val="single" w:sz="4" w:space="0" w:color="9DC3E6"/>
        </w:pBdr>
        <w:shd w:val="clear" w:color="auto" w:fill="F7F7F7"/>
      </w:pPr>
      <w:r>
        <w:rPr>
          <w:rFonts w:ascii="Courier New" w:eastAsia="Courier New" w:hAnsi="Courier New" w:cs="Courier New"/>
          <w:sz w:val="16"/>
          <w:szCs w:val="16"/>
        </w:rPr>
        <w:t>PV1|1|I|ICU^301^A^1^^^S||||1234^Smith^Robert^J|||||||||||39520^^^AccMgr^VN||||||||||||||||||||20250614100000</w:t>
      </w:r>
    </w:p>
    <w:p w:rsidR="00AC46E9" w:rsidRDefault="00911B65">
      <w:pPr>
        <w:pBdr>
          <w:left w:val="single" w:sz="4" w:space="0" w:color="9DC3E6"/>
          <w:right w:val="single" w:sz="4" w:space="0" w:color="9DC3E6"/>
        </w:pBdr>
        <w:shd w:val="clear" w:color="auto" w:fill="F7F7F7"/>
      </w:pPr>
      <w:r>
        <w:rPr>
          <w:rFonts w:ascii="Courier New" w:eastAsia="Courier New" w:hAnsi="Courier New" w:cs="Courier New"/>
          <w:sz w:val="16"/>
          <w:szCs w:val="16"/>
        </w:rPr>
        <w:t>OBX|1|ST|BP^BP^ROTHMAN||122/75||||||F|||20250615040000</w:t>
      </w:r>
    </w:p>
    <w:p w:rsidR="00AC46E9" w:rsidRDefault="00911B65">
      <w:pPr>
        <w:pBdr>
          <w:left w:val="single" w:sz="4" w:space="0" w:color="9DC3E6"/>
          <w:right w:val="single" w:sz="4" w:space="0" w:color="9DC3E6"/>
        </w:pBdr>
        <w:shd w:val="clear" w:color="auto" w:fill="F7F7F7"/>
      </w:pPr>
      <w:r>
        <w:rPr>
          <w:rFonts w:ascii="Courier New" w:eastAsia="Courier New" w:hAnsi="Courier New" w:cs="Courier New"/>
          <w:sz w:val="16"/>
          <w:szCs w:val="16"/>
        </w:rPr>
        <w:t>OBX|2|NM|TEMPERATURE^Temp^ROTHMAN||37.5|C|||||F|||20250615040000</w:t>
      </w:r>
    </w:p>
    <w:p w:rsidR="00AC46E9" w:rsidRDefault="00911B65">
      <w:pPr>
        <w:pBdr>
          <w:left w:val="single" w:sz="4" w:space="0" w:color="9DC3E6"/>
          <w:bottom w:val="single" w:sz="4" w:space="0" w:color="9DC3E6"/>
          <w:right w:val="single" w:sz="4" w:space="0" w:color="9DC3E6"/>
        </w:pBdr>
        <w:shd w:val="clear" w:color="auto" w:fill="F7F7F7"/>
        <w:spacing w:after="80"/>
      </w:pPr>
      <w:r>
        <w:rPr>
          <w:rFonts w:ascii="Courier New" w:eastAsia="Courier New" w:hAnsi="Courier New" w:cs="Courier New"/>
          <w:sz w:val="16"/>
          <w:szCs w:val="16"/>
        </w:rPr>
        <w:t>OBX|3|NM|HEARTRATE^Pulse^ROTHMAN||88||||||F|||20250615040000</w:t>
      </w:r>
    </w:p>
    <w:p w:rsidR="00AC46E9" w:rsidRDefault="00911B65">
      <w:pPr>
        <w:pStyle w:val="Heading2"/>
      </w:pPr>
      <w:r>
        <w:t>9.3  Medication Administration (RDE^O11)</w:t>
      </w:r>
    </w:p>
    <w:p w:rsidR="00AC46E9" w:rsidRDefault="00911B65">
      <w:pPr>
        <w:pBdr>
          <w:top w:val="single" w:sz="4" w:space="0" w:color="9DC3E6"/>
          <w:left w:val="single" w:sz="4" w:space="0" w:color="9DC3E6"/>
          <w:right w:val="single" w:sz="4" w:space="0" w:color="9DC3E6"/>
        </w:pBdr>
        <w:shd w:val="clear" w:color="auto" w:fill="F7F7F7"/>
        <w:spacing w:before="80"/>
      </w:pPr>
      <w:r>
        <w:rPr>
          <w:rFonts w:ascii="Courier New" w:eastAsia="Courier New" w:hAnsi="Courier New" w:cs="Courier New"/>
          <w:sz w:val="16"/>
          <w:szCs w:val="16"/>
        </w:rPr>
        <w:t>MSH|^~\&amp;|Epic|GH|||20250614120000|28568|RDE^O11|27927|P|2.5.1</w:t>
      </w:r>
    </w:p>
    <w:p w:rsidR="00AC46E9" w:rsidRDefault="00911B65">
      <w:pPr>
        <w:pBdr>
          <w:left w:val="single" w:sz="4" w:space="0" w:color="9DC3E6"/>
          <w:right w:val="single" w:sz="4" w:space="0" w:color="9DC3E6"/>
        </w:pBdr>
        <w:shd w:val="clear" w:color="auto" w:fill="F7F7F7"/>
      </w:pPr>
      <w:r>
        <w:rPr>
          <w:rFonts w:ascii="Courier New" w:eastAsia="Courier New" w:hAnsi="Courier New" w:cs="Courier New"/>
          <w:sz w:val="16"/>
          <w:szCs w:val="16"/>
        </w:rPr>
        <w:t>PID|||165746^^^1^MRN^1||Doe^John^^||19531122|M</w:t>
      </w:r>
    </w:p>
    <w:p w:rsidR="00AC46E9" w:rsidRDefault="00911B65">
      <w:pPr>
        <w:pBdr>
          <w:left w:val="single" w:sz="4" w:space="0" w:color="9DC3E6"/>
          <w:right w:val="single" w:sz="4" w:space="0" w:color="9DC3E6"/>
        </w:pBdr>
        <w:shd w:val="clear" w:color="auto" w:fill="F7F7F7"/>
      </w:pPr>
      <w:r>
        <w:rPr>
          <w:rFonts w:ascii="Courier New" w:eastAsia="Courier New" w:hAnsi="Courier New" w:cs="Courier New"/>
          <w:sz w:val="16"/>
          <w:szCs w:val="16"/>
        </w:rPr>
        <w:t>PV1|1|I|ICU^301^A^1^^^S||||1234^Smith^Robert^J|||||||||||39520^^^AccMgr^VN||||||||||||||||||||20250614100000</w:t>
      </w:r>
    </w:p>
    <w:p w:rsidR="00AC46E9" w:rsidRDefault="00911B65">
      <w:pPr>
        <w:pBdr>
          <w:left w:val="single" w:sz="4" w:space="0" w:color="9DC3E6"/>
          <w:right w:val="single" w:sz="4" w:space="0" w:color="9DC3E6"/>
        </w:pBdr>
        <w:shd w:val="clear" w:color="auto" w:fill="F7F7F7"/>
      </w:pPr>
      <w:r>
        <w:rPr>
          <w:rFonts w:ascii="Courier New" w:eastAsia="Courier New" w:hAnsi="Courier New" w:cs="Courier New"/>
          <w:sz w:val="16"/>
          <w:szCs w:val="16"/>
        </w:rPr>
        <w:t>ORC||352045202|||||||20250614120000</w:t>
      </w:r>
    </w:p>
    <w:p w:rsidR="00AC46E9" w:rsidRDefault="00911B65">
      <w:pPr>
        <w:pBdr>
          <w:left w:val="single" w:sz="4" w:space="0" w:color="9DC3E6"/>
          <w:bottom w:val="single" w:sz="4" w:space="0" w:color="9DC3E6"/>
          <w:right w:val="single" w:sz="4" w:space="0" w:color="9DC3E6"/>
        </w:pBdr>
        <w:shd w:val="clear" w:color="auto" w:fill="F7F7F7"/>
        <w:spacing w:after="80"/>
      </w:pPr>
      <w:r>
        <w:rPr>
          <w:rFonts w:ascii="Courier New" w:eastAsia="Courier New" w:hAnsi="Courier New" w:cs="Courier New"/>
          <w:sz w:val="16"/>
          <w:szCs w:val="16"/>
        </w:rPr>
        <w:t>RXE|^Q12H^^20250614120000^^R^1^|RX1234568^Furosemide 40 mg PO q12h^RXDB|40||mg^mg</w:t>
      </w:r>
    </w:p>
    <w:p w:rsidR="00AC46E9" w:rsidRDefault="00911B65">
      <w:r>
        <w:br w:type="page"/>
      </w:r>
    </w:p>
    <w:p w:rsidR="00AC46E9" w:rsidRDefault="00911B65">
      <w:pPr>
        <w:pBdr>
          <w:top w:val="single" w:sz="6" w:space="4" w:color="2E75B6"/>
        </w:pBdr>
        <w:spacing w:before="480" w:after="60"/>
        <w:jc w:val="center"/>
      </w:pPr>
      <w:r>
        <w:rPr>
          <w:color w:val="595959"/>
          <w:sz w:val="14"/>
          <w:szCs w:val="14"/>
        </w:rPr>
        <w:lastRenderedPageBreak/>
        <w:t>INTERNATIONAL DEVELOPERS INC RESERVES THE RIGHT TO REVISE THIS DOCUMENT FOR ANY REASON, INCLUDING CONFORMITY WITH STANDARDS, ADVANCES IN TECHNICAL ARTS, OR CHANGES IN EQUIPMENT, TECHNIQUES, OR PROCEDURES DESCRIBED HEREIN.</w:t>
      </w:r>
    </w:p>
    <w:p w:rsidR="00AC46E9" w:rsidRDefault="00911B65">
      <w:pPr>
        <w:spacing w:before="60" w:after="60"/>
        <w:jc w:val="center"/>
      </w:pPr>
      <w:r>
        <w:rPr>
          <w:color w:val="595959"/>
          <w:sz w:val="14"/>
          <w:szCs w:val="14"/>
        </w:rPr>
        <w:t>LIABILITY ARISING OUT OF USE OR RELIANCE UPON INFORMATION SET FORTH HEREIN IS EXPRESSLY DISCLAIMED.</w:t>
      </w:r>
    </w:p>
    <w:p w:rsidR="00AC46E9" w:rsidRDefault="00911B65">
      <w:pPr>
        <w:spacing w:before="60" w:after="60"/>
        <w:jc w:val="center"/>
      </w:pPr>
      <w:r>
        <w:rPr>
          <w:b/>
          <w:bCs/>
          <w:color w:val="404040"/>
          <w:sz w:val="14"/>
          <w:szCs w:val="14"/>
        </w:rPr>
        <w:t>© 2026 International Developers Inc. - All Rights Reserved. Printed in the USA.</w:t>
      </w:r>
    </w:p>
    <w:sectPr w:rsidR="00AC46E9">
      <w:headerReference w:type="default" r:id="rId9"/>
      <w:footerReference w:type="default" r:id="rId10"/>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1B65" w:rsidRDefault="00911B65">
      <w:r>
        <w:separator/>
      </w:r>
    </w:p>
  </w:endnote>
  <w:endnote w:type="continuationSeparator" w:id="0">
    <w:p w:rsidR="00911B65" w:rsidRDefault="00911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B65" w:rsidRDefault="00911B65">
    <w:pPr>
      <w:pBdr>
        <w:top w:val="single" w:sz="4" w:space="4" w:color="9DC3E6"/>
      </w:pBdr>
      <w:tabs>
        <w:tab w:val="left" w:pos="0"/>
        <w:tab w:val="right" w:pos="9360"/>
      </w:tabs>
      <w:jc w:val="center"/>
    </w:pPr>
    <w:r>
      <w:rPr>
        <w:color w:val="595959"/>
        <w:sz w:val="16"/>
        <w:szCs w:val="16"/>
      </w:rPr>
      <w:t>PROPRIETARY &amp; CONFIDENTIAL  |  © 2026 International Developers Inc.</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F6541">
      <w:rPr>
        <w:noProof/>
        <w:color w:val="595959"/>
        <w:sz w:val="16"/>
        <w:szCs w:val="16"/>
      </w:rPr>
      <w:t>9</w:t>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1B65" w:rsidRDefault="00911B65">
      <w:r>
        <w:separator/>
      </w:r>
    </w:p>
  </w:footnote>
  <w:footnote w:type="continuationSeparator" w:id="0">
    <w:p w:rsidR="00911B65" w:rsidRDefault="00911B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B65" w:rsidRDefault="00911B65">
    <w:pPr>
      <w:pBdr>
        <w:bottom w:val="single" w:sz="4" w:space="4" w:color="9DC3E6"/>
      </w:pBdr>
      <w:jc w:val="right"/>
    </w:pPr>
    <w:r>
      <w:rPr>
        <w:color w:val="595959"/>
        <w:sz w:val="16"/>
        <w:szCs w:val="16"/>
      </w:rPr>
      <w:t>EMS Inbound HL7 Interface Specification  |  HarmScout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CD4A82"/>
    <w:multiLevelType w:val="hybridMultilevel"/>
    <w:tmpl w:val="612E7584"/>
    <w:lvl w:ilvl="0" w:tplc="D50E3224">
      <w:start w:val="1"/>
      <w:numFmt w:val="bullet"/>
      <w:lvlText w:val="•"/>
      <w:lvlJc w:val="left"/>
      <w:pPr>
        <w:ind w:left="540" w:hanging="260"/>
      </w:pPr>
    </w:lvl>
    <w:lvl w:ilvl="1" w:tplc="032AE604">
      <w:numFmt w:val="decimal"/>
      <w:lvlText w:val=""/>
      <w:lvlJc w:val="left"/>
    </w:lvl>
    <w:lvl w:ilvl="2" w:tplc="CC5459F6">
      <w:numFmt w:val="decimal"/>
      <w:lvlText w:val=""/>
      <w:lvlJc w:val="left"/>
    </w:lvl>
    <w:lvl w:ilvl="3" w:tplc="962806A2">
      <w:numFmt w:val="decimal"/>
      <w:lvlText w:val=""/>
      <w:lvlJc w:val="left"/>
    </w:lvl>
    <w:lvl w:ilvl="4" w:tplc="F5F2C994">
      <w:numFmt w:val="decimal"/>
      <w:lvlText w:val=""/>
      <w:lvlJc w:val="left"/>
    </w:lvl>
    <w:lvl w:ilvl="5" w:tplc="E6CA570C">
      <w:numFmt w:val="decimal"/>
      <w:lvlText w:val=""/>
      <w:lvlJc w:val="left"/>
    </w:lvl>
    <w:lvl w:ilvl="6" w:tplc="FF4EF172">
      <w:numFmt w:val="decimal"/>
      <w:lvlText w:val=""/>
      <w:lvlJc w:val="left"/>
    </w:lvl>
    <w:lvl w:ilvl="7" w:tplc="4482BC46">
      <w:numFmt w:val="decimal"/>
      <w:lvlText w:val=""/>
      <w:lvlJc w:val="left"/>
    </w:lvl>
    <w:lvl w:ilvl="8" w:tplc="5D6E99A4">
      <w:numFmt w:val="decimal"/>
      <w:lvlText w:val=""/>
      <w:lvlJc w:val="left"/>
    </w:lvl>
  </w:abstractNum>
  <w:abstractNum w:abstractNumId="1">
    <w:nsid w:val="6CD1592E"/>
    <w:multiLevelType w:val="hybridMultilevel"/>
    <w:tmpl w:val="FC6EC1B0"/>
    <w:lvl w:ilvl="0" w:tplc="30D0253C">
      <w:start w:val="1"/>
      <w:numFmt w:val="bullet"/>
      <w:lvlText w:val="●"/>
      <w:lvlJc w:val="left"/>
      <w:pPr>
        <w:ind w:left="720" w:hanging="360"/>
      </w:pPr>
    </w:lvl>
    <w:lvl w:ilvl="1" w:tplc="EC900548">
      <w:start w:val="1"/>
      <w:numFmt w:val="bullet"/>
      <w:lvlText w:val="○"/>
      <w:lvlJc w:val="left"/>
      <w:pPr>
        <w:ind w:left="1440" w:hanging="360"/>
      </w:pPr>
    </w:lvl>
    <w:lvl w:ilvl="2" w:tplc="1A6E6966">
      <w:start w:val="1"/>
      <w:numFmt w:val="bullet"/>
      <w:lvlText w:val="■"/>
      <w:lvlJc w:val="left"/>
      <w:pPr>
        <w:ind w:left="2160" w:hanging="360"/>
      </w:pPr>
    </w:lvl>
    <w:lvl w:ilvl="3" w:tplc="E7BCA1B4">
      <w:start w:val="1"/>
      <w:numFmt w:val="bullet"/>
      <w:lvlText w:val="●"/>
      <w:lvlJc w:val="left"/>
      <w:pPr>
        <w:ind w:left="2880" w:hanging="360"/>
      </w:pPr>
    </w:lvl>
    <w:lvl w:ilvl="4" w:tplc="15C819E6">
      <w:start w:val="1"/>
      <w:numFmt w:val="bullet"/>
      <w:lvlText w:val="○"/>
      <w:lvlJc w:val="left"/>
      <w:pPr>
        <w:ind w:left="3600" w:hanging="360"/>
      </w:pPr>
    </w:lvl>
    <w:lvl w:ilvl="5" w:tplc="0C02E9BC">
      <w:start w:val="1"/>
      <w:numFmt w:val="bullet"/>
      <w:lvlText w:val="■"/>
      <w:lvlJc w:val="left"/>
      <w:pPr>
        <w:ind w:left="4320" w:hanging="360"/>
      </w:pPr>
    </w:lvl>
    <w:lvl w:ilvl="6" w:tplc="53EABCE6">
      <w:start w:val="1"/>
      <w:numFmt w:val="bullet"/>
      <w:lvlText w:val="●"/>
      <w:lvlJc w:val="left"/>
      <w:pPr>
        <w:ind w:left="5040" w:hanging="360"/>
      </w:pPr>
    </w:lvl>
    <w:lvl w:ilvl="7" w:tplc="5524D3CA">
      <w:start w:val="1"/>
      <w:numFmt w:val="bullet"/>
      <w:lvlText w:val="●"/>
      <w:lvlJc w:val="left"/>
      <w:pPr>
        <w:ind w:left="5760" w:hanging="360"/>
      </w:pPr>
    </w:lvl>
    <w:lvl w:ilvl="8" w:tplc="77C6871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C46E9"/>
    <w:rsid w:val="008F6541"/>
    <w:rsid w:val="00911B65"/>
    <w:rsid w:val="00AC4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6" w:space="1" w:color="2E75B6"/>
      </w:pBdr>
      <w:spacing w:before="360" w:after="120"/>
      <w:outlineLvl w:val="0"/>
    </w:pPr>
    <w:rPr>
      <w:b/>
      <w:bCs/>
      <w:color w:val="1F4E79"/>
      <w:sz w:val="32"/>
      <w:szCs w:val="32"/>
    </w:rPr>
  </w:style>
  <w:style w:type="paragraph" w:styleId="Heading2">
    <w:name w:val="heading 2"/>
    <w:qFormat/>
    <w:pPr>
      <w:spacing w:before="240" w:after="80"/>
      <w:outlineLvl w:val="1"/>
    </w:pPr>
    <w:rPr>
      <w:b/>
      <w:bCs/>
      <w:color w:val="2E75B6"/>
      <w:sz w:val="26"/>
      <w:szCs w:val="26"/>
    </w:rPr>
  </w:style>
  <w:style w:type="paragraph" w:styleId="Heading3">
    <w:name w:val="heading 3"/>
    <w:qFormat/>
    <w:pPr>
      <w:spacing w:before="200" w:after="60"/>
      <w:outlineLvl w:val="2"/>
    </w:pPr>
    <w:rPr>
      <w:b/>
      <w:bCs/>
      <w:color w:val="404040"/>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nhideWhenUsed/>
    <w:rsid w:val="00911B65"/>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rsid w:val="00911B65"/>
    <w:rPr>
      <w:rFonts w:asciiTheme="minorHAnsi" w:eastAsiaTheme="minorEastAsia" w:hAnsiTheme="minorHAnsi" w:cstheme="minorBidi"/>
      <w:sz w:val="22"/>
      <w:szCs w:val="22"/>
    </w:rPr>
  </w:style>
  <w:style w:type="paragraph" w:customStyle="1" w:styleId="copyright">
    <w:name w:val="copyright"/>
    <w:qFormat/>
    <w:rsid w:val="00911B65"/>
    <w:pPr>
      <w:suppressAutoHyphens/>
      <w:spacing w:before="60" w:after="60"/>
      <w:jc w:val="both"/>
    </w:pPr>
    <w:rPr>
      <w:rFonts w:ascii="Times New Roman" w:eastAsia="Times New Roman" w:hAnsi="Times New Roman" w:cs="Times New Roman"/>
      <w:lang w:eastAsia="zh-CN"/>
    </w:rPr>
  </w:style>
  <w:style w:type="paragraph" w:styleId="BalloonText">
    <w:name w:val="Balloon Text"/>
    <w:basedOn w:val="Normal"/>
    <w:link w:val="BalloonTextChar"/>
    <w:uiPriority w:val="99"/>
    <w:semiHidden/>
    <w:unhideWhenUsed/>
    <w:rsid w:val="00911B65"/>
    <w:rPr>
      <w:rFonts w:ascii="Tahoma" w:hAnsi="Tahoma" w:cs="Tahoma"/>
      <w:sz w:val="16"/>
      <w:szCs w:val="16"/>
    </w:rPr>
  </w:style>
  <w:style w:type="character" w:customStyle="1" w:styleId="BalloonTextChar">
    <w:name w:val="Balloon Text Char"/>
    <w:basedOn w:val="DefaultParagraphFont"/>
    <w:link w:val="BalloonText"/>
    <w:uiPriority w:val="99"/>
    <w:semiHidden/>
    <w:rsid w:val="00911B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6" w:space="1" w:color="2E75B6"/>
      </w:pBdr>
      <w:spacing w:before="360" w:after="120"/>
      <w:outlineLvl w:val="0"/>
    </w:pPr>
    <w:rPr>
      <w:b/>
      <w:bCs/>
      <w:color w:val="1F4E79"/>
      <w:sz w:val="32"/>
      <w:szCs w:val="32"/>
    </w:rPr>
  </w:style>
  <w:style w:type="paragraph" w:styleId="Heading2">
    <w:name w:val="heading 2"/>
    <w:qFormat/>
    <w:pPr>
      <w:spacing w:before="240" w:after="80"/>
      <w:outlineLvl w:val="1"/>
    </w:pPr>
    <w:rPr>
      <w:b/>
      <w:bCs/>
      <w:color w:val="2E75B6"/>
      <w:sz w:val="26"/>
      <w:szCs w:val="26"/>
    </w:rPr>
  </w:style>
  <w:style w:type="paragraph" w:styleId="Heading3">
    <w:name w:val="heading 3"/>
    <w:qFormat/>
    <w:pPr>
      <w:spacing w:before="200" w:after="60"/>
      <w:outlineLvl w:val="2"/>
    </w:pPr>
    <w:rPr>
      <w:b/>
      <w:bCs/>
      <w:color w:val="404040"/>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nhideWhenUsed/>
    <w:rsid w:val="00911B65"/>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rsid w:val="00911B65"/>
    <w:rPr>
      <w:rFonts w:asciiTheme="minorHAnsi" w:eastAsiaTheme="minorEastAsia" w:hAnsiTheme="minorHAnsi" w:cstheme="minorBidi"/>
      <w:sz w:val="22"/>
      <w:szCs w:val="22"/>
    </w:rPr>
  </w:style>
  <w:style w:type="paragraph" w:customStyle="1" w:styleId="copyright">
    <w:name w:val="copyright"/>
    <w:qFormat/>
    <w:rsid w:val="00911B65"/>
    <w:pPr>
      <w:suppressAutoHyphens/>
      <w:spacing w:before="60" w:after="60"/>
      <w:jc w:val="both"/>
    </w:pPr>
    <w:rPr>
      <w:rFonts w:ascii="Times New Roman" w:eastAsia="Times New Roman" w:hAnsi="Times New Roman" w:cs="Times New Roman"/>
      <w:lang w:eastAsia="zh-CN"/>
    </w:rPr>
  </w:style>
  <w:style w:type="paragraph" w:styleId="BalloonText">
    <w:name w:val="Balloon Text"/>
    <w:basedOn w:val="Normal"/>
    <w:link w:val="BalloonTextChar"/>
    <w:uiPriority w:val="99"/>
    <w:semiHidden/>
    <w:unhideWhenUsed/>
    <w:rsid w:val="00911B65"/>
    <w:rPr>
      <w:rFonts w:ascii="Tahoma" w:hAnsi="Tahoma" w:cs="Tahoma"/>
      <w:sz w:val="16"/>
      <w:szCs w:val="16"/>
    </w:rPr>
  </w:style>
  <w:style w:type="character" w:customStyle="1" w:styleId="BalloonTextChar">
    <w:name w:val="Balloon Text Char"/>
    <w:basedOn w:val="DefaultParagraphFont"/>
    <w:link w:val="BalloonText"/>
    <w:uiPriority w:val="99"/>
    <w:semiHidden/>
    <w:rsid w:val="00911B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17</Pages>
  <Words>2926</Words>
  <Characters>16684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2026-05-24T15:39:00Z</dcterms:created>
  <dcterms:modified xsi:type="dcterms:W3CDTF">2026-05-24T17:04:00Z</dcterms:modified>
</cp:coreProperties>
</file>