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2907" w:rsidRDefault="00732907" w:rsidP="0017467D">
      <w:pPr>
        <w:spacing w:after="0" w:line="240" w:lineRule="auto"/>
        <w:rPr>
          <w:rFonts w:ascii="Calibri" w:eastAsia="Times New Roman" w:hAnsi="Calibri" w:cs="Times New Roman"/>
          <w:b/>
          <w:sz w:val="24"/>
          <w:szCs w:val="20"/>
          <w:lang w:eastAsia="en-GB"/>
        </w:rPr>
      </w:pPr>
    </w:p>
    <w:p w:rsidR="00732907" w:rsidRPr="0002330C" w:rsidRDefault="00732907" w:rsidP="00732907">
      <w:pPr>
        <w:spacing w:after="0" w:line="240" w:lineRule="auto"/>
        <w:jc w:val="center"/>
        <w:rPr>
          <w:rFonts w:ascii="Calibri" w:eastAsia="Times New Roman" w:hAnsi="Calibri" w:cs="Times New Roman"/>
          <w:b/>
          <w:sz w:val="24"/>
          <w:szCs w:val="20"/>
          <w:lang w:eastAsia="en-GB"/>
        </w:rPr>
      </w:pPr>
      <w:r w:rsidRPr="0002330C">
        <w:rPr>
          <w:rFonts w:ascii="Calibri" w:hAnsi="Calibri"/>
          <w:b/>
          <w:noProof/>
          <w:sz w:val="56"/>
          <w:szCs w:val="56"/>
          <w:lang w:eastAsia="en-GB"/>
        </w:rPr>
        <w:drawing>
          <wp:inline distT="0" distB="0" distL="0" distR="0" wp14:anchorId="411A79E2" wp14:editId="2FC2A693">
            <wp:extent cx="1038860" cy="7988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860" cy="798830"/>
                    </a:xfrm>
                    <a:prstGeom prst="rect">
                      <a:avLst/>
                    </a:prstGeom>
                    <a:noFill/>
                    <a:ln>
                      <a:noFill/>
                    </a:ln>
                  </pic:spPr>
                </pic:pic>
              </a:graphicData>
            </a:graphic>
          </wp:inline>
        </w:drawing>
      </w:r>
    </w:p>
    <w:p w:rsidR="00732907" w:rsidRPr="0002330C" w:rsidRDefault="00732907" w:rsidP="0017467D">
      <w:pPr>
        <w:spacing w:after="0" w:line="240" w:lineRule="auto"/>
        <w:rPr>
          <w:rFonts w:ascii="Calibri" w:eastAsia="Times New Roman" w:hAnsi="Calibri" w:cs="Times New Roman"/>
          <w:b/>
          <w:sz w:val="24"/>
          <w:szCs w:val="20"/>
          <w:lang w:eastAsia="en-GB"/>
        </w:rPr>
      </w:pPr>
    </w:p>
    <w:p w:rsidR="00E07F97" w:rsidRPr="0002330C" w:rsidRDefault="00E07F97" w:rsidP="0017467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TO:</w:t>
      </w:r>
      <w:r w:rsidRPr="0002330C">
        <w:rPr>
          <w:rFonts w:ascii="Calibri" w:eastAsia="Times New Roman" w:hAnsi="Calibri" w:cs="Times New Roman"/>
          <w:b/>
          <w:sz w:val="24"/>
          <w:szCs w:val="20"/>
          <w:lang w:eastAsia="en-GB"/>
        </w:rPr>
        <w:tab/>
        <w:t>CHILD PROTECTION COMMITTEE</w:t>
      </w:r>
    </w:p>
    <w:p w:rsidR="00E07F97" w:rsidRPr="0002330C" w:rsidRDefault="00E07F97" w:rsidP="0017467D">
      <w:pPr>
        <w:spacing w:after="0" w:line="240" w:lineRule="auto"/>
        <w:rPr>
          <w:rFonts w:ascii="Calibri" w:eastAsia="Times New Roman" w:hAnsi="Calibri" w:cs="Times New Roman"/>
          <w:b/>
          <w:sz w:val="24"/>
          <w:szCs w:val="20"/>
          <w:lang w:eastAsia="en-GB"/>
        </w:rPr>
      </w:pPr>
    </w:p>
    <w:p w:rsidR="00E07F97" w:rsidRDefault="00416355" w:rsidP="0017467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DATE:</w:t>
      </w:r>
      <w:r w:rsidRPr="0002330C">
        <w:rPr>
          <w:rFonts w:ascii="Calibri" w:eastAsia="Times New Roman" w:hAnsi="Calibri" w:cs="Times New Roman"/>
          <w:b/>
          <w:sz w:val="24"/>
          <w:szCs w:val="20"/>
          <w:lang w:eastAsia="en-GB"/>
        </w:rPr>
        <w:tab/>
      </w:r>
    </w:p>
    <w:p w:rsidR="00174A1D" w:rsidRPr="0002330C" w:rsidRDefault="00174A1D" w:rsidP="0017467D">
      <w:pPr>
        <w:spacing w:after="0" w:line="240" w:lineRule="auto"/>
        <w:rPr>
          <w:rFonts w:ascii="Calibri" w:eastAsia="Times New Roman" w:hAnsi="Calibri" w:cs="Times New Roman"/>
          <w:b/>
          <w:sz w:val="24"/>
          <w:szCs w:val="20"/>
          <w:lang w:eastAsia="en-GB"/>
        </w:rPr>
      </w:pPr>
    </w:p>
    <w:p w:rsidR="00E07F97" w:rsidRPr="0002330C" w:rsidRDefault="00E07F97" w:rsidP="0017467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TITLE:</w:t>
      </w:r>
      <w:r w:rsidRPr="0002330C">
        <w:rPr>
          <w:rFonts w:ascii="Calibri" w:eastAsia="Times New Roman" w:hAnsi="Calibri" w:cs="Times New Roman"/>
          <w:b/>
          <w:sz w:val="24"/>
          <w:szCs w:val="20"/>
          <w:lang w:eastAsia="en-GB"/>
        </w:rPr>
        <w:tab/>
        <w:t>DATA ANALYSIS REPORT</w:t>
      </w:r>
    </w:p>
    <w:p w:rsidR="00E07F97" w:rsidRPr="0002330C" w:rsidRDefault="00E07F97" w:rsidP="0017467D">
      <w:pPr>
        <w:spacing w:after="0" w:line="240" w:lineRule="auto"/>
        <w:rPr>
          <w:rFonts w:ascii="Calibri" w:eastAsia="Times New Roman" w:hAnsi="Calibri" w:cs="Times New Roman"/>
          <w:b/>
          <w:sz w:val="24"/>
          <w:szCs w:val="20"/>
          <w:lang w:eastAsia="en-GB"/>
        </w:rPr>
      </w:pPr>
    </w:p>
    <w:p w:rsidR="00E07F97" w:rsidRPr="0002330C" w:rsidRDefault="00E07F97" w:rsidP="00E07F97">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PURPOSE</w:t>
      </w:r>
    </w:p>
    <w:p w:rsidR="00E07F97" w:rsidRPr="0002330C" w:rsidRDefault="00E07F97" w:rsidP="00E07F97">
      <w:pPr>
        <w:spacing w:after="0" w:line="240" w:lineRule="auto"/>
        <w:rPr>
          <w:rFonts w:ascii="Calibri" w:eastAsia="Times New Roman" w:hAnsi="Calibri" w:cs="Times New Roman"/>
          <w:b/>
          <w:sz w:val="24"/>
          <w:szCs w:val="20"/>
          <w:lang w:eastAsia="en-GB"/>
        </w:rPr>
      </w:pPr>
    </w:p>
    <w:p w:rsidR="00E07F97" w:rsidRPr="0002330C" w:rsidRDefault="00E07F97" w:rsidP="00E07F97">
      <w:pPr>
        <w:spacing w:after="0" w:line="240" w:lineRule="auto"/>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To inform the Child Protection Committee (CPC)</w:t>
      </w:r>
      <w:r w:rsidR="00110C1A" w:rsidRPr="0002330C">
        <w:rPr>
          <w:rFonts w:ascii="Calibri" w:eastAsia="Times New Roman" w:hAnsi="Calibri" w:cs="Times New Roman"/>
          <w:sz w:val="24"/>
          <w:szCs w:val="20"/>
          <w:lang w:eastAsia="en-GB"/>
        </w:rPr>
        <w:t>, in accordance with the Data Framework document</w:t>
      </w:r>
      <w:r w:rsidR="00174A1D">
        <w:rPr>
          <w:rFonts w:ascii="Calibri" w:eastAsia="Times New Roman" w:hAnsi="Calibri" w:cs="Times New Roman"/>
          <w:sz w:val="24"/>
          <w:szCs w:val="20"/>
          <w:lang w:eastAsia="en-GB"/>
        </w:rPr>
        <w:t xml:space="preserve"> (Appendix 1</w:t>
      </w:r>
      <w:proofErr w:type="gramStart"/>
      <w:r w:rsidR="00174A1D">
        <w:rPr>
          <w:rFonts w:ascii="Calibri" w:eastAsia="Times New Roman" w:hAnsi="Calibri" w:cs="Times New Roman"/>
          <w:sz w:val="24"/>
          <w:szCs w:val="20"/>
          <w:lang w:eastAsia="en-GB"/>
        </w:rPr>
        <w:t xml:space="preserve">) </w:t>
      </w:r>
      <w:r w:rsidR="00110C1A" w:rsidRPr="0002330C">
        <w:rPr>
          <w:rFonts w:ascii="Calibri" w:eastAsia="Times New Roman" w:hAnsi="Calibri" w:cs="Times New Roman"/>
          <w:sz w:val="24"/>
          <w:szCs w:val="20"/>
          <w:lang w:eastAsia="en-GB"/>
        </w:rPr>
        <w:t>,</w:t>
      </w:r>
      <w:proofErr w:type="gramEnd"/>
      <w:r w:rsidR="00110C1A" w:rsidRPr="0002330C">
        <w:rPr>
          <w:rFonts w:ascii="Calibri" w:eastAsia="Times New Roman" w:hAnsi="Calibri" w:cs="Times New Roman"/>
          <w:sz w:val="24"/>
          <w:szCs w:val="20"/>
          <w:lang w:eastAsia="en-GB"/>
        </w:rPr>
        <w:t xml:space="preserve"> </w:t>
      </w:r>
      <w:r w:rsidRPr="0002330C">
        <w:rPr>
          <w:rFonts w:ascii="Calibri" w:eastAsia="Times New Roman" w:hAnsi="Calibri" w:cs="Times New Roman"/>
          <w:sz w:val="24"/>
          <w:szCs w:val="20"/>
          <w:lang w:eastAsia="en-GB"/>
        </w:rPr>
        <w:t xml:space="preserve">of the </w:t>
      </w:r>
      <w:r w:rsidR="00851D88" w:rsidRPr="0002330C">
        <w:rPr>
          <w:rFonts w:ascii="Calibri" w:eastAsia="Times New Roman" w:hAnsi="Calibri" w:cs="Times New Roman"/>
          <w:sz w:val="24"/>
          <w:szCs w:val="20"/>
          <w:lang w:eastAsia="en-GB"/>
        </w:rPr>
        <w:t>multi-agency</w:t>
      </w:r>
      <w:r w:rsidRPr="0002330C">
        <w:rPr>
          <w:rFonts w:ascii="Calibri" w:eastAsia="Times New Roman" w:hAnsi="Calibri" w:cs="Times New Roman"/>
          <w:sz w:val="24"/>
          <w:szCs w:val="20"/>
          <w:lang w:eastAsia="en-GB"/>
        </w:rPr>
        <w:t xml:space="preserve"> analysis of data from the following sources:</w:t>
      </w:r>
    </w:p>
    <w:p w:rsidR="009038E3" w:rsidRPr="0002330C" w:rsidRDefault="009038E3" w:rsidP="00E07F97">
      <w:pPr>
        <w:spacing w:after="0" w:line="240" w:lineRule="auto"/>
        <w:rPr>
          <w:rFonts w:ascii="Calibri" w:eastAsia="Times New Roman" w:hAnsi="Calibri" w:cs="Times New Roman"/>
          <w:sz w:val="24"/>
          <w:szCs w:val="20"/>
          <w:lang w:eastAsia="en-GB"/>
        </w:rPr>
      </w:pPr>
    </w:p>
    <w:p w:rsidR="00110C1A" w:rsidRPr="00EA4382" w:rsidRDefault="00EA4382" w:rsidP="00EA4382">
      <w:pPr>
        <w:pStyle w:val="a4"/>
        <w:numPr>
          <w:ilvl w:val="0"/>
          <w:numId w:val="15"/>
        </w:numPr>
        <w:spacing w:after="0" w:line="240" w:lineRule="auto"/>
        <w:rPr>
          <w:rFonts w:ascii="Calibri" w:eastAsia="Times New Roman" w:hAnsi="Calibri" w:cs="Times New Roman"/>
          <w:i/>
          <w:iCs/>
          <w:sz w:val="24"/>
          <w:szCs w:val="20"/>
          <w:lang w:eastAsia="en-GB"/>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sidRPr="00EA4382">
        <w:rPr>
          <w:rFonts w:ascii="Calibri" w:eastAsia="Times New Roman" w:hAnsi="Calibri" w:cs="Times New Roman"/>
          <w:i/>
          <w:iCs/>
          <w:sz w:val="24"/>
          <w:szCs w:val="20"/>
          <w:lang w:eastAsia="en-GB"/>
        </w:rPr>
        <w:t>sources</w:t>
      </w:r>
      <w:r w:rsidRPr="00EA4382">
        <w:rPr>
          <w:rFonts w:ascii="Calibri" w:hAnsi="Calibri" w:cs="Times New Roman" w:hint="eastAsia"/>
          <w:i/>
          <w:iCs/>
          <w:sz w:val="24"/>
          <w:szCs w:val="20"/>
          <w:lang w:eastAsia="zh-CN"/>
        </w:rPr>
        <w:t>.</w:t>
      </w:r>
    </w:p>
    <w:p w:rsidR="00851D88" w:rsidRPr="0002330C" w:rsidRDefault="00851D88" w:rsidP="00110C1A">
      <w:pPr>
        <w:pStyle w:val="a4"/>
        <w:spacing w:after="0" w:line="240" w:lineRule="auto"/>
        <w:rPr>
          <w:rFonts w:ascii="Calibri" w:eastAsia="Times New Roman" w:hAnsi="Calibri" w:cs="Times New Roman"/>
          <w:sz w:val="24"/>
          <w:szCs w:val="20"/>
          <w:lang w:eastAsia="en-GB"/>
        </w:rPr>
      </w:pPr>
    </w:p>
    <w:p w:rsidR="00E07F97" w:rsidRPr="0002330C" w:rsidRDefault="00E07F97" w:rsidP="00E07F97">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RECOMMENDATIONS</w:t>
      </w:r>
    </w:p>
    <w:p w:rsidR="00110C1A" w:rsidRPr="0002330C" w:rsidRDefault="00110C1A" w:rsidP="00110C1A">
      <w:pPr>
        <w:spacing w:after="0" w:line="240" w:lineRule="auto"/>
        <w:rPr>
          <w:rFonts w:ascii="Calibri" w:eastAsia="Times New Roman" w:hAnsi="Calibri" w:cs="Times New Roman"/>
          <w:b/>
          <w:sz w:val="24"/>
          <w:szCs w:val="20"/>
          <w:lang w:eastAsia="en-GB"/>
        </w:rPr>
      </w:pPr>
    </w:p>
    <w:p w:rsidR="00110C1A" w:rsidRPr="0002330C" w:rsidRDefault="00110C1A" w:rsidP="00110C1A">
      <w:pPr>
        <w:spacing w:after="0" w:line="240" w:lineRule="auto"/>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It is recommended that </w:t>
      </w:r>
    </w:p>
    <w:p w:rsidR="009038E3" w:rsidRPr="0002330C" w:rsidRDefault="00EA4382" w:rsidP="00EA4382">
      <w:pPr>
        <w:pStyle w:val="a4"/>
        <w:numPr>
          <w:ilvl w:val="0"/>
          <w:numId w:val="16"/>
        </w:numPr>
        <w:spacing w:after="0" w:line="240" w:lineRule="auto"/>
        <w:rPr>
          <w:rFonts w:ascii="Calibri" w:eastAsia="Times New Roman" w:hAnsi="Calibri" w:cs="Times New Roman"/>
          <w:sz w:val="24"/>
          <w:szCs w:val="20"/>
          <w:lang w:eastAsia="en-GB"/>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sidRPr="00EA4382">
        <w:rPr>
          <w:rFonts w:ascii="Calibri" w:hAnsi="Calibri" w:cs="Times New Roman"/>
          <w:i/>
          <w:iCs/>
          <w:sz w:val="24"/>
          <w:szCs w:val="20"/>
          <w:lang w:eastAsia="zh-CN"/>
        </w:rPr>
        <w:t>recommended</w:t>
      </w:r>
      <w:r>
        <w:rPr>
          <w:rFonts w:ascii="Calibri" w:hAnsi="Calibri" w:cs="Times New Roman" w:hint="eastAsia"/>
          <w:i/>
          <w:iCs/>
          <w:sz w:val="24"/>
          <w:szCs w:val="20"/>
          <w:lang w:eastAsia="zh-CN"/>
        </w:rPr>
        <w:t>.</w:t>
      </w:r>
    </w:p>
    <w:p w:rsidR="00851D88" w:rsidRPr="0002330C" w:rsidRDefault="00851D88" w:rsidP="009038E3">
      <w:pPr>
        <w:pStyle w:val="a4"/>
        <w:spacing w:after="0" w:line="240" w:lineRule="auto"/>
        <w:rPr>
          <w:rFonts w:ascii="Calibri" w:eastAsia="Times New Roman" w:hAnsi="Calibri" w:cs="Times New Roman"/>
          <w:sz w:val="24"/>
          <w:szCs w:val="20"/>
          <w:lang w:eastAsia="en-GB"/>
        </w:rPr>
      </w:pPr>
    </w:p>
    <w:p w:rsidR="00E07F97" w:rsidRPr="0002330C" w:rsidRDefault="00E07F97" w:rsidP="00E07F97">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BACKGROUND</w:t>
      </w:r>
    </w:p>
    <w:p w:rsidR="00110C1A" w:rsidRPr="0002330C" w:rsidRDefault="00110C1A" w:rsidP="00110C1A">
      <w:pPr>
        <w:spacing w:after="0" w:line="240" w:lineRule="auto"/>
        <w:rPr>
          <w:rFonts w:ascii="Calibri" w:eastAsia="Times New Roman" w:hAnsi="Calibri" w:cs="Times New Roman"/>
          <w:b/>
          <w:sz w:val="24"/>
          <w:szCs w:val="20"/>
          <w:lang w:eastAsia="en-GB"/>
        </w:rPr>
      </w:pPr>
    </w:p>
    <w:p w:rsidR="007531E7" w:rsidRPr="0002330C" w:rsidRDefault="00EA4382" w:rsidP="007531E7">
      <w:pPr>
        <w:spacing w:after="0" w:line="240" w:lineRule="auto"/>
        <w:rPr>
          <w:rFonts w:cstheme="minorHAnsi"/>
          <w:sz w:val="24"/>
          <w:szCs w:val="24"/>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Pr>
          <w:rFonts w:ascii="Calibri" w:hAnsi="Calibri" w:cs="Times New Roman" w:hint="eastAsia"/>
          <w:i/>
          <w:iCs/>
          <w:sz w:val="24"/>
          <w:szCs w:val="20"/>
          <w:lang w:eastAsia="zh-CN"/>
        </w:rPr>
        <w:t>background</w:t>
      </w:r>
      <w:r w:rsidR="007531E7">
        <w:rPr>
          <w:rFonts w:cstheme="minorHAnsi"/>
          <w:sz w:val="24"/>
          <w:szCs w:val="24"/>
        </w:rPr>
        <w:t xml:space="preserve">. </w:t>
      </w:r>
    </w:p>
    <w:p w:rsidR="00110C1A" w:rsidRPr="0002330C" w:rsidRDefault="00110C1A" w:rsidP="00110C1A">
      <w:pPr>
        <w:spacing w:after="0" w:line="240" w:lineRule="auto"/>
        <w:rPr>
          <w:rFonts w:ascii="Calibri" w:eastAsia="Times New Roman" w:hAnsi="Calibri" w:cs="Times New Roman"/>
          <w:sz w:val="24"/>
          <w:szCs w:val="20"/>
          <w:lang w:eastAsia="en-GB"/>
        </w:rPr>
      </w:pPr>
    </w:p>
    <w:p w:rsidR="0091585D" w:rsidRPr="0002330C" w:rsidRDefault="0091585D" w:rsidP="0091585D">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 xml:space="preserve">NOTES ON THIS REPORT </w:t>
      </w:r>
    </w:p>
    <w:p w:rsidR="0091585D" w:rsidRPr="0002330C" w:rsidRDefault="0091585D" w:rsidP="0091585D">
      <w:pPr>
        <w:pStyle w:val="a4"/>
        <w:spacing w:after="0" w:line="240" w:lineRule="auto"/>
        <w:ind w:left="0"/>
        <w:rPr>
          <w:rFonts w:ascii="Calibri" w:eastAsia="Times New Roman" w:hAnsi="Calibri" w:cs="Times New Roman"/>
          <w:sz w:val="24"/>
          <w:szCs w:val="20"/>
          <w:lang w:eastAsia="en-GB"/>
        </w:rPr>
      </w:pPr>
    </w:p>
    <w:p w:rsidR="0091585D" w:rsidRPr="0002330C" w:rsidRDefault="00EA4382" w:rsidP="00B17268">
      <w:pPr>
        <w:spacing w:after="0" w:line="240" w:lineRule="auto"/>
        <w:rPr>
          <w:rFonts w:cstheme="minorHAnsi"/>
          <w:sz w:val="24"/>
          <w:szCs w:val="24"/>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Pr>
          <w:rFonts w:ascii="Calibri" w:hAnsi="Calibri" w:cs="Times New Roman" w:hint="eastAsia"/>
          <w:i/>
          <w:iCs/>
          <w:sz w:val="24"/>
          <w:szCs w:val="20"/>
          <w:lang w:eastAsia="zh-CN"/>
        </w:rPr>
        <w:t>notes</w:t>
      </w:r>
      <w:r w:rsidR="00092C2A">
        <w:rPr>
          <w:rFonts w:cstheme="minorHAnsi"/>
          <w:sz w:val="24"/>
          <w:szCs w:val="24"/>
        </w:rPr>
        <w:t>.</w:t>
      </w:r>
    </w:p>
    <w:p w:rsidR="00110C1A" w:rsidRPr="0002330C" w:rsidRDefault="00110C1A" w:rsidP="00110C1A">
      <w:pPr>
        <w:spacing w:after="0" w:line="240" w:lineRule="auto"/>
        <w:rPr>
          <w:rFonts w:ascii="Calibri" w:eastAsia="Times New Roman" w:hAnsi="Calibri" w:cs="Times New Roman"/>
          <w:b/>
          <w:sz w:val="24"/>
          <w:szCs w:val="20"/>
          <w:lang w:eastAsia="en-GB"/>
        </w:rPr>
      </w:pPr>
    </w:p>
    <w:p w:rsidR="00B17268" w:rsidRPr="0002330C" w:rsidRDefault="00B17268" w:rsidP="00B17268">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DATA ANALYSIS</w:t>
      </w:r>
    </w:p>
    <w:p w:rsidR="00B17268" w:rsidRPr="0002330C" w:rsidRDefault="00B17268" w:rsidP="00B17268">
      <w:pPr>
        <w:spacing w:after="0" w:line="240" w:lineRule="auto"/>
        <w:rPr>
          <w:rFonts w:ascii="Calibri" w:eastAsia="Times New Roman" w:hAnsi="Calibri" w:cs="Times New Roman"/>
          <w:b/>
          <w:sz w:val="24"/>
          <w:szCs w:val="20"/>
          <w:lang w:eastAsia="en-GB"/>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Default="00A31C27" w:rsidP="00A31C27">
            <w:pPr>
              <w:ind w:left="360"/>
              <w:jc w:val="both"/>
              <w:rPr>
                <w:rFonts w:ascii="Calibri" w:eastAsia="Times New Roman" w:hAnsi="Calibri" w:cs="Times New Roman"/>
                <w:sz w:val="24"/>
                <w:szCs w:val="20"/>
                <w:lang w:eastAsia="en-GB"/>
              </w:rPr>
            </w:pPr>
          </w:p>
          <w:p w:rsidR="00331C00" w:rsidRPr="00A31C27" w:rsidRDefault="00331C00" w:rsidP="00A31C27">
            <w:pPr>
              <w:pStyle w:val="a4"/>
              <w:numPr>
                <w:ilvl w:val="0"/>
                <w:numId w:val="33"/>
              </w:numPr>
              <w:jc w:val="both"/>
              <w:rPr>
                <w:rFonts w:ascii="Calibri" w:eastAsia="Times New Roman" w:hAnsi="Calibri" w:cs="Times New Roman"/>
                <w:sz w:val="24"/>
                <w:szCs w:val="20"/>
                <w:lang w:eastAsia="en-GB"/>
              </w:rPr>
            </w:pPr>
            <w:r w:rsidRPr="00A31C27">
              <w:rPr>
                <w:rFonts w:ascii="Calibri" w:eastAsia="Times New Roman" w:hAnsi="Calibri" w:cs="Times New Roman"/>
                <w:sz w:val="24"/>
                <w:szCs w:val="20"/>
                <w:lang w:eastAsia="en-GB"/>
              </w:rPr>
              <w:t>What are the emerging trends or themes emerging from</w:t>
            </w:r>
          </w:p>
          <w:p w:rsidR="00331C00" w:rsidRPr="0002330C" w:rsidRDefault="00331C00" w:rsidP="00331C00">
            <w:pPr>
              <w:numPr>
                <w:ilvl w:val="0"/>
                <w:numId w:val="3"/>
              </w:num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National data</w:t>
            </w:r>
          </w:p>
          <w:p w:rsidR="00331C00" w:rsidRPr="0002330C" w:rsidRDefault="00EC4B9A" w:rsidP="00331C00">
            <w:pPr>
              <w:numPr>
                <w:ilvl w:val="0"/>
                <w:numId w:val="3"/>
              </w:num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L</w:t>
            </w:r>
            <w:r w:rsidR="00331C00" w:rsidRPr="0002330C">
              <w:rPr>
                <w:rFonts w:ascii="Calibri" w:eastAsia="Times New Roman" w:hAnsi="Calibri" w:cs="Times New Roman"/>
                <w:sz w:val="24"/>
                <w:szCs w:val="20"/>
                <w:lang w:eastAsia="en-GB"/>
              </w:rPr>
              <w:t>ocal and comparators data</w:t>
            </w:r>
          </w:p>
          <w:p w:rsidR="006E7DEF" w:rsidRPr="0002330C" w:rsidRDefault="00331C00" w:rsidP="006E7DEF">
            <w:pPr>
              <w:numPr>
                <w:ilvl w:val="0"/>
                <w:numId w:val="3"/>
              </w:num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Local single agency data</w:t>
            </w:r>
          </w:p>
          <w:p w:rsidR="00331C00" w:rsidRPr="0002330C" w:rsidRDefault="006E7DEF" w:rsidP="006E7DEF">
            <w:p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            </w:t>
            </w:r>
          </w:p>
          <w:p w:rsidR="00331C00" w:rsidRPr="0002330C" w:rsidRDefault="00331C00" w:rsidP="00B17268">
            <w:pPr>
              <w:rPr>
                <w:rFonts w:ascii="Calibri" w:eastAsia="Times New Roman" w:hAnsi="Calibri" w:cs="Times New Roman"/>
                <w:b/>
                <w:sz w:val="24"/>
                <w:szCs w:val="20"/>
                <w:lang w:eastAsia="en-GB"/>
              </w:rPr>
            </w:pPr>
          </w:p>
        </w:tc>
      </w:tr>
    </w:tbl>
    <w:p w:rsidR="00CF507E" w:rsidRPr="0002330C" w:rsidRDefault="00CF507E" w:rsidP="00331C00">
      <w:pPr>
        <w:spacing w:after="0" w:line="240" w:lineRule="auto"/>
        <w:jc w:val="both"/>
        <w:rPr>
          <w:rFonts w:ascii="Calibri" w:eastAsia="Times New Roman" w:hAnsi="Calibri" w:cs="Times New Roman"/>
          <w:b/>
          <w:sz w:val="24"/>
          <w:szCs w:val="20"/>
          <w:u w:val="single"/>
          <w:lang w:eastAsia="en-GB"/>
        </w:rPr>
      </w:pPr>
    </w:p>
    <w:p w:rsidR="00314576" w:rsidRDefault="00314576" w:rsidP="0046204D">
      <w:pPr>
        <w:spacing w:after="0" w:line="240" w:lineRule="auto"/>
        <w:rPr>
          <w:rFonts w:ascii="Calibri" w:eastAsia="Times New Roman" w:hAnsi="Calibri" w:cs="Times New Roman"/>
          <w:b/>
          <w:sz w:val="24"/>
          <w:szCs w:val="20"/>
          <w:lang w:eastAsia="en-GB"/>
        </w:rPr>
      </w:pPr>
    </w:p>
    <w:p w:rsidR="009A2C8D" w:rsidRPr="0002330C" w:rsidRDefault="009A2C8D" w:rsidP="0046204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National data</w:t>
      </w:r>
    </w:p>
    <w:p w:rsidR="003B7B1F" w:rsidRPr="0002330C" w:rsidRDefault="003B7B1F" w:rsidP="0046204D">
      <w:pPr>
        <w:spacing w:after="0" w:line="240" w:lineRule="auto"/>
        <w:rPr>
          <w:rFonts w:ascii="Calibri" w:eastAsia="Times New Roman" w:hAnsi="Calibri" w:cs="Times New Roman"/>
          <w:b/>
          <w:sz w:val="24"/>
          <w:szCs w:val="20"/>
          <w:lang w:eastAsia="en-GB"/>
        </w:rPr>
      </w:pPr>
    </w:p>
    <w:p w:rsidR="00997585" w:rsidRDefault="00997585" w:rsidP="00997585">
      <w:pPr>
        <w:spacing w:after="0" w:line="240" w:lineRule="auto"/>
        <w:rPr>
          <w:rFonts w:ascii="Calibri" w:hAnsi="Calibri" w:cs="Times New Roman"/>
          <w:color w:val="000000" w:themeColor="text1"/>
          <w:sz w:val="24"/>
          <w:szCs w:val="20"/>
          <w:lang w:eastAsia="zh-CN"/>
        </w:rPr>
      </w:pPr>
      <w:r w:rsidRPr="00D3450C">
        <w:rPr>
          <w:rFonts w:ascii="Calibri" w:hAnsi="Calibri" w:cs="Times New Roman" w:hint="eastAsia"/>
          <w:color w:val="FF0000"/>
          <w:sz w:val="24"/>
          <w:szCs w:val="20"/>
          <w:lang w:eastAsia="zh-CN"/>
        </w:rPr>
        <w:t>An increase of approximately 15% of Initial/Pre-birth CPCC's held.</w:t>
        <w:br/>
        <w:br/>
        <w:t xml:space="preserve">Over the past 5 years, there has been a significant decrease (57%) in the number of enquiries made to the CPR (656 to 281). Across the same period, there has been no noticeable variation in the number of enquiries in Aberdeenshire while in Moray there was a decrease of 72%. </w:t>
      </w:r>
    </w:p>
    <w:p w:rsidR="00997585" w:rsidRPr="00D3450C" w:rsidRDefault="00997585" w:rsidP="00997585">
      <w:pPr>
        <w:spacing w:after="0" w:line="240" w:lineRule="auto"/>
        <w:rPr>
          <w:rFonts w:ascii="Calibri" w:hAnsi="Calibri" w:cs="Times New Roman"/>
          <w:color w:val="000000" w:themeColor="text1"/>
          <w:sz w:val="24"/>
          <w:szCs w:val="20"/>
          <w:lang w:eastAsia="zh-CN"/>
        </w:rPr>
      </w:pPr>
    </w:p>
    <w:p w:rsidR="00997585" w:rsidRDefault="00997585" w:rsidP="009A3CE4">
      <w:pPr>
        <w:rPr>
          <w:rFonts w:ascii="Calibri" w:hAnsi="Calibri" w:cs="Times New Roman"/>
          <w:sz w:val="24"/>
          <w:szCs w:val="20"/>
          <w:lang w:eastAsia="zh-CN"/>
        </w:rPr>
      </w:pPr>
    </w:p>
    <w:p w:rsidR="00167075" w:rsidRPr="0063171B" w:rsidRDefault="0063171B" w:rsidP="00997585">
      <w:pPr>
        <w:spacing w:after="0" w:line="240" w:lineRule="auto"/>
        <w:rPr>
          <w:rFonts w:ascii="Calibri" w:hAnsi="Calibri" w:cs="Times New Roman"/>
          <w:b/>
          <w:sz w:val="24"/>
          <w:szCs w:val="20"/>
          <w:lang w:eastAsia="zh-CN"/>
        </w:rPr>
      </w:pPr>
      <w:r>
        <w:rPr>
          <w:rFonts w:ascii="Calibri" w:hAnsi="Calibri" w:cs="Times New Roman" w:hint="eastAsia"/>
          <w:b/>
          <w:sz w:val="24"/>
          <w:szCs w:val="20"/>
          <w:lang w:eastAsia="zh-CN"/>
        </w:rPr>
        <w:t>SCRA</w:t>
      </w:r>
      <w:r w:rsidRPr="0002330C">
        <w:rPr>
          <w:rFonts w:ascii="Calibri" w:eastAsia="Times New Roman" w:hAnsi="Calibri" w:cs="Times New Roman"/>
          <w:b/>
          <w:sz w:val="24"/>
          <w:szCs w:val="20"/>
          <w:lang w:eastAsia="en-GB"/>
        </w:rPr>
        <w:t xml:space="preserve"> data</w:t>
      </w:r>
    </w:p>
    <w:p w:rsidR="00F24D03" w:rsidRPr="00F24D03" w:rsidRDefault="00F24D03" w:rsidP="00997585">
      <w:pPr>
        <w:spacing w:after="0" w:line="240" w:lineRule="auto"/>
        <w:rPr>
          <w:rFonts w:ascii="Calibri" w:hAnsi="Calibri" w:cs="Times New Roman"/>
          <w:color w:val="000000" w:themeColor="text1"/>
          <w:sz w:val="24"/>
          <w:szCs w:val="20"/>
          <w:lang w:eastAsia="zh-CN"/>
        </w:rPr>
      </w:pPr>
    </w:p>
    <w:p w:rsidR="00997585" w:rsidRPr="00F0444F" w:rsidRDefault="00885BDF" w:rsidP="00997585">
      <w:pPr>
        <w:spacing w:after="0" w:line="240" w:lineRule="auto"/>
        <w:rPr>
          <w:rFonts w:ascii="Calibri" w:hAnsi="Calibri" w:cs="Times New Roman"/>
          <w:color w:val="000000" w:themeColor="text1"/>
          <w:sz w:val="24"/>
          <w:szCs w:val="20"/>
          <w:lang w:eastAsia="zh-CN"/>
        </w:rPr>
      </w:pPr>
      <w:r w:rsidRPr="00885BDF">
        <w:rPr>
          <w:rFonts w:ascii="Calibri" w:hAnsi="Calibri" w:cs="Times New Roman"/>
          <w:color w:val="FF0000"/>
          <w:sz w:val="24"/>
          <w:szCs w:val="20"/>
          <w:lang w:eastAsia="zh-CN"/>
        </w:rPr>
        <w:t>The national report highlighted that for the year 2016/2017 there has been a noticeable increase in the numbers of children and young people subject to Child Protection Orders (CPOs) during the year. The data showed a rise from 595 to 687.</w:t>
      </w:r>
    </w:p>
    <w:p w:rsidR="00997585" w:rsidRDefault="00997585" w:rsidP="00997585">
      <w:pPr>
        <w:rPr>
          <w:rFonts w:ascii="Calibri" w:hAnsi="Calibri" w:cs="Times New Roman"/>
          <w:i/>
          <w:iCs/>
          <w:sz w:val="24"/>
          <w:szCs w:val="20"/>
          <w:lang w:eastAsia="zh-CN"/>
        </w:rPr>
      </w:pPr>
      <w:r w:rsidRPr="00EA4382">
        <w:rPr>
          <w:rFonts w:ascii="Calibri" w:eastAsia="Times New Roman" w:hAnsi="Calibri" w:cs="Times New Roman"/>
          <w:i/>
          <w:iCs/>
          <w:sz w:val="24"/>
          <w:szCs w:val="20"/>
          <w:lang w:eastAsia="en-GB"/>
        </w:rPr>
        <w:t>Please provide any additional information required.</w:t>
      </w:r>
    </w:p>
    <w:p w:rsidR="00997585" w:rsidRPr="00997585" w:rsidRDefault="00997585" w:rsidP="009A3CE4">
      <w:pPr>
        <w:rPr>
          <w:rFonts w:ascii="Calibri" w:hAnsi="Calibri" w:cs="Times New Roman"/>
          <w:i/>
          <w:iCs/>
          <w:sz w:val="24"/>
          <w:szCs w:val="20"/>
          <w:lang w:eastAsia="zh-CN"/>
        </w:rPr>
      </w:pPr>
    </w:p>
    <w:p w:rsidR="00BC6004" w:rsidRPr="0002330C" w:rsidRDefault="00EC4B9A" w:rsidP="00BC6004">
      <w:pPr>
        <w:jc w:val="both"/>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L</w:t>
      </w:r>
      <w:r w:rsidR="00BC6004" w:rsidRPr="0002330C">
        <w:rPr>
          <w:rFonts w:ascii="Calibri" w:eastAsia="Times New Roman" w:hAnsi="Calibri" w:cs="Times New Roman"/>
          <w:b/>
          <w:sz w:val="24"/>
          <w:szCs w:val="20"/>
          <w:lang w:eastAsia="en-GB"/>
        </w:rPr>
        <w:t>ocal and comparators data</w:t>
      </w:r>
    </w:p>
    <w:p w:rsidR="00CF507E" w:rsidRPr="0002330C" w:rsidRDefault="00EA4382" w:rsidP="0046204D">
      <w:pPr>
        <w:spacing w:after="0" w:line="240" w:lineRule="auto"/>
        <w:rPr>
          <w:rFonts w:ascii="Calibri" w:eastAsia="Times New Roman" w:hAnsi="Calibri" w:cs="Times New Roman"/>
          <w:sz w:val="24"/>
          <w:szCs w:val="20"/>
          <w:lang w:eastAsia="en-GB"/>
        </w:rPr>
      </w:pPr>
      <w:r w:rsidRPr="00EA4382">
        <w:rPr>
          <w:rFonts w:ascii="Calibri" w:eastAsia="Times New Roman" w:hAnsi="Calibri" w:cs="Times New Roman"/>
          <w:i/>
          <w:iCs/>
          <w:sz w:val="24"/>
          <w:szCs w:val="20"/>
          <w:lang w:eastAsia="en-GB"/>
        </w:rPr>
        <w:t>Please provide any additional information required</w:t>
      </w:r>
      <w:r w:rsidR="0071112D">
        <w:rPr>
          <w:rFonts w:ascii="Calibri" w:eastAsia="Times New Roman" w:hAnsi="Calibri" w:cs="Times New Roman"/>
          <w:sz w:val="24"/>
          <w:szCs w:val="20"/>
          <w:lang w:eastAsia="en-GB"/>
        </w:rPr>
        <w:t xml:space="preserve">. </w:t>
      </w:r>
    </w:p>
    <w:p w:rsidR="00CF507E" w:rsidRPr="00167075" w:rsidRDefault="00CF507E" w:rsidP="00167075">
      <w:pPr>
        <w:spacing w:after="0" w:line="240" w:lineRule="auto"/>
        <w:rPr>
          <w:rFonts w:ascii="Calibri" w:hAnsi="Calibri" w:cs="Times New Roman"/>
          <w:sz w:val="24"/>
          <w:szCs w:val="20"/>
          <w:lang w:eastAsia="zh-CN"/>
        </w:rPr>
      </w:pPr>
    </w:p>
    <w:p w:rsidR="00255732" w:rsidRDefault="0063171B" w:rsidP="0046204D">
      <w:pPr>
        <w:spacing w:after="0" w:line="240" w:lineRule="auto"/>
        <w:rPr>
          <w:rFonts w:ascii="Calibri" w:hAnsi="Calibri" w:cs="Times New Roman"/>
          <w:color w:val="000000" w:themeColor="text1"/>
          <w:sz w:val="24"/>
          <w:szCs w:val="20"/>
          <w:lang w:eastAsia="zh-CN"/>
        </w:rPr>
      </w:pPr>
      <w:r w:rsidRPr="0063171B">
        <w:rPr>
          <w:rFonts w:ascii="Calibri" w:hAnsi="Calibri" w:cs="Times New Roman"/>
          <w:color w:val="FF0000"/>
          <w:sz w:val="24"/>
          <w:szCs w:val="20"/>
          <w:lang w:eastAsia="zh-CN"/>
        </w:rPr>
        <w:t>The data from local comparators features in the Child Protection Register (CPR) report prepared quarterly.  The Registrations per 1000 population in Aberdeen City statistics traditionally accord in general terms with national statistics. Registrations per 1000 population in Aberdeenshire is generally consistent other than in relation to a low rate of registration at 1.4 - 1.7 per 1,000 children and fluctuating areas of concern. Registrations per 1000 population in Moray has a proportionately high level of registration at 3.5 - 4.5 per 1000 population.</w:t>
      </w:r>
    </w:p>
    <w:p w:rsidR="0063171B" w:rsidRDefault="0063171B" w:rsidP="0046204D">
      <w:pPr>
        <w:spacing w:after="0" w:line="240" w:lineRule="auto"/>
        <w:rPr>
          <w:rFonts w:ascii="Calibri" w:hAnsi="Calibri" w:cs="Times New Roman"/>
          <w:sz w:val="24"/>
          <w:szCs w:val="20"/>
          <w:lang w:eastAsia="zh-CN"/>
        </w:rPr>
      </w:pPr>
    </w:p>
    <w:p w:rsidR="003A1A73" w:rsidRDefault="003A1A73" w:rsidP="00461ECF">
      <w:pPr>
        <w:pStyle w:val="ab"/>
        <w:rPr>
          <w:rFonts w:ascii="Calibri" w:hAnsi="Calibri" w:cs="Times New Roman"/>
          <w:sz w:val="24"/>
          <w:szCs w:val="20"/>
          <w:lang w:eastAsia="zh-CN"/>
        </w:rPr>
      </w:pPr>
    </w:p>
    <w:p w:rsidR="009D3E70" w:rsidRDefault="00EA4382" w:rsidP="00461ECF">
      <w:pPr>
        <w:pStyle w:val="ab"/>
        <w:rPr>
          <w:rFonts w:cstheme="minorHAnsi"/>
          <w:i/>
          <w:iCs/>
          <w:sz w:val="24"/>
          <w:szCs w:val="24"/>
        </w:rPr>
      </w:pPr>
      <w:r w:rsidRPr="00EA4382">
        <w:rPr>
          <w:rFonts w:cstheme="minorHAnsi"/>
          <w:i/>
          <w:iCs/>
          <w:sz w:val="24"/>
          <w:szCs w:val="24"/>
        </w:rPr>
        <w:t>Perhaps you would like to add something to the above.</w:t>
      </w:r>
    </w:p>
    <w:p w:rsidR="00EA4382" w:rsidRDefault="00EA4382" w:rsidP="00461ECF">
      <w:pPr>
        <w:pStyle w:val="ab"/>
        <w:rPr>
          <w:rFonts w:cstheme="minorHAnsi"/>
          <w:sz w:val="24"/>
          <w:szCs w:val="24"/>
          <w:lang w:eastAsia="zh-CN"/>
        </w:rPr>
      </w:pPr>
    </w:p>
    <w:p w:rsidR="007E1648" w:rsidRPr="00167075" w:rsidRDefault="007E1648" w:rsidP="00461ECF">
      <w:pPr>
        <w:pStyle w:val="ab"/>
        <w:rPr>
          <w:rFonts w:cstheme="minorHAnsi"/>
          <w:sz w:val="24"/>
          <w:szCs w:val="24"/>
          <w:lang w:eastAsia="zh-CN"/>
        </w:rPr>
      </w:pPr>
    </w:p>
    <w:p w:rsidR="009E5065" w:rsidRPr="00D3450C" w:rsidRDefault="00EB5642" w:rsidP="0046204D">
      <w:pPr>
        <w:spacing w:after="0" w:line="240" w:lineRule="auto"/>
        <w:rPr>
          <w:rFonts w:ascii="Calibri" w:hAnsi="Calibri" w:cs="Times New Roman"/>
          <w:color w:val="000000" w:themeColor="text1"/>
          <w:sz w:val="24"/>
          <w:szCs w:val="20"/>
          <w:lang w:eastAsia="zh-CN"/>
        </w:rPr>
      </w:pPr>
      <w:r w:rsidRPr="00EB5642">
        <w:rPr>
          <w:rFonts w:ascii="Calibri" w:hAnsi="Calibri" w:cs="Times New Roman"/>
          <w:color w:val="FF0000"/>
          <w:sz w:val="24"/>
          <w:szCs w:val="20"/>
          <w:lang w:eastAsia="zh-CN"/>
        </w:rPr>
        <w:t>Data from the Child Protection Register, indicates that the risk factors in Aberdeen City have remained largely the same over the last year, with the main areas of concern being Emotional Abuse, Parental Drug Misuse, Domestic Abuse, Neglect, and Parent mental health. Although there are some fluctuations, these predominant categories for registration remain the same.</w:t>
      </w:r>
    </w:p>
    <w:p w:rsidR="005301A0" w:rsidRDefault="005301A0" w:rsidP="0046204D">
      <w:pPr>
        <w:spacing w:after="0" w:line="240" w:lineRule="auto"/>
        <w:rPr>
          <w:rFonts w:ascii="Calibri" w:hAnsi="Calibri" w:cs="Times New Roman"/>
          <w:sz w:val="24"/>
          <w:szCs w:val="20"/>
          <w:lang w:eastAsia="zh-CN"/>
        </w:rPr>
      </w:pPr>
    </w:p>
    <w:p w:rsidR="007E1648" w:rsidRDefault="007E1648" w:rsidP="007E1648">
      <w:pPr>
        <w:pStyle w:val="ab"/>
        <w:rPr>
          <w:rFonts w:ascii="Calibri" w:hAnsi="Calibri" w:cs="Times New Roman"/>
          <w:sz w:val="24"/>
          <w:szCs w:val="20"/>
          <w:lang w:eastAsia="zh-CN"/>
        </w:rPr>
      </w:pPr>
      <w:r w:rsidRPr="003A1A73">
        <w:rPr>
          <w:rFonts w:ascii="Calibri" w:hAnsi="Calibri" w:cs="Times New Roman"/>
          <w:sz w:val="24"/>
          <w:szCs w:val="20"/>
          <w:lang w:eastAsia="zh-CN"/>
        </w:rPr>
      </w:r>
    </w:p>
    <w:tbl>
      <w:tblPr>
        <w:tblStyle w:val="a3"/>
        <w:tblW w:type="auto" w:w="0"/>
        <w:tblLook w:firstColumn="1" w:firstRow="1" w:lastColumn="0" w:lastRow="0" w:noHBand="0" w:noVBand="1" w:val="04A0"/>
      </w:tblPr>
      <w:tblGrid>
        <w:gridCol w:w="2256"/>
        <w:gridCol w:w="2256"/>
        <w:gridCol w:w="2256"/>
        <w:gridCol w:w="2256"/>
      </w:tblGrid>
      <w:tr>
        <w:tc>
          <w:tcPr>
            <w:tcW w:type="dxa" w:w="2256"/>
          </w:tcPr>
          <w:p>
            <w:r>
              <w:rPr>
                <w:color w:val="FF0000"/>
              </w:rPr>
              <w:t>Period</w:t>
            </w:r>
          </w:p>
        </w:tc>
        <w:tc>
          <w:tcPr>
            <w:tcW w:type="dxa" w:w="2256"/>
          </w:tcPr>
          <w:p>
            <w:r>
              <w:rPr>
                <w:color w:val="FF0000"/>
              </w:rPr>
              <w:t xml:space="preserve">Jul-Sept 2017 </w:t>
            </w:r>
          </w:p>
        </w:tc>
        <w:tc>
          <w:tcPr>
            <w:tcW w:type="dxa" w:w="2256"/>
          </w:tcPr>
          <w:p>
            <w:r>
              <w:rPr>
                <w:color w:val="FF0000"/>
              </w:rPr>
              <w:t>Oct-Dec 2017</w:t>
            </w:r>
          </w:p>
        </w:tc>
        <w:tc>
          <w:tcPr>
            <w:tcW w:type="dxa" w:w="2256"/>
          </w:tcPr>
          <w:p>
            <w:r>
              <w:rPr>
                <w:color w:val="FF0000"/>
              </w:rPr>
              <w:t>Jan-Mar 2018</w:t>
            </w:r>
          </w:p>
        </w:tc>
      </w:tr>
      <w:tr>
        <w:tc>
          <w:tcPr>
            <w:tcW w:type="dxa" w:w="2256"/>
          </w:tcPr>
          <w:p>
            <w:r>
              <w:rPr>
                <w:color w:val="FF0000"/>
              </w:rPr>
              <w:t>Registrations In Aberdeen City</w:t>
            </w:r>
          </w:p>
        </w:tc>
        <w:tc>
          <w:tcPr>
            <w:tcW w:type="dxa" w:w="2256"/>
          </w:tcPr>
          <w:p>
            <w:r>
              <w:rPr>
                <w:color w:val="FF0000"/>
              </w:rPr>
              <w:t>72.0</w:t>
            </w:r>
          </w:p>
        </w:tc>
        <w:tc>
          <w:tcPr>
            <w:tcW w:type="dxa" w:w="2256"/>
          </w:tcPr>
          <w:p>
            <w:r>
              <w:rPr>
                <w:color w:val="FF0000"/>
              </w:rPr>
              <w:t>82.0</w:t>
            </w:r>
          </w:p>
        </w:tc>
        <w:tc>
          <w:tcPr>
            <w:tcW w:type="dxa" w:w="2256"/>
          </w:tcPr>
          <w:p>
            <w:r>
              <w:rPr>
                <w:color w:val="FF0000"/>
              </w:rPr>
              <w:t>61.0</w:t>
            </w:r>
          </w:p>
        </w:tc>
      </w:tr>
      <w:tr>
        <w:tc>
          <w:tcPr>
            <w:tcW w:type="dxa" w:w="2256"/>
          </w:tcPr>
          <w:p>
            <w:r>
              <w:rPr>
                <w:color w:val="FF0000"/>
              </w:rPr>
              <w:t>Registrations per 1000 population in Aberdeen City</w:t>
            </w:r>
          </w:p>
        </w:tc>
        <w:tc>
          <w:tcPr>
            <w:tcW w:type="dxa" w:w="2256"/>
          </w:tcPr>
          <w:p>
            <w:r>
              <w:rPr>
                <w:color w:val="FF0000"/>
              </w:rPr>
              <w:t>2.1</w:t>
            </w:r>
          </w:p>
        </w:tc>
        <w:tc>
          <w:tcPr>
            <w:tcW w:type="dxa" w:w="2256"/>
          </w:tcPr>
          <w:p>
            <w:r>
              <w:rPr>
                <w:color w:val="FF0000"/>
              </w:rPr>
              <w:t>2.4</w:t>
            </w:r>
          </w:p>
        </w:tc>
        <w:tc>
          <w:tcPr>
            <w:tcW w:type="dxa" w:w="2256"/>
          </w:tcPr>
          <w:p>
            <w:r>
              <w:rPr>
                <w:color w:val="FF0000"/>
              </w:rPr>
              <w:t>1.8</w:t>
            </w:r>
          </w:p>
        </w:tc>
      </w:tr>
      <w:tr>
        <w:tc>
          <w:tcPr>
            <w:tcW w:type="dxa" w:w="2256"/>
          </w:tcPr>
          <w:p>
            <w:r>
              <w:rPr>
                <w:color w:val="FF0000"/>
              </w:rPr>
              <w:t>Registrations In Aberdeenshire</w:t>
            </w:r>
          </w:p>
        </w:tc>
        <w:tc>
          <w:tcPr>
            <w:tcW w:type="dxa" w:w="2256"/>
          </w:tcPr>
          <w:p>
            <w:r>
              <w:rPr>
                <w:color w:val="FF0000"/>
              </w:rPr>
              <w:t>84.0</w:t>
            </w:r>
          </w:p>
        </w:tc>
        <w:tc>
          <w:tcPr>
            <w:tcW w:type="dxa" w:w="2256"/>
          </w:tcPr>
          <w:p>
            <w:r>
              <w:rPr>
                <w:color w:val="FF0000"/>
              </w:rPr>
              <w:t>72.0</w:t>
            </w:r>
          </w:p>
        </w:tc>
        <w:tc>
          <w:tcPr>
            <w:tcW w:type="dxa" w:w="2256"/>
          </w:tcPr>
          <w:p>
            <w:r>
              <w:rPr>
                <w:color w:val="FF0000"/>
              </w:rPr>
              <w:t>87.0</w:t>
            </w:r>
          </w:p>
        </w:tc>
      </w:tr>
      <w:tr>
        <w:tc>
          <w:tcPr>
            <w:tcW w:type="dxa" w:w="2256"/>
          </w:tcPr>
          <w:p>
            <w:r>
              <w:rPr>
                <w:color w:val="FF0000"/>
              </w:rPr>
              <w:t>Registrations per 1000 population in Aberdeenshire</w:t>
            </w:r>
          </w:p>
        </w:tc>
        <w:tc>
          <w:tcPr>
            <w:tcW w:type="dxa" w:w="2256"/>
          </w:tcPr>
          <w:p>
            <w:r>
              <w:rPr>
                <w:color w:val="FF0000"/>
              </w:rPr>
              <w:t>1.7</w:t>
            </w:r>
          </w:p>
        </w:tc>
        <w:tc>
          <w:tcPr>
            <w:tcW w:type="dxa" w:w="2256"/>
          </w:tcPr>
          <w:p>
            <w:r>
              <w:rPr>
                <w:color w:val="FF0000"/>
              </w:rPr>
              <w:t>1.4</w:t>
            </w:r>
          </w:p>
        </w:tc>
        <w:tc>
          <w:tcPr>
            <w:tcW w:type="dxa" w:w="2256"/>
          </w:tcPr>
          <w:p>
            <w:r>
              <w:rPr>
                <w:color w:val="FF0000"/>
              </w:rPr>
              <w:t>1.7</w:t>
            </w:r>
          </w:p>
        </w:tc>
      </w:tr>
      <w:tr>
        <w:tc>
          <w:tcPr>
            <w:tcW w:type="dxa" w:w="2256"/>
          </w:tcPr>
          <w:p>
            <w:r>
              <w:rPr>
                <w:color w:val="FF0000"/>
              </w:rPr>
              <w:t>Registrations In Moray</w:t>
            </w:r>
          </w:p>
        </w:tc>
        <w:tc>
          <w:tcPr>
            <w:tcW w:type="dxa" w:w="2256"/>
          </w:tcPr>
          <w:p>
            <w:r>
              <w:rPr>
                <w:color w:val="FF0000"/>
              </w:rPr>
              <w:t>76.0</w:t>
            </w:r>
          </w:p>
        </w:tc>
        <w:tc>
          <w:tcPr>
            <w:tcW w:type="dxa" w:w="2256"/>
          </w:tcPr>
          <w:p>
            <w:r>
              <w:rPr>
                <w:color w:val="FF0000"/>
              </w:rPr>
              <w:t>69.0</w:t>
            </w:r>
          </w:p>
        </w:tc>
        <w:tc>
          <w:tcPr>
            <w:tcW w:type="dxa" w:w="2256"/>
          </w:tcPr>
          <w:p>
            <w:r>
              <w:rPr>
                <w:color w:val="FF0000"/>
              </w:rPr>
              <w:t>59.0</w:t>
            </w:r>
          </w:p>
        </w:tc>
      </w:tr>
      <w:tr>
        <w:tc>
          <w:tcPr>
            <w:tcW w:type="dxa" w:w="2256"/>
          </w:tcPr>
          <w:p>
            <w:r>
              <w:rPr>
                <w:color w:val="FF0000"/>
              </w:rPr>
              <w:t>Registrations per 1000 population in Moray</w:t>
            </w:r>
          </w:p>
        </w:tc>
        <w:tc>
          <w:tcPr>
            <w:tcW w:type="dxa" w:w="2256"/>
          </w:tcPr>
          <w:p>
            <w:r>
              <w:rPr>
                <w:color w:val="FF0000"/>
              </w:rPr>
              <w:t>4.0</w:t>
            </w:r>
          </w:p>
        </w:tc>
        <w:tc>
          <w:tcPr>
            <w:tcW w:type="dxa" w:w="2256"/>
          </w:tcPr>
          <w:p>
            <w:r>
              <w:rPr>
                <w:color w:val="FF0000"/>
              </w:rPr>
              <w:t>4.5</w:t>
            </w:r>
          </w:p>
        </w:tc>
        <w:tc>
          <w:tcPr>
            <w:tcW w:type="dxa" w:w="2256"/>
          </w:tcPr>
          <w:p>
            <w:r>
              <w:rPr>
                <w:color w:val="FF0000"/>
              </w:rPr>
              <w:t>3.5</w:t>
            </w:r>
          </w:p>
        </w:tc>
      </w:tr>
      <w:tr>
        <w:tc>
          <w:tcPr>
            <w:tcW w:type="dxa" w:w="2256"/>
          </w:tcPr>
          <w:p>
            <w:r>
              <w:rPr>
                <w:color w:val="FF0000"/>
              </w:rPr>
              <w:t>per 1000 population in Nation</w:t>
            </w:r>
          </w:p>
        </w:tc>
        <w:tc>
          <w:tcPr>
            <w:tcW w:type="dxa" w:w="2256"/>
          </w:tcPr>
          <w:p>
            <w:r>
              <w:rPr>
                <w:color w:val="FF0000"/>
              </w:rPr>
              <w:t>2.9</w:t>
            </w:r>
          </w:p>
        </w:tc>
        <w:tc>
          <w:tcPr>
            <w:tcW w:type="dxa" w:w="2256"/>
          </w:tcPr>
          <w:p>
            <w:r>
              <w:rPr>
                <w:color w:val="FF0000"/>
              </w:rPr>
              <w:t>2.9</w:t>
            </w:r>
          </w:p>
        </w:tc>
        <w:tc>
          <w:tcPr>
            <w:tcW w:type="dxa" w:w="2256"/>
          </w:tcPr>
          <w:p>
            <w:r>
              <w:rPr>
                <w:color w:val="FF0000"/>
              </w:rPr>
              <w:t>2.9</w:t>
            </w:r>
          </w:p>
        </w:tc>
      </w:tr>
      <w:tr>
        <w:tc>
          <w:tcPr>
            <w:tcW w:type="dxa" w:w="2256"/>
          </w:tcPr>
          <w:p>
            <w:r>
              <w:rPr>
                <w:color w:val="FF0000"/>
              </w:rPr>
              <w:t>Compared with last year for Aberdeen City</w:t>
            </w:r>
          </w:p>
        </w:tc>
        <w:tc>
          <w:tcPr>
            <w:tcW w:type="dxa" w:w="2256"/>
          </w:tcPr>
          <w:p>
            <w:r>
              <w:rPr>
                <w:color w:val="FF0000"/>
              </w:rPr>
              <w:t>-46.0</w:t>
            </w:r>
          </w:p>
        </w:tc>
        <w:tc>
          <w:tcPr>
            <w:tcW w:type="dxa" w:w="2256"/>
          </w:tcPr>
          <w:p>
            <w:r>
              <w:rPr>
                <w:color w:val="FF0000"/>
              </w:rPr>
              <w:t>-37.0</w:t>
            </w:r>
          </w:p>
        </w:tc>
        <w:tc>
          <w:tcPr>
            <w:tcW w:type="dxa" w:w="2256"/>
          </w:tcPr>
          <w:p>
            <w:r>
              <w:rPr>
                <w:color w:val="FF0000"/>
              </w:rPr>
              <w:t>-45.5</w:t>
            </w:r>
          </w:p>
        </w:tc>
      </w:tr>
      <w:tr>
        <w:tc>
          <w:tcPr>
            <w:tcW w:type="dxa" w:w="2256"/>
          </w:tcPr>
          <w:p>
            <w:r>
              <w:rPr>
                <w:color w:val="FF0000"/>
              </w:rPr>
              <w:t>Compared with last year for Aberdeenshire</w:t>
            </w:r>
          </w:p>
        </w:tc>
        <w:tc>
          <w:tcPr>
            <w:tcW w:type="dxa" w:w="2256"/>
          </w:tcPr>
          <w:p>
            <w:r>
              <w:rPr>
                <w:color w:val="FF0000"/>
              </w:rPr>
              <w:t>33.0</w:t>
            </w:r>
          </w:p>
        </w:tc>
        <w:tc>
          <w:tcPr>
            <w:tcW w:type="dxa" w:w="2256"/>
          </w:tcPr>
          <w:p>
            <w:r>
              <w:rPr>
                <w:color w:val="FF0000"/>
              </w:rPr>
              <w:t>31.0</w:t>
            </w:r>
          </w:p>
        </w:tc>
        <w:tc>
          <w:tcPr>
            <w:tcW w:type="dxa" w:w="2256"/>
          </w:tcPr>
          <w:p>
            <w:r>
              <w:rPr>
                <w:color w:val="FF0000"/>
              </w:rPr>
              <w:t>30.0</w:t>
            </w:r>
          </w:p>
        </w:tc>
      </w:tr>
      <w:tr>
        <w:tc>
          <w:tcPr>
            <w:tcW w:type="dxa" w:w="2256"/>
          </w:tcPr>
          <w:p>
            <w:r>
              <w:rPr>
                <w:color w:val="FF0000"/>
              </w:rPr>
              <w:t>Compared with last year for Moray</w:t>
            </w:r>
          </w:p>
        </w:tc>
        <w:tc>
          <w:tcPr>
            <w:tcW w:type="dxa" w:w="2256"/>
          </w:tcPr>
          <w:p>
            <w:r>
              <w:rPr>
                <w:color w:val="FF0000"/>
              </w:rPr>
              <w:t>17.0</w:t>
            </w:r>
          </w:p>
        </w:tc>
        <w:tc>
          <w:tcPr>
            <w:tcW w:type="dxa" w:w="2256"/>
          </w:tcPr>
          <w:p>
            <w:r>
              <w:rPr>
                <w:color w:val="FF0000"/>
              </w:rPr>
              <w:t>-7.0</w:t>
            </w:r>
          </w:p>
        </w:tc>
        <w:tc>
          <w:tcPr>
            <w:tcW w:type="dxa" w:w="2256"/>
          </w:tcPr>
          <w:p>
            <w:r>
              <w:rPr>
                <w:color w:val="FF0000"/>
              </w:rPr>
              <w:t>-27.0</w:t>
            </w:r>
          </w:p>
        </w:tc>
      </w:tr>
      <w:tr>
        <w:tc>
          <w:tcPr>
            <w:tcW w:type="dxa" w:w="2256"/>
          </w:tcPr>
          <w:p>
            <w:r>
              <w:rPr>
                <w:color w:val="FF0000"/>
              </w:rPr>
              <w:t>Re-Registrations In Aberdeen City</w:t>
            </w:r>
          </w:p>
        </w:tc>
        <w:tc>
          <w:tcPr>
            <w:tcW w:type="dxa" w:w="2256"/>
          </w:tcPr>
          <w:p>
            <w:r>
              <w:rPr>
                <w:color w:val="FF0000"/>
              </w:rPr>
              <w:t>14.0</w:t>
            </w:r>
          </w:p>
        </w:tc>
        <w:tc>
          <w:tcPr>
            <w:tcW w:type="dxa" w:w="2256"/>
          </w:tcPr>
          <w:p>
            <w:r>
              <w:rPr>
                <w:color w:val="FF0000"/>
              </w:rPr>
              <w:t>15.0</w:t>
            </w:r>
          </w:p>
        </w:tc>
        <w:tc>
          <w:tcPr>
            <w:tcW w:type="dxa" w:w="2256"/>
          </w:tcPr>
          <w:p>
            <w:r>
              <w:rPr>
                <w:color w:val="FF0000"/>
              </w:rPr>
              <w:t>17.0</w:t>
            </w:r>
          </w:p>
        </w:tc>
      </w:tr>
      <w:tr>
        <w:tc>
          <w:tcPr>
            <w:tcW w:type="dxa" w:w="2256"/>
          </w:tcPr>
          <w:p>
            <w:r>
              <w:rPr>
                <w:color w:val="FF0000"/>
              </w:rPr>
              <w:t>Re-registrations as a % of registrations in Aberdeen City</w:t>
            </w:r>
          </w:p>
        </w:tc>
        <w:tc>
          <w:tcPr>
            <w:tcW w:type="dxa" w:w="2256"/>
          </w:tcPr>
          <w:p>
            <w:r>
              <w:rPr>
                <w:color w:val="FF0000"/>
              </w:rPr>
              <w:t>19.0</w:t>
            </w:r>
          </w:p>
        </w:tc>
        <w:tc>
          <w:tcPr>
            <w:tcW w:type="dxa" w:w="2256"/>
          </w:tcPr>
          <w:p>
            <w:r>
              <w:rPr>
                <w:color w:val="FF0000"/>
              </w:rPr>
              <w:t>18.0</w:t>
            </w:r>
          </w:p>
        </w:tc>
        <w:tc>
          <w:tcPr>
            <w:tcW w:type="dxa" w:w="2256"/>
          </w:tcPr>
          <w:p>
            <w:r>
              <w:rPr>
                <w:color w:val="FF0000"/>
              </w:rPr>
              <w:t>28.0</w:t>
            </w:r>
          </w:p>
        </w:tc>
      </w:tr>
      <w:tr>
        <w:tc>
          <w:tcPr>
            <w:tcW w:type="dxa" w:w="2256"/>
          </w:tcPr>
          <w:p>
            <w:r>
              <w:rPr>
                <w:color w:val="FF0000"/>
              </w:rPr>
              <w:t>Re-Registrations In Aberdeenshire</w:t>
            </w:r>
          </w:p>
        </w:tc>
        <w:tc>
          <w:tcPr>
            <w:tcW w:type="dxa" w:w="2256"/>
          </w:tcPr>
          <w:p>
            <w:r>
              <w:rPr>
                <w:color w:val="FF0000"/>
              </w:rPr>
              <w:t>15.0</w:t>
            </w:r>
          </w:p>
        </w:tc>
        <w:tc>
          <w:tcPr>
            <w:tcW w:type="dxa" w:w="2256"/>
          </w:tcPr>
          <w:p>
            <w:r>
              <w:rPr>
                <w:color w:val="FF0000"/>
              </w:rPr>
              <w:t>6.0</w:t>
            </w:r>
          </w:p>
        </w:tc>
        <w:tc>
          <w:tcPr>
            <w:tcW w:type="dxa" w:w="2256"/>
          </w:tcPr>
          <w:p>
            <w:r>
              <w:rPr>
                <w:color w:val="FF0000"/>
              </w:rPr>
              <w:t>13.0</w:t>
            </w:r>
          </w:p>
        </w:tc>
      </w:tr>
      <w:tr>
        <w:tc>
          <w:tcPr>
            <w:tcW w:type="dxa" w:w="2256"/>
          </w:tcPr>
          <w:p>
            <w:r>
              <w:rPr>
                <w:color w:val="FF0000"/>
              </w:rPr>
              <w:t>Re-registrations as a % of registrations in Aberdeenshire</w:t>
            </w:r>
          </w:p>
        </w:tc>
        <w:tc>
          <w:tcPr>
            <w:tcW w:type="dxa" w:w="2256"/>
          </w:tcPr>
          <w:p>
            <w:r>
              <w:rPr>
                <w:color w:val="FF0000"/>
              </w:rPr>
              <w:t>17.0</w:t>
            </w:r>
          </w:p>
        </w:tc>
        <w:tc>
          <w:tcPr>
            <w:tcW w:type="dxa" w:w="2256"/>
          </w:tcPr>
          <w:p>
            <w:r>
              <w:rPr>
                <w:color w:val="FF0000"/>
              </w:rPr>
              <w:t>8.0</w:t>
            </w:r>
          </w:p>
        </w:tc>
        <w:tc>
          <w:tcPr>
            <w:tcW w:type="dxa" w:w="2256"/>
          </w:tcPr>
          <w:p>
            <w:r>
              <w:rPr>
                <w:color w:val="FF0000"/>
              </w:rPr>
              <w:t>15.0</w:t>
            </w:r>
          </w:p>
        </w:tc>
      </w:tr>
      <w:tr>
        <w:tc>
          <w:tcPr>
            <w:tcW w:type="dxa" w:w="2256"/>
          </w:tcPr>
          <w:p>
            <w:r>
              <w:rPr>
                <w:color w:val="FF0000"/>
              </w:rPr>
              <w:t>Re-Registrations In Moray</w:t>
            </w:r>
          </w:p>
        </w:tc>
        <w:tc>
          <w:tcPr>
            <w:tcW w:type="dxa" w:w="2256"/>
          </w:tcPr>
          <w:p>
            <w:r>
              <w:rPr>
                <w:color w:val="FF0000"/>
              </w:rPr>
              <w:t>15.0</w:t>
            </w:r>
          </w:p>
        </w:tc>
        <w:tc>
          <w:tcPr>
            <w:tcW w:type="dxa" w:w="2256"/>
          </w:tcPr>
          <w:p>
            <w:r>
              <w:rPr>
                <w:color w:val="FF0000"/>
              </w:rPr>
              <w:t>13.0</w:t>
            </w:r>
          </w:p>
        </w:tc>
        <w:tc>
          <w:tcPr>
            <w:tcW w:type="dxa" w:w="2256"/>
          </w:tcPr>
          <w:p>
            <w:r>
              <w:rPr>
                <w:color w:val="FF0000"/>
              </w:rPr>
              <w:t>13.0</w:t>
            </w:r>
          </w:p>
        </w:tc>
      </w:tr>
      <w:tr>
        <w:tc>
          <w:tcPr>
            <w:tcW w:type="dxa" w:w="2256"/>
          </w:tcPr>
          <w:p>
            <w:r>
              <w:rPr>
                <w:color w:val="FF0000"/>
              </w:rPr>
              <w:t>Re-registrations as a % of registrations in Moray</w:t>
            </w:r>
          </w:p>
        </w:tc>
        <w:tc>
          <w:tcPr>
            <w:tcW w:type="dxa" w:w="2256"/>
          </w:tcPr>
          <w:p>
            <w:r>
              <w:rPr>
                <w:color w:val="FF0000"/>
              </w:rPr>
              <w:t>20.0</w:t>
            </w:r>
          </w:p>
        </w:tc>
        <w:tc>
          <w:tcPr>
            <w:tcW w:type="dxa" w:w="2256"/>
          </w:tcPr>
          <w:p>
            <w:r>
              <w:rPr>
                <w:color w:val="FF0000"/>
              </w:rPr>
              <w:t>19.0</w:t>
            </w:r>
          </w:p>
        </w:tc>
        <w:tc>
          <w:tcPr>
            <w:tcW w:type="dxa" w:w="2256"/>
          </w:tcPr>
          <w:p>
            <w:r>
              <w:rPr>
                <w:color w:val="FF0000"/>
              </w:rPr>
              <w:t>22.0</w:t>
            </w:r>
          </w:p>
        </w:tc>
      </w:tr>
      <w:tr>
        <w:tc>
          <w:tcPr>
            <w:tcW w:type="dxa" w:w="2256"/>
          </w:tcPr>
          <w:p>
            <w:r>
              <w:rPr>
                <w:color w:val="FF0000"/>
              </w:rPr>
              <w:t>Largest family for Aberdeen City</w:t>
            </w:r>
          </w:p>
        </w:tc>
        <w:tc>
          <w:tcPr>
            <w:tcW w:type="dxa" w:w="2256"/>
          </w:tcPr>
          <w:p>
            <w:r>
              <w:rPr>
                <w:color w:val="FF0000"/>
              </w:rPr>
              <w:t>2.0</w:t>
            </w:r>
          </w:p>
        </w:tc>
        <w:tc>
          <w:tcPr>
            <w:tcW w:type="dxa" w:w="2256"/>
          </w:tcPr>
          <w:p>
            <w:r>
              <w:rPr>
                <w:color w:val="FF0000"/>
              </w:rPr>
              <w:t>2.0</w:t>
            </w:r>
          </w:p>
        </w:tc>
        <w:tc>
          <w:tcPr>
            <w:tcW w:type="dxa" w:w="2256"/>
          </w:tcPr>
          <w:p>
            <w:r>
              <w:rPr>
                <w:color w:val="FF0000"/>
              </w:rPr>
              <w:t>3.0</w:t>
            </w:r>
          </w:p>
        </w:tc>
      </w:tr>
      <w:tr>
        <w:tc>
          <w:tcPr>
            <w:tcW w:type="dxa" w:w="2256"/>
          </w:tcPr>
          <w:p>
            <w:r>
              <w:rPr>
                <w:color w:val="FF0000"/>
              </w:rPr>
              <w:t>Longest gap between registrations of Aberdeen City</w:t>
            </w:r>
          </w:p>
        </w:tc>
        <w:tc>
          <w:tcPr>
            <w:tcW w:type="dxa" w:w="2256"/>
          </w:tcPr>
          <w:p>
            <w:r>
              <w:rPr>
                <w:color w:val="FF0000"/>
              </w:rPr>
              <w:t>84.0</w:t>
            </w:r>
          </w:p>
        </w:tc>
        <w:tc>
          <w:tcPr>
            <w:tcW w:type="dxa" w:w="2256"/>
          </w:tcPr>
          <w:p>
            <w:r>
              <w:rPr>
                <w:color w:val="FF0000"/>
              </w:rPr>
              <w:t>84.0</w:t>
            </w:r>
          </w:p>
        </w:tc>
        <w:tc>
          <w:tcPr>
            <w:tcW w:type="dxa" w:w="2256"/>
          </w:tcPr>
          <w:p>
            <w:r>
              <w:rPr>
                <w:color w:val="FF0000"/>
              </w:rPr>
              <w:t>76.0</w:t>
            </w:r>
          </w:p>
        </w:tc>
      </w:tr>
      <w:tr>
        <w:tc>
          <w:tcPr>
            <w:tcW w:type="dxa" w:w="2256"/>
          </w:tcPr>
          <w:p>
            <w:r>
              <w:rPr>
                <w:color w:val="FF0000"/>
              </w:rPr>
              <w:t>Shortest gap between registrations of Aberdeen City</w:t>
            </w:r>
          </w:p>
        </w:tc>
        <w:tc>
          <w:tcPr>
            <w:tcW w:type="dxa" w:w="2256"/>
          </w:tcPr>
          <w:p>
            <w:r>
              <w:rPr>
                <w:color w:val="FF0000"/>
              </w:rPr>
              <w:t>7.0</w:t>
            </w:r>
          </w:p>
        </w:tc>
        <w:tc>
          <w:tcPr>
            <w:tcW w:type="dxa" w:w="2256"/>
          </w:tcPr>
          <w:p>
            <w:r>
              <w:rPr>
                <w:color w:val="FF0000"/>
              </w:rPr>
              <w:t>7.0</w:t>
            </w:r>
          </w:p>
        </w:tc>
        <w:tc>
          <w:tcPr>
            <w:tcW w:type="dxa" w:w="2256"/>
          </w:tcPr>
          <w:p>
            <w:r>
              <w:rPr>
                <w:color w:val="FF0000"/>
              </w:rPr>
              <w:t>21.0</w:t>
            </w:r>
          </w:p>
        </w:tc>
      </w:tr>
    </w:tbl>
    <w:p w:rsidR="007E1648" w:rsidRPr="007E1648" w:rsidRDefault="007E1648" w:rsidP="0046204D">
      <w:pPr>
        <w:spacing w:after="0" w:line="240" w:lineRule="auto"/>
        <w:rPr>
          <w:rFonts w:ascii="Calibri" w:hAnsi="Calibri" w:cs="Times New Roman"/>
          <w:sz w:val="24"/>
          <w:szCs w:val="20"/>
          <w:lang w:eastAsia="zh-CN"/>
        </w:rPr>
      </w:pPr>
    </w:p>
    <w:p w:rsidR="00314576" w:rsidRPr="00EA4382" w:rsidRDefault="00EA4382" w:rsidP="0046204D">
      <w:pPr>
        <w:spacing w:after="0" w:line="240" w:lineRule="auto"/>
        <w:rPr>
          <w:rFonts w:ascii="Calibri" w:eastAsia="Times New Roman" w:hAnsi="Calibri" w:cs="Times New Roman"/>
          <w:i/>
          <w:iCs/>
          <w:sz w:val="24"/>
          <w:szCs w:val="20"/>
          <w:lang w:eastAsia="en-GB"/>
        </w:rPr>
      </w:pPr>
      <w:r w:rsidRPr="00EA4382">
        <w:rPr>
          <w:rFonts w:ascii="Calibri" w:eastAsia="Times New Roman" w:hAnsi="Calibri" w:cs="Times New Roman"/>
          <w:i/>
          <w:iCs/>
          <w:sz w:val="24"/>
          <w:szCs w:val="20"/>
          <w:lang w:eastAsia="en-GB"/>
        </w:rPr>
        <w:t>Perhaps you would like to expand on the content of the most serious risks.</w:t>
      </w:r>
    </w:p>
    <w:p w:rsidR="001A4450" w:rsidRPr="0002330C" w:rsidRDefault="001A4450" w:rsidP="00770335">
      <w:pPr>
        <w:spacing w:after="0" w:line="240" w:lineRule="auto"/>
        <w:jc w:val="both"/>
        <w:rPr>
          <w:rFonts w:ascii="Calibri" w:eastAsia="Times New Roman" w:hAnsi="Calibri" w:cs="Times New Roman"/>
          <w:sz w:val="24"/>
          <w:szCs w:val="20"/>
          <w:lang w:eastAsia="en-GB"/>
        </w:rPr>
      </w:pPr>
    </w:p>
    <w:p w:rsidR="002139F1" w:rsidRDefault="002139F1" w:rsidP="0046204D">
      <w:pPr>
        <w:spacing w:after="0" w:line="240" w:lineRule="auto"/>
        <w:rPr>
          <w:rFonts w:ascii="Calibri" w:eastAsia="Times New Roman" w:hAnsi="Calibri" w:cs="Times New Roman"/>
          <w:sz w:val="24"/>
          <w:szCs w:val="20"/>
          <w:lang w:eastAsia="en-GB"/>
        </w:rPr>
      </w:pPr>
    </w:p>
    <w:p w:rsidR="00EC4B9A" w:rsidRPr="0002330C" w:rsidRDefault="00EC4B9A" w:rsidP="0046204D">
      <w:pPr>
        <w:spacing w:after="0" w:line="240" w:lineRule="auto"/>
        <w:rPr>
          <w:rFonts w:ascii="Calibri" w:eastAsia="Times New Roman" w:hAnsi="Calibri" w:cs="Times New Roman"/>
          <w:sz w:val="24"/>
          <w:szCs w:val="20"/>
          <w:lang w:eastAsia="en-GB"/>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Pr="00A31C27" w:rsidRDefault="00A31C27" w:rsidP="00A31C27">
            <w:pPr>
              <w:pStyle w:val="a4"/>
              <w:jc w:val="both"/>
              <w:rPr>
                <w:rFonts w:ascii="Calibri" w:eastAsia="Times New Roman" w:hAnsi="Calibri" w:cs="Times New Roman"/>
                <w:b/>
                <w:sz w:val="24"/>
                <w:szCs w:val="20"/>
                <w:u w:val="single"/>
                <w:lang w:eastAsia="en-GB"/>
              </w:rPr>
            </w:pPr>
          </w:p>
          <w:p w:rsidR="006E7DEF" w:rsidRPr="00A31C27" w:rsidRDefault="00331C00" w:rsidP="00A31C27">
            <w:pPr>
              <w:pStyle w:val="a4"/>
              <w:numPr>
                <w:ilvl w:val="0"/>
                <w:numId w:val="33"/>
              </w:numPr>
              <w:jc w:val="both"/>
              <w:rPr>
                <w:rFonts w:ascii="Calibri" w:eastAsia="Times New Roman" w:hAnsi="Calibri" w:cs="Times New Roman"/>
                <w:b/>
                <w:sz w:val="24"/>
                <w:szCs w:val="20"/>
                <w:u w:val="single"/>
                <w:lang w:eastAsia="en-GB"/>
              </w:rPr>
            </w:pPr>
            <w:r w:rsidRPr="00A31C27">
              <w:rPr>
                <w:rFonts w:ascii="Calibri" w:eastAsia="Times New Roman" w:hAnsi="Calibri" w:cs="Times New Roman"/>
                <w:sz w:val="24"/>
                <w:szCs w:val="20"/>
                <w:lang w:eastAsia="en-GB"/>
              </w:rPr>
              <w:t xml:space="preserve">To what extent does Aberdeen City meet, or not meet, the timescales for child   protection administration set out in the National Guidance for Child Protection in Scotland 2014?  </w:t>
            </w:r>
          </w:p>
          <w:p w:rsidR="00331C00" w:rsidRPr="0002330C" w:rsidRDefault="00331C00" w:rsidP="00A31C27">
            <w:pPr>
              <w:ind w:left="720"/>
              <w:jc w:val="both"/>
              <w:rPr>
                <w:rFonts w:ascii="Calibri" w:eastAsia="Times New Roman" w:hAnsi="Calibri" w:cs="Times New Roman"/>
                <w:sz w:val="24"/>
                <w:szCs w:val="20"/>
                <w:lang w:eastAsia="en-GB"/>
              </w:rPr>
            </w:pPr>
          </w:p>
        </w:tc>
      </w:tr>
    </w:tbl>
    <w:p w:rsidR="00770335" w:rsidRPr="00167075" w:rsidRDefault="00770335" w:rsidP="00C74200">
      <w:pPr>
        <w:spacing w:after="0" w:line="240" w:lineRule="auto"/>
        <w:rPr>
          <w:rFonts w:ascii="Calibri" w:eastAsia="Times New Roman" w:hAnsi="Calibri" w:cs="Times New Roman"/>
          <w:bCs/>
          <w:sz w:val="24"/>
          <w:szCs w:val="20"/>
          <w:lang w:eastAsia="en-GB"/>
        </w:rPr>
      </w:pPr>
    </w:p>
    <w:p w:rsidR="00C74200" w:rsidRDefault="00C74200" w:rsidP="00C74200">
      <w:pPr>
        <w:spacing w:after="0" w:line="240" w:lineRule="auto"/>
        <w:rPr>
          <w:rFonts w:ascii="Calibri" w:hAnsi="Calibri" w:cs="Times New Roman"/>
          <w:sz w:val="24"/>
          <w:szCs w:val="20"/>
          <w:lang w:eastAsia="zh-CN"/>
        </w:rPr>
      </w:pPr>
    </w:p>
    <w:p w:rsidR="00223C7E" w:rsidRDefault="00EB5642" w:rsidP="00C74200">
      <w:pPr>
        <w:spacing w:after="0" w:line="240" w:lineRule="auto"/>
        <w:rPr>
          <w:rFonts w:ascii="Calibri" w:hAnsi="Calibri" w:cs="Times New Roman"/>
          <w:sz w:val="24"/>
          <w:szCs w:val="20"/>
          <w:lang w:eastAsia="zh-CN"/>
        </w:rPr>
      </w:pPr>
      <w:r w:rsidRPr="00EB5642">
        <w:rPr>
          <w:rFonts w:ascii="Calibri" w:hAnsi="Calibri" w:cs="Times New Roman"/>
          <w:color w:val="FF0000"/>
          <w:sz w:val="24"/>
          <w:szCs w:val="20"/>
          <w:lang w:eastAsia="zh-CN"/>
        </w:rPr>
        <w:t>In the period April – June 2017, 92 Case Conferences were held. 103 were held in the previous quarter. 9 (45%) Initial Child Protection Case Conferences were held within the 21 day timescale. Although consistent with the preceding quarter, over time this has been an increasing statistic from 71.0% in June 2016, 72.0% in September 2016 and 65.0% in December 2016.</w:t>
        <w:br/>
        <w:br/>
        <w:t>Pre-birth case conferences are held at no later than 28 weeks of pregnancy. 17 (81%) of these were held within timescale compared to 3 (21%) in the previous quarter.</w:t>
        <w:br/>
        <w:t xml:space="preserve">89 (97%) of invitations to CPCCs were issued with a minimum of 5 working days notice with 90 (49%) of notification of decisions being issued to families within 24 hours. The CP Admin team are to be commended on these statistics. </w:t>
        <w:br/>
        <w:t xml:space="preserve">21 (23%) of Child Protection Plans were issued within 5 calendar days with 8 (9%) of minutes were issued within 15 calendar days. </w:t>
        <w:br/>
        <w:t xml:space="preserve">11 (48%) of the first reviews were held within 3 months of the initial CPCC, with </w:t>
        <w:br/>
        <w:t xml:space="preserve">12 held out with timescale. Subsequent reviews are required to be held within 6 months. 29 (83%) were held within the timescale and </w:t>
        <w:br/>
        <w:t>6 out with timescale. This is also an improvement from the previous quarter.</w:t>
      </w:r>
    </w:p>
    <w:p w:rsidR="00C74200" w:rsidRDefault="00C74200" w:rsidP="00C74200">
      <w:pPr>
        <w:spacing w:after="0" w:line="240" w:lineRule="auto"/>
        <w:rPr>
          <w:rFonts w:ascii="Calibri" w:hAnsi="Calibri" w:cs="Times New Roman"/>
          <w:sz w:val="24"/>
          <w:szCs w:val="20"/>
          <w:lang w:eastAsia="zh-CN"/>
        </w:rPr>
      </w:pPr>
    </w:p>
    <w:p w:rsidR="00997585" w:rsidRDefault="00223C7E" w:rsidP="00223C7E">
      <w:pPr>
        <w:rPr>
          <w:rFonts w:ascii="Calibri" w:hAnsi="Calibri" w:cs="Times New Roman"/>
          <w:i/>
          <w:iCs/>
          <w:sz w:val="24"/>
          <w:szCs w:val="20"/>
          <w:lang w:eastAsia="zh-CN"/>
        </w:rPr>
      </w:pPr>
      <w:r w:rsidRPr="00EA4382">
        <w:rPr>
          <w:rFonts w:ascii="Calibri" w:eastAsia="Times New Roman" w:hAnsi="Calibri" w:cs="Times New Roman"/>
          <w:i/>
          <w:iCs/>
          <w:sz w:val="24"/>
          <w:szCs w:val="20"/>
          <w:lang w:eastAsia="en-GB"/>
        </w:rPr>
        <w:t>Please provide any additional information required.</w:t>
      </w:r>
    </w:p>
    <w:p w:rsidR="00F14055" w:rsidRPr="00F14055" w:rsidRDefault="00F14055" w:rsidP="00223C7E">
      <w:pPr>
        <w:rPr>
          <w:rFonts w:ascii="Calibri" w:hAnsi="Calibri" w:cs="Times New Roman"/>
          <w:i/>
          <w:iCs/>
          <w:sz w:val="24"/>
          <w:szCs w:val="20"/>
          <w:lang w:eastAsia="zh-CN"/>
        </w:rPr>
      </w:pPr>
      <w:r w:rsidRPr="00F14055">
        <w:rPr>
          <w:rFonts w:ascii="Calibri" w:hAnsi="Calibri" w:cs="Times New Roman"/>
          <w:sz w:val="24"/>
          <w:szCs w:val="20"/>
          <w:lang w:eastAsia="zh-CN"/>
        </w:rPr>
      </w:r>
    </w:p>
    <w:tbl>
      <w:tblPr>
        <w:tblStyle w:val="a3"/>
        <w:tblW w:type="auto" w:w="0"/>
        <w:tblLook w:firstColumn="1" w:firstRow="1" w:lastColumn="0" w:lastRow="0" w:noHBand="0" w:noVBand="1" w:val="04A0"/>
      </w:tblPr>
      <w:tblGrid>
        <w:gridCol w:w="2256"/>
        <w:gridCol w:w="2256"/>
        <w:gridCol w:w="2256"/>
        <w:gridCol w:w="2256"/>
      </w:tblGrid>
      <w:tr>
        <w:tc>
          <w:tcPr>
            <w:tcW w:type="dxa" w:w="2256"/>
          </w:tcPr>
          <w:p>
            <w:r>
              <w:rPr>
                <w:color w:val="FF0000"/>
              </w:rPr>
              <w:t>Period</w:t>
            </w:r>
          </w:p>
        </w:tc>
        <w:tc>
          <w:tcPr>
            <w:tcW w:type="dxa" w:w="2256"/>
          </w:tcPr>
          <w:p>
            <w:r>
              <w:rPr>
                <w:color w:val="FF0000"/>
              </w:rPr>
              <w:t xml:space="preserve">Jul-Sept 2017 </w:t>
            </w:r>
          </w:p>
        </w:tc>
        <w:tc>
          <w:tcPr>
            <w:tcW w:type="dxa" w:w="2256"/>
          </w:tcPr>
          <w:p>
            <w:r>
              <w:rPr>
                <w:color w:val="FF0000"/>
              </w:rPr>
              <w:t>Oct-Dec 2017</w:t>
            </w:r>
          </w:p>
        </w:tc>
        <w:tc>
          <w:tcPr>
            <w:tcW w:type="dxa" w:w="2256"/>
          </w:tcPr>
          <w:p>
            <w:r>
              <w:rPr>
                <w:color w:val="FF0000"/>
              </w:rPr>
              <w:t>Jan-Mar 2018</w:t>
            </w:r>
          </w:p>
        </w:tc>
      </w:tr>
      <w:tr>
        <w:tc>
          <w:tcPr>
            <w:tcW w:type="dxa" w:w="2256"/>
          </w:tcPr>
          <w:p>
            <w:r>
              <w:rPr>
                <w:color w:val="FF0000"/>
              </w:rPr>
              <w:t>Emotional Abuse</w:t>
            </w:r>
          </w:p>
        </w:tc>
        <w:tc>
          <w:tcPr>
            <w:tcW w:type="dxa" w:w="2256"/>
          </w:tcPr>
          <w:p>
            <w:r>
              <w:rPr>
                <w:color w:val="FF0000"/>
              </w:rPr>
              <w:t>59.0</w:t>
            </w:r>
          </w:p>
        </w:tc>
        <w:tc>
          <w:tcPr>
            <w:tcW w:type="dxa" w:w="2256"/>
          </w:tcPr>
          <w:p>
            <w:r>
              <w:rPr>
                <w:color w:val="FF0000"/>
              </w:rPr>
              <w:t>46.0</w:t>
            </w:r>
          </w:p>
        </w:tc>
        <w:tc>
          <w:tcPr>
            <w:tcW w:type="dxa" w:w="2256"/>
          </w:tcPr>
          <w:p>
            <w:r>
              <w:rPr>
                <w:color w:val="FF0000"/>
              </w:rPr>
              <w:t>51.0</w:t>
            </w:r>
          </w:p>
        </w:tc>
      </w:tr>
      <w:tr>
        <w:tc>
          <w:tcPr>
            <w:tcW w:type="dxa" w:w="2256"/>
          </w:tcPr>
          <w:p>
            <w:r>
              <w:rPr>
                <w:color w:val="FF0000"/>
              </w:rPr>
              <w:t>Parental Drug Misuse</w:t>
            </w:r>
          </w:p>
        </w:tc>
        <w:tc>
          <w:tcPr>
            <w:tcW w:type="dxa" w:w="2256"/>
          </w:tcPr>
          <w:p>
            <w:r>
              <w:rPr>
                <w:color w:val="FF0000"/>
              </w:rPr>
              <w:t>26.0</w:t>
            </w:r>
          </w:p>
        </w:tc>
        <w:tc>
          <w:tcPr>
            <w:tcW w:type="dxa" w:w="2256"/>
          </w:tcPr>
          <w:p>
            <w:r>
              <w:rPr>
                <w:color w:val="FF0000"/>
              </w:rPr>
              <w:t>24.0</w:t>
            </w:r>
          </w:p>
        </w:tc>
        <w:tc>
          <w:tcPr>
            <w:tcW w:type="dxa" w:w="2256"/>
          </w:tcPr>
          <w:p>
            <w:r>
              <w:rPr>
                <w:color w:val="FF0000"/>
              </w:rPr>
              <w:t>23.0</w:t>
            </w:r>
          </w:p>
        </w:tc>
      </w:tr>
      <w:tr>
        <w:tc>
          <w:tcPr>
            <w:tcW w:type="dxa" w:w="2256"/>
          </w:tcPr>
          <w:p>
            <w:r>
              <w:rPr>
                <w:color w:val="FF0000"/>
              </w:rPr>
              <w:t>Domestic Abuse</w:t>
            </w:r>
          </w:p>
        </w:tc>
        <w:tc>
          <w:tcPr>
            <w:tcW w:type="dxa" w:w="2256"/>
          </w:tcPr>
          <w:p>
            <w:r>
              <w:rPr>
                <w:color w:val="FF0000"/>
              </w:rPr>
              <w:t>20.0</w:t>
            </w:r>
          </w:p>
        </w:tc>
        <w:tc>
          <w:tcPr>
            <w:tcW w:type="dxa" w:w="2256"/>
          </w:tcPr>
          <w:p>
            <w:r>
              <w:rPr>
                <w:color w:val="FF0000"/>
              </w:rPr>
              <w:t>21.0</w:t>
            </w:r>
          </w:p>
        </w:tc>
        <w:tc>
          <w:tcPr>
            <w:tcW w:type="dxa" w:w="2256"/>
          </w:tcPr>
          <w:p>
            <w:r>
              <w:rPr>
                <w:color w:val="FF0000"/>
              </w:rPr>
              <w:t>26.0</w:t>
            </w:r>
          </w:p>
        </w:tc>
      </w:tr>
      <w:tr>
        <w:tc>
          <w:tcPr>
            <w:tcW w:type="dxa" w:w="2256"/>
          </w:tcPr>
          <w:p>
            <w:r>
              <w:rPr>
                <w:color w:val="FF0000"/>
              </w:rPr>
              <w:t>Non-engaging Family</w:t>
            </w:r>
          </w:p>
        </w:tc>
        <w:tc>
          <w:tcPr>
            <w:tcW w:type="dxa" w:w="2256"/>
          </w:tcPr>
          <w:p>
            <w:r>
              <w:rPr>
                <w:color w:val="FF0000"/>
              </w:rPr>
              <w:t>5.0</w:t>
            </w:r>
          </w:p>
        </w:tc>
        <w:tc>
          <w:tcPr>
            <w:tcW w:type="dxa" w:w="2256"/>
          </w:tcPr>
          <w:p>
            <w:r>
              <w:rPr>
                <w:color w:val="FF0000"/>
              </w:rPr>
              <w:t>5.0</w:t>
            </w:r>
          </w:p>
        </w:tc>
        <w:tc>
          <w:tcPr>
            <w:tcW w:type="dxa" w:w="2256"/>
          </w:tcPr>
          <w:p>
            <w:r>
              <w:rPr>
                <w:color w:val="FF0000"/>
              </w:rPr>
              <w:t>12.5</w:t>
            </w:r>
          </w:p>
        </w:tc>
      </w:tr>
      <w:tr>
        <w:tc>
          <w:tcPr>
            <w:tcW w:type="dxa" w:w="2256"/>
          </w:tcPr>
          <w:p>
            <w:r>
              <w:rPr>
                <w:color w:val="FF0000"/>
              </w:rPr>
              <w:t>Neglect</w:t>
            </w:r>
          </w:p>
        </w:tc>
        <w:tc>
          <w:tcPr>
            <w:tcW w:type="dxa" w:w="2256"/>
          </w:tcPr>
          <w:p>
            <w:r>
              <w:rPr>
                <w:color w:val="FF0000"/>
              </w:rPr>
              <w:t>20.0</w:t>
            </w:r>
          </w:p>
        </w:tc>
        <w:tc>
          <w:tcPr>
            <w:tcW w:type="dxa" w:w="2256"/>
          </w:tcPr>
          <w:p>
            <w:r>
              <w:rPr>
                <w:color w:val="FF0000"/>
              </w:rPr>
              <w:t>35.0</w:t>
            </w:r>
          </w:p>
        </w:tc>
        <w:tc>
          <w:tcPr>
            <w:tcW w:type="dxa" w:w="2256"/>
          </w:tcPr>
          <w:p>
            <w:r>
              <w:rPr>
                <w:color w:val="FF0000"/>
              </w:rPr>
              <w:t>22.0</w:t>
            </w:r>
          </w:p>
        </w:tc>
      </w:tr>
      <w:tr>
        <w:tc>
          <w:tcPr>
            <w:tcW w:type="dxa" w:w="2256"/>
          </w:tcPr>
          <w:p>
            <w:r>
              <w:rPr>
                <w:color w:val="FF0000"/>
              </w:rPr>
              <w:t>Parent mental health</w:t>
            </w:r>
          </w:p>
        </w:tc>
        <w:tc>
          <w:tcPr>
            <w:tcW w:type="dxa" w:w="2256"/>
          </w:tcPr>
          <w:p>
            <w:r>
              <w:rPr>
                <w:color w:val="FF0000"/>
              </w:rPr>
              <w:t>24.5</w:t>
            </w:r>
          </w:p>
        </w:tc>
        <w:tc>
          <w:tcPr>
            <w:tcW w:type="dxa" w:w="2256"/>
          </w:tcPr>
          <w:p>
            <w:r>
              <w:rPr>
                <w:color w:val="FF0000"/>
              </w:rPr>
              <w:t>23.0</w:t>
            </w:r>
          </w:p>
        </w:tc>
        <w:tc>
          <w:tcPr>
            <w:tcW w:type="dxa" w:w="2256"/>
          </w:tcPr>
          <w:p>
            <w:r>
              <w:rPr>
                <w:color w:val="FF0000"/>
              </w:rPr>
              <w:t>15.0</w:t>
            </w:r>
          </w:p>
        </w:tc>
      </w:tr>
      <w:tr>
        <w:tc>
          <w:tcPr>
            <w:tcW w:type="dxa" w:w="2256"/>
          </w:tcPr>
          <w:p>
            <w:r>
              <w:rPr>
                <w:color w:val="FF0000"/>
              </w:rPr>
              <w:t>Parental alcohol use</w:t>
            </w:r>
          </w:p>
        </w:tc>
        <w:tc>
          <w:tcPr>
            <w:tcW w:type="dxa" w:w="2256"/>
          </w:tcPr>
          <w:p>
            <w:r>
              <w:rPr>
                <w:color w:val="FF0000"/>
              </w:rPr>
              <w:t>10.0</w:t>
            </w:r>
          </w:p>
        </w:tc>
        <w:tc>
          <w:tcPr>
            <w:tcW w:type="dxa" w:w="2256"/>
          </w:tcPr>
          <w:p>
            <w:r>
              <w:rPr>
                <w:color w:val="FF0000"/>
              </w:rPr>
              <w:t>10.0</w:t>
            </w:r>
          </w:p>
        </w:tc>
        <w:tc>
          <w:tcPr>
            <w:tcW w:type="dxa" w:w="2256"/>
          </w:tcPr>
          <w:p>
            <w:r>
              <w:rPr>
                <w:color w:val="FF0000"/>
              </w:rPr>
              <w:t>9.0</w:t>
            </w:r>
          </w:p>
        </w:tc>
      </w:tr>
      <w:tr>
        <w:tc>
          <w:tcPr>
            <w:tcW w:type="dxa" w:w="2256"/>
          </w:tcPr>
          <w:p>
            <w:r>
              <w:rPr>
                <w:color w:val="FF0000"/>
              </w:rPr>
              <w:t>Sexual Abuse</w:t>
            </w:r>
          </w:p>
        </w:tc>
        <w:tc>
          <w:tcPr>
            <w:tcW w:type="dxa" w:w="2256"/>
          </w:tcPr>
          <w:p>
            <w:r>
              <w:rPr>
                <w:color w:val="FF0000"/>
              </w:rPr>
              <w:t>1.0</w:t>
            </w:r>
          </w:p>
        </w:tc>
        <w:tc>
          <w:tcPr>
            <w:tcW w:type="dxa" w:w="2256"/>
          </w:tcPr>
          <w:p>
            <w:r>
              <w:rPr>
                <w:color w:val="FF0000"/>
              </w:rPr>
              <w:t>7.0</w:t>
            </w:r>
          </w:p>
        </w:tc>
        <w:tc>
          <w:tcPr>
            <w:tcW w:type="dxa" w:w="2256"/>
          </w:tcPr>
          <w:p>
            <w:r>
              <w:rPr>
                <w:color w:val="FF0000"/>
              </w:rPr>
              <w:t>5.0</w:t>
            </w:r>
          </w:p>
        </w:tc>
      </w:tr>
      <w:tr>
        <w:tc>
          <w:tcPr>
            <w:tcW w:type="dxa" w:w="2256"/>
          </w:tcPr>
          <w:p>
            <w:r>
              <w:rPr>
                <w:color w:val="FF0000"/>
              </w:rPr>
              <w:t>Physical Abuse</w:t>
            </w:r>
          </w:p>
        </w:tc>
        <w:tc>
          <w:tcPr>
            <w:tcW w:type="dxa" w:w="2256"/>
          </w:tcPr>
          <w:p>
            <w:r>
              <w:rPr>
                <w:color w:val="FF0000"/>
              </w:rPr>
              <w:t>11.0</w:t>
            </w:r>
          </w:p>
        </w:tc>
        <w:tc>
          <w:tcPr>
            <w:tcW w:type="dxa" w:w="2256"/>
          </w:tcPr>
          <w:p>
            <w:r>
              <w:rPr>
                <w:color w:val="FF0000"/>
              </w:rPr>
              <w:t>21.0</w:t>
            </w:r>
          </w:p>
        </w:tc>
        <w:tc>
          <w:tcPr>
            <w:tcW w:type="dxa" w:w="2256"/>
          </w:tcPr>
          <w:p>
            <w:r>
              <w:rPr>
                <w:color w:val="FF0000"/>
              </w:rPr>
              <w:t>8.0</w:t>
            </w:r>
          </w:p>
        </w:tc>
      </w:tr>
      <w:tr>
        <w:tc>
          <w:tcPr>
            <w:tcW w:type="dxa" w:w="2256"/>
          </w:tcPr>
          <w:p>
            <w:r>
              <w:rPr>
                <w:color w:val="FF0000"/>
              </w:rPr>
              <w:t>Other concern</w:t>
            </w:r>
          </w:p>
        </w:tc>
        <w:tc>
          <w:tcPr>
            <w:tcW w:type="dxa" w:w="2256"/>
          </w:tcPr>
          <w:p>
            <w:r>
              <w:rPr>
                <w:color w:val="FF0000"/>
              </w:rPr>
              <w:t>1.0</w:t>
            </w:r>
          </w:p>
        </w:tc>
        <w:tc>
          <w:tcPr>
            <w:tcW w:type="dxa" w:w="2256"/>
          </w:tcPr>
          <w:p>
            <w:r>
              <w:rPr>
                <w:color w:val="FF0000"/>
              </w:rPr>
              <w:t>0.0</w:t>
            </w:r>
          </w:p>
        </w:tc>
        <w:tc>
          <w:tcPr>
            <w:tcW w:type="dxa" w:w="2256"/>
          </w:tcPr>
          <w:p>
            <w:r>
              <w:rPr>
                <w:color w:val="FF0000"/>
              </w:rPr>
              <w:t>0.0</w:t>
            </w:r>
          </w:p>
        </w:tc>
      </w:tr>
      <w:tr>
        <w:tc>
          <w:tcPr>
            <w:tcW w:type="dxa" w:w="2256"/>
          </w:tcPr>
          <w:p>
            <w:r>
              <w:rPr>
                <w:color w:val="FF0000"/>
              </w:rPr>
              <w:t>CSE</w:t>
            </w:r>
          </w:p>
        </w:tc>
        <w:tc>
          <w:tcPr>
            <w:tcW w:type="dxa" w:w="2256"/>
          </w:tcPr>
          <w:p>
            <w:r>
              <w:rPr>
                <w:color w:val="FF0000"/>
              </w:rPr>
              <w:t>0.0</w:t>
            </w:r>
          </w:p>
        </w:tc>
        <w:tc>
          <w:tcPr>
            <w:tcW w:type="dxa" w:w="2256"/>
          </w:tcPr>
          <w:p>
            <w:r>
              <w:rPr>
                <w:color w:val="FF0000"/>
              </w:rPr>
              <w:t>0.0</w:t>
            </w:r>
          </w:p>
        </w:tc>
        <w:tc>
          <w:tcPr>
            <w:tcW w:type="dxa" w:w="2256"/>
          </w:tcPr>
          <w:p>
            <w:r>
              <w:rPr>
                <w:color w:val="FF0000"/>
              </w:rPr>
              <w:t>0.0</w:t>
            </w:r>
          </w:p>
        </w:tc>
      </w:tr>
      <w:tr>
        <w:tc>
          <w:tcPr>
            <w:tcW w:type="dxa" w:w="2256"/>
          </w:tcPr>
          <w:p>
            <w:r>
              <w:rPr>
                <w:color w:val="FF0000"/>
              </w:rPr>
              <w:t>Forced Labour</w:t>
            </w:r>
          </w:p>
        </w:tc>
        <w:tc>
          <w:tcPr>
            <w:tcW w:type="dxa" w:w="2256"/>
          </w:tcPr>
          <w:p>
            <w:r>
              <w:rPr>
                <w:color w:val="FF0000"/>
              </w:rPr>
              <w:t>0.0</w:t>
            </w:r>
          </w:p>
        </w:tc>
        <w:tc>
          <w:tcPr>
            <w:tcW w:type="dxa" w:w="2256"/>
          </w:tcPr>
          <w:p>
            <w:r>
              <w:rPr>
                <w:color w:val="FF0000"/>
              </w:rPr>
              <w:t>0.0</w:t>
            </w:r>
          </w:p>
        </w:tc>
        <w:tc>
          <w:tcPr>
            <w:tcW w:type="dxa" w:w="2256"/>
          </w:tcPr>
          <w:p>
            <w:r>
              <w:rPr>
                <w:color w:val="FF0000"/>
              </w:rPr>
              <w:t>0.0</w:t>
            </w:r>
          </w:p>
        </w:tc>
      </w:tr>
      <w:tr>
        <w:tc>
          <w:tcPr>
            <w:tcW w:type="dxa" w:w="2256"/>
          </w:tcPr>
          <w:p>
            <w:r>
              <w:rPr>
                <w:color w:val="FF0000"/>
              </w:rPr>
              <w:t>Placing self at risk</w:t>
            </w:r>
          </w:p>
        </w:tc>
        <w:tc>
          <w:tcPr>
            <w:tcW w:type="dxa" w:w="2256"/>
          </w:tcPr>
          <w:p>
            <w:r>
              <w:rPr>
                <w:color w:val="FF0000"/>
              </w:rPr>
              <w:t>0.0</w:t>
            </w:r>
          </w:p>
        </w:tc>
        <w:tc>
          <w:tcPr>
            <w:tcW w:type="dxa" w:w="2256"/>
          </w:tcPr>
          <w:p>
            <w:r>
              <w:rPr>
                <w:color w:val="FF0000"/>
              </w:rPr>
              <w:t>0.0</w:t>
            </w:r>
          </w:p>
        </w:tc>
        <w:tc>
          <w:tcPr>
            <w:tcW w:type="dxa" w:w="2256"/>
          </w:tcPr>
          <w:p>
            <w:r>
              <w:rPr>
                <w:color w:val="FF0000"/>
              </w:rPr>
              <w:t>1.0</w:t>
            </w:r>
          </w:p>
        </w:tc>
      </w:tr>
      <w:tr>
        <w:tc>
          <w:tcPr>
            <w:tcW w:type="dxa" w:w="2256"/>
          </w:tcPr>
          <w:p>
            <w:r>
              <w:rPr>
                <w:color w:val="FF0000"/>
              </w:rPr>
              <w:t>Child Trafficking</w:t>
            </w:r>
          </w:p>
        </w:tc>
        <w:tc>
          <w:tcPr>
            <w:tcW w:type="dxa" w:w="2256"/>
          </w:tcPr>
          <w:p>
            <w:r>
              <w:rPr>
                <w:color w:val="FF0000"/>
              </w:rPr>
              <w:t>0.0</w:t>
            </w:r>
          </w:p>
        </w:tc>
        <w:tc>
          <w:tcPr>
            <w:tcW w:type="dxa" w:w="2256"/>
          </w:tcPr>
          <w:p>
            <w:r>
              <w:rPr>
                <w:color w:val="FF0000"/>
              </w:rPr>
              <w:t>0.0</w:t>
            </w:r>
          </w:p>
        </w:tc>
        <w:tc>
          <w:tcPr>
            <w:tcW w:type="dxa" w:w="2256"/>
          </w:tcPr>
          <w:p>
            <w:r>
              <w:rPr>
                <w:color w:val="FF0000"/>
              </w:rPr>
              <w:t>0.0</w:t>
            </w:r>
          </w:p>
        </w:tc>
      </w:tr>
    </w:tbl>
    <w:p w:rsidR="00997585" w:rsidRPr="00997585" w:rsidRDefault="00997585" w:rsidP="006E7DEF">
      <w:pPr>
        <w:spacing w:after="0" w:line="240" w:lineRule="auto"/>
        <w:jc w:val="both"/>
        <w:rPr>
          <w:rFonts w:ascii="Calibri" w:hAnsi="Calibri" w:cs="Times New Roman"/>
          <w:sz w:val="24"/>
          <w:szCs w:val="20"/>
          <w:lang w:eastAsia="zh-CN"/>
        </w:rPr>
      </w:pPr>
    </w:p>
    <w:p w:rsidR="006E7DEF" w:rsidRPr="0002330C" w:rsidRDefault="006E7DEF" w:rsidP="006E7DEF">
      <w:pPr>
        <w:spacing w:after="0" w:line="240" w:lineRule="auto"/>
        <w:jc w:val="both"/>
        <w:rPr>
          <w:rFonts w:ascii="Calibri" w:eastAsia="Times New Roman" w:hAnsi="Calibri" w:cs="Times New Roman"/>
          <w:sz w:val="24"/>
          <w:szCs w:val="20"/>
          <w:lang w:eastAsia="en-GB"/>
        </w:rPr>
      </w:pPr>
    </w:p>
    <w:tbl>
      <w:tblPr>
        <w:tblStyle w:val="a3"/>
        <w:tblW w:w="0" w:type="auto"/>
        <w:tblInd w:w="108" w:type="dxa"/>
        <w:tblLook w:val="04A0" w:firstRow="1" w:lastRow="0" w:firstColumn="1" w:lastColumn="0" w:noHBand="0" w:noVBand="1"/>
      </w:tblPr>
      <w:tblGrid>
        <w:gridCol w:w="8522"/>
      </w:tblGrid>
      <w:tr w:rsidR="00331C00" w:rsidRPr="0002330C" w:rsidTr="00465ABC">
        <w:tc>
          <w:tcPr>
            <w:tcW w:w="8522" w:type="dxa"/>
            <w:shd w:val="clear" w:color="auto" w:fill="C6D9F1" w:themeFill="text2" w:themeFillTint="33"/>
          </w:tcPr>
          <w:p w:rsidR="00A31C27" w:rsidRDefault="00A31C27" w:rsidP="00A31C27">
            <w:pPr>
              <w:ind w:left="743"/>
              <w:jc w:val="both"/>
              <w:rPr>
                <w:rFonts w:ascii="Calibri" w:eastAsia="Times New Roman" w:hAnsi="Calibri" w:cs="Times New Roman"/>
                <w:sz w:val="24"/>
                <w:szCs w:val="20"/>
                <w:lang w:eastAsia="en-GB"/>
              </w:rPr>
            </w:pPr>
          </w:p>
          <w:p w:rsidR="006E7DEF" w:rsidRPr="0002330C" w:rsidRDefault="00331C00" w:rsidP="00A31C27">
            <w:pPr>
              <w:numPr>
                <w:ilvl w:val="0"/>
                <w:numId w:val="33"/>
              </w:numPr>
              <w:ind w:left="743" w:hanging="709"/>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Can the CPC be assured that the decision making at CPCs about safety and protection of children is fully informed and multi-agency?  </w:t>
            </w:r>
          </w:p>
          <w:p w:rsidR="00331C00" w:rsidRPr="0002330C" w:rsidRDefault="00331C00" w:rsidP="00A31C27">
            <w:pPr>
              <w:ind w:left="743"/>
              <w:jc w:val="both"/>
              <w:rPr>
                <w:rFonts w:ascii="Calibri" w:eastAsia="Times New Roman" w:hAnsi="Calibri" w:cs="Times New Roman"/>
                <w:sz w:val="24"/>
                <w:szCs w:val="20"/>
                <w:lang w:eastAsia="en-GB"/>
              </w:rPr>
            </w:pPr>
          </w:p>
        </w:tc>
      </w:tr>
    </w:tbl>
    <w:p w:rsidR="001824BB" w:rsidRDefault="001824BB" w:rsidP="00651528">
      <w:pPr>
        <w:pStyle w:val="a4"/>
        <w:ind w:left="0"/>
        <w:rPr>
          <w:rFonts w:ascii="Calibri" w:eastAsia="Times New Roman" w:hAnsi="Calibri" w:cs="Times New Roman"/>
          <w:sz w:val="24"/>
          <w:szCs w:val="20"/>
          <w:lang w:eastAsia="en-GB"/>
        </w:rPr>
      </w:pPr>
    </w:p>
    <w:p w:rsidR="001824BB" w:rsidRDefault="001824BB" w:rsidP="001824BB">
      <w:pPr>
        <w:pStyle w:val="a4"/>
        <w:ind w:left="0"/>
        <w:rPr>
          <w:sz w:val="24"/>
          <w:szCs w:val="24"/>
        </w:rPr>
      </w:pPr>
    </w:p>
    <w:p w:rsidR="006E7DEF" w:rsidRPr="0002330C" w:rsidRDefault="006E7DEF" w:rsidP="00DF3733">
      <w:pPr>
        <w:pStyle w:val="a4"/>
        <w:ind w:left="0"/>
        <w:rPr>
          <w:rFonts w:ascii="Calibri" w:eastAsia="Times New Roman" w:hAnsi="Calibri" w:cs="Times New Roman"/>
          <w:sz w:val="24"/>
          <w:szCs w:val="24"/>
          <w:lang w:eastAsia="en-GB"/>
        </w:rPr>
      </w:pPr>
    </w:p>
    <w:tbl>
      <w:tblPr>
        <w:tblStyle w:val="a3"/>
        <w:tblW w:w="0" w:type="auto"/>
        <w:tblInd w:w="108" w:type="dxa"/>
        <w:tblLook w:val="04A0" w:firstRow="1" w:lastRow="0" w:firstColumn="1" w:lastColumn="0" w:noHBand="0" w:noVBand="1"/>
      </w:tblPr>
      <w:tblGrid>
        <w:gridCol w:w="9134"/>
      </w:tblGrid>
      <w:tr w:rsidR="00331C00" w:rsidRPr="0002330C" w:rsidTr="00465ABC">
        <w:tc>
          <w:tcPr>
            <w:tcW w:w="9134" w:type="dxa"/>
            <w:shd w:val="clear" w:color="auto" w:fill="C6D9F1" w:themeFill="text2" w:themeFillTint="33"/>
          </w:tcPr>
          <w:p w:rsidR="00A31C27" w:rsidRDefault="00A31C27" w:rsidP="00A31C27">
            <w:pPr>
              <w:ind w:left="743"/>
              <w:jc w:val="both"/>
              <w:rPr>
                <w:rFonts w:ascii="Calibri" w:eastAsia="Times New Roman" w:hAnsi="Calibri" w:cs="Times New Roman"/>
                <w:sz w:val="24"/>
                <w:szCs w:val="20"/>
                <w:lang w:eastAsia="en-GB"/>
              </w:rPr>
            </w:pPr>
          </w:p>
          <w:p w:rsidR="006E7DEF" w:rsidRPr="0002330C" w:rsidRDefault="00331C00" w:rsidP="00A31C27">
            <w:pPr>
              <w:numPr>
                <w:ilvl w:val="0"/>
                <w:numId w:val="33"/>
              </w:numPr>
              <w:ind w:left="743" w:hanging="709"/>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To what extent is Aberdeen City consistent with the national and comparator averages for re-registration?  Can the CPC be assured that deregistered children receive at least 3 months’ post registration multi-agency support?  </w:t>
            </w:r>
          </w:p>
          <w:p w:rsidR="00331C00" w:rsidRPr="0002330C" w:rsidRDefault="00331C00" w:rsidP="00A31C27">
            <w:pPr>
              <w:ind w:left="743"/>
              <w:jc w:val="both"/>
              <w:rPr>
                <w:rFonts w:ascii="Calibri" w:eastAsia="Times New Roman" w:hAnsi="Calibri" w:cs="Times New Roman"/>
                <w:sz w:val="24"/>
                <w:szCs w:val="24"/>
                <w:lang w:eastAsia="en-GB"/>
              </w:rPr>
            </w:pPr>
          </w:p>
        </w:tc>
      </w:tr>
    </w:tbl>
    <w:p w:rsidR="00CF600C" w:rsidRPr="00167075" w:rsidRDefault="00CF600C" w:rsidP="00CF600C">
      <w:pPr>
        <w:spacing w:after="0" w:line="240" w:lineRule="auto"/>
        <w:jc w:val="both"/>
        <w:rPr>
          <w:rFonts w:ascii="Calibri" w:eastAsia="Times New Roman" w:hAnsi="Calibri" w:cs="Times New Roman"/>
          <w:bCs/>
          <w:sz w:val="24"/>
          <w:szCs w:val="20"/>
          <w:lang w:eastAsia="en-GB"/>
        </w:rPr>
      </w:pPr>
    </w:p>
    <w:p w:rsidR="00CF600C" w:rsidRDefault="00EB5642" w:rsidP="00DF3733">
      <w:pPr>
        <w:pStyle w:val="a4"/>
        <w:ind w:left="0"/>
        <w:rPr>
          <w:color w:val="000000" w:themeColor="text1"/>
          <w:sz w:val="24"/>
          <w:szCs w:val="24"/>
        </w:rPr>
      </w:pPr>
      <w:r w:rsidRPr="00EB5642">
        <w:rPr>
          <w:color w:val="FF0000"/>
          <w:sz w:val="24"/>
          <w:szCs w:val="24"/>
          <w:lang w:eastAsia="zh-CN"/>
        </w:rPr>
        <w:t>The National average for reregistration is between 13 - 16%.</w:t>
        <w:br/>
        <w:t>This has been an area of fluctuation in the City over the period as seen in the table below.</w:t>
        <w:br/>
        <w:t>To look at the 17 children re-registered in the period Jan-Mar 2018 and to report back on progress at the next Ops Sub Committee meeting.</w:t>
      </w:r>
    </w:p>
    <w:p w:rsidR="00167075" w:rsidRPr="00D3450C" w:rsidRDefault="00167075" w:rsidP="00DF3733">
      <w:pPr>
        <w:pStyle w:val="a4"/>
        <w:ind w:left="0"/>
        <w:rPr>
          <w:color w:val="000000" w:themeColor="text1"/>
          <w:sz w:val="24"/>
          <w:szCs w:val="24"/>
        </w:rPr>
      </w:pPr>
    </w:p>
    <w:p w:rsidR="00EA4382" w:rsidRPr="0002330C" w:rsidRDefault="00EA4382" w:rsidP="00EA4382">
      <w:pPr>
        <w:spacing w:after="0" w:line="240" w:lineRule="auto"/>
        <w:rPr>
          <w:rFonts w:ascii="Calibri" w:eastAsia="Times New Roman" w:hAnsi="Calibri" w:cs="Times New Roman"/>
          <w:sz w:val="24"/>
          <w:szCs w:val="20"/>
          <w:lang w:eastAsia="en-GB"/>
        </w:rPr>
      </w:pPr>
      <w:r w:rsidRPr="00EA4382">
        <w:rPr>
          <w:rFonts w:ascii="Calibri" w:eastAsia="Times New Roman" w:hAnsi="Calibri" w:cs="Times New Roman"/>
          <w:i/>
          <w:iCs/>
          <w:sz w:val="24"/>
          <w:szCs w:val="20"/>
          <w:lang w:eastAsia="en-GB"/>
        </w:rPr>
        <w:t>Please provide any additional information required</w:t>
      </w:r>
      <w:r>
        <w:rPr>
          <w:rFonts w:ascii="Calibri" w:eastAsia="Times New Roman" w:hAnsi="Calibri" w:cs="Times New Roman"/>
          <w:sz w:val="24"/>
          <w:szCs w:val="20"/>
          <w:lang w:eastAsia="en-GB"/>
        </w:rPr>
        <w:t xml:space="preserve">. </w:t>
      </w:r>
    </w:p>
    <w:p w:rsidR="00730297" w:rsidRDefault="00730297" w:rsidP="00DF3733">
      <w:pPr>
        <w:pStyle w:val="a4"/>
        <w:ind w:left="0"/>
        <w:rPr>
          <w:sz w:val="24"/>
          <w:szCs w:val="24"/>
          <w:lang w:eastAsia="zh-CN"/>
        </w:rPr>
      </w:pPr>
    </w:p>
    <w:p w:rsidR="006E7DEF" w:rsidRPr="0002330C" w:rsidRDefault="00F14055" w:rsidP="00CF600C">
      <w:pPr>
        <w:spacing w:after="0" w:line="240" w:lineRule="auto"/>
        <w:jc w:val="both"/>
        <w:rPr>
          <w:sz w:val="24"/>
          <w:szCs w:val="24"/>
        </w:rPr>
      </w:pPr>
      <w:r w:rsidRPr="00F14055">
        <w:rPr>
          <w:sz w:val="24"/>
          <w:szCs w:val="24"/>
          <w:lang w:eastAsia="zh-CN"/>
        </w:rPr>
      </w:r>
    </w:p>
    <w:tbl>
      <w:tblPr>
        <w:tblStyle w:val="a3"/>
        <w:tblW w:type="auto" w:w="0"/>
        <w:tblLook w:firstColumn="1" w:firstRow="1" w:lastColumn="0" w:lastRow="0" w:noHBand="0" w:noVBand="1" w:val="04A0"/>
      </w:tblPr>
      <w:tblGrid>
        <w:gridCol w:w="1504"/>
        <w:gridCol w:w="1504"/>
        <w:gridCol w:w="1504"/>
        <w:gridCol w:w="1504"/>
        <w:gridCol w:w="1504"/>
        <w:gridCol w:w="1504"/>
      </w:tblGrid>
      <w:tr>
        <w:tc>
          <w:tcPr>
            <w:tcW w:type="dxa" w:w="1504"/>
          </w:tcPr>
          <w:p>
            <w:r>
              <w:rPr>
                <w:color w:val="FF0000"/>
              </w:rPr>
              <w:t>Period</w:t>
            </w:r>
          </w:p>
        </w:tc>
        <w:tc>
          <w:tcPr>
            <w:tcW w:type="dxa" w:w="1504"/>
          </w:tcPr>
          <w:p>
            <w:r>
              <w:rPr>
                <w:color w:val="FF0000"/>
              </w:rPr>
              <w:t>less than 1 month</w:t>
            </w:r>
          </w:p>
        </w:tc>
        <w:tc>
          <w:tcPr>
            <w:tcW w:type="dxa" w:w="1504"/>
          </w:tcPr>
          <w:p>
            <w:r>
              <w:rPr>
                <w:color w:val="FF0000"/>
              </w:rPr>
              <w:t>1-6 months</w:t>
            </w:r>
          </w:p>
        </w:tc>
        <w:tc>
          <w:tcPr>
            <w:tcW w:type="dxa" w:w="1504"/>
          </w:tcPr>
          <w:p>
            <w:r>
              <w:rPr>
                <w:color w:val="FF0000"/>
              </w:rPr>
              <w:t>7-12 months</w:t>
            </w:r>
          </w:p>
        </w:tc>
        <w:tc>
          <w:tcPr>
            <w:tcW w:type="dxa" w:w="1504"/>
          </w:tcPr>
          <w:p>
            <w:r>
              <w:rPr>
                <w:color w:val="FF0000"/>
              </w:rPr>
              <w:t>13-18 months</w:t>
            </w:r>
          </w:p>
        </w:tc>
        <w:tc>
          <w:tcPr>
            <w:tcW w:type="dxa" w:w="1504"/>
          </w:tcPr>
          <w:p>
            <w:r>
              <w:rPr>
                <w:color w:val="FF0000"/>
              </w:rPr>
              <w:t>more than 19 months</w:t>
            </w:r>
          </w:p>
        </w:tc>
      </w:tr>
      <w:tr>
        <w:tc>
          <w:tcPr>
            <w:tcW w:type="dxa" w:w="1504"/>
          </w:tcPr>
          <w:p>
            <w:r>
              <w:rPr>
                <w:color w:val="FF0000"/>
              </w:rPr>
              <w:t>Jan – Mar 2018</w:t>
            </w:r>
          </w:p>
        </w:tc>
        <w:tc>
          <w:tcPr>
            <w:tcW w:type="dxa" w:w="1504"/>
          </w:tcPr>
          <w:p>
            <w:r>
              <w:rPr>
                <w:color w:val="FF0000"/>
              </w:rPr>
              <w:t>8</w:t>
            </w:r>
          </w:p>
        </w:tc>
        <w:tc>
          <w:tcPr>
            <w:tcW w:type="dxa" w:w="1504"/>
          </w:tcPr>
          <w:p>
            <w:r>
              <w:rPr>
                <w:color w:val="FF0000"/>
              </w:rPr>
              <w:t>41</w:t>
            </w:r>
          </w:p>
        </w:tc>
        <w:tc>
          <w:tcPr>
            <w:tcW w:type="dxa" w:w="1504"/>
          </w:tcPr>
          <w:p>
            <w:r>
              <w:rPr>
                <w:color w:val="FF0000"/>
              </w:rPr>
              <w:t>12</w:t>
            </w:r>
          </w:p>
        </w:tc>
        <w:tc>
          <w:tcPr>
            <w:tcW w:type="dxa" w:w="1504"/>
          </w:tcPr>
          <w:p>
            <w:r>
              <w:rPr>
                <w:color w:val="FF0000"/>
              </w:rPr>
              <w:t>0</w:t>
            </w:r>
          </w:p>
        </w:tc>
        <w:tc>
          <w:tcPr>
            <w:tcW w:type="dxa" w:w="1504"/>
          </w:tcPr>
          <w:p>
            <w:r>
              <w:rPr>
                <w:color w:val="FF0000"/>
              </w:rPr>
              <w:t>0</w:t>
            </w:r>
          </w:p>
        </w:tc>
      </w:tr>
      <w:tr>
        <w:tc>
          <w:tcPr>
            <w:tcW w:type="dxa" w:w="1504"/>
          </w:tcPr>
          <w:p>
            <w:r>
              <w:rPr>
                <w:color w:val="FF0000"/>
              </w:rPr>
              <w:t>Oct – Dec 2017</w:t>
            </w:r>
          </w:p>
        </w:tc>
        <w:tc>
          <w:tcPr>
            <w:tcW w:type="dxa" w:w="1504"/>
          </w:tcPr>
          <w:p>
            <w:r>
              <w:rPr>
                <w:color w:val="FF0000"/>
              </w:rPr>
              <w:t>14</w:t>
            </w:r>
          </w:p>
        </w:tc>
        <w:tc>
          <w:tcPr>
            <w:tcW w:type="dxa" w:w="1504"/>
          </w:tcPr>
          <w:p>
            <w:r>
              <w:rPr>
                <w:color w:val="FF0000"/>
              </w:rPr>
              <w:t>54</w:t>
            </w:r>
          </w:p>
        </w:tc>
        <w:tc>
          <w:tcPr>
            <w:tcW w:type="dxa" w:w="1504"/>
          </w:tcPr>
          <w:p>
            <w:r>
              <w:rPr>
                <w:color w:val="FF0000"/>
              </w:rPr>
              <w:t>14</w:t>
            </w:r>
          </w:p>
        </w:tc>
        <w:tc>
          <w:tcPr>
            <w:tcW w:type="dxa" w:w="1504"/>
          </w:tcPr>
          <w:p>
            <w:r>
              <w:rPr>
                <w:color w:val="FF0000"/>
              </w:rPr>
              <w:t>0</w:t>
            </w:r>
          </w:p>
        </w:tc>
        <w:tc>
          <w:tcPr>
            <w:tcW w:type="dxa" w:w="1504"/>
          </w:tcPr>
          <w:p>
            <w:r>
              <w:rPr>
                <w:color w:val="FF0000"/>
              </w:rPr>
              <w:t>0</w:t>
            </w:r>
          </w:p>
        </w:tc>
      </w:tr>
      <w:tr>
        <w:tc>
          <w:tcPr>
            <w:tcW w:type="dxa" w:w="1504"/>
          </w:tcPr>
          <w:p>
            <w:r>
              <w:rPr>
                <w:color w:val="FF0000"/>
              </w:rPr>
              <w:t>Jul – Sept 2017</w:t>
            </w:r>
          </w:p>
        </w:tc>
        <w:tc>
          <w:tcPr>
            <w:tcW w:type="dxa" w:w="1504"/>
          </w:tcPr>
          <w:p>
            <w:r>
              <w:rPr>
                <w:color w:val="FF0000"/>
              </w:rPr>
              <w:t>11</w:t>
            </w:r>
          </w:p>
        </w:tc>
        <w:tc>
          <w:tcPr>
            <w:tcW w:type="dxa" w:w="1504"/>
          </w:tcPr>
          <w:p>
            <w:r>
              <w:rPr>
                <w:color w:val="FF0000"/>
              </w:rPr>
              <w:t>48</w:t>
            </w:r>
          </w:p>
        </w:tc>
        <w:tc>
          <w:tcPr>
            <w:tcW w:type="dxa" w:w="1504"/>
          </w:tcPr>
          <w:p>
            <w:r>
              <w:rPr>
                <w:color w:val="FF0000"/>
              </w:rPr>
              <w:t>11</w:t>
            </w:r>
          </w:p>
        </w:tc>
        <w:tc>
          <w:tcPr>
            <w:tcW w:type="dxa" w:w="1504"/>
          </w:tcPr>
          <w:p>
            <w:r>
              <w:rPr>
                <w:color w:val="FF0000"/>
              </w:rPr>
              <w:t>1</w:t>
            </w:r>
          </w:p>
        </w:tc>
        <w:tc>
          <w:tcPr>
            <w:tcW w:type="dxa" w:w="1504"/>
          </w:tcPr>
          <w:p>
            <w:r>
              <w:rPr>
                <w:color w:val="FF0000"/>
              </w:rPr>
              <w:t>1</w:t>
            </w:r>
          </w:p>
        </w:tc>
      </w:tr>
    </w:tbl>
    <w:p w:rsidR="00331C00" w:rsidRDefault="00331C00" w:rsidP="00CF600C">
      <w:pPr>
        <w:spacing w:after="0" w:line="240" w:lineRule="auto"/>
        <w:jc w:val="both"/>
        <w:rPr>
          <w:rFonts w:ascii="Calibri" w:eastAsia="Times New Roman" w:hAnsi="Calibri" w:cs="Times New Roman"/>
          <w:sz w:val="24"/>
          <w:szCs w:val="24"/>
          <w:lang w:eastAsia="en-GB"/>
        </w:rPr>
      </w:pPr>
    </w:p>
    <w:p w:rsidR="00A31C27" w:rsidRDefault="00A31C27" w:rsidP="00CF600C">
      <w:pPr>
        <w:spacing w:after="0" w:line="240" w:lineRule="auto"/>
        <w:jc w:val="both"/>
        <w:rPr>
          <w:rFonts w:ascii="Calibri" w:eastAsia="Times New Roman" w:hAnsi="Calibri" w:cs="Times New Roman"/>
          <w:sz w:val="24"/>
          <w:szCs w:val="24"/>
          <w:lang w:eastAsia="en-GB"/>
        </w:rPr>
      </w:pPr>
    </w:p>
    <w:p w:rsidR="00A31C27" w:rsidRPr="0002330C" w:rsidRDefault="00A31C27" w:rsidP="00CF600C">
      <w:pPr>
        <w:spacing w:after="0" w:line="240" w:lineRule="auto"/>
        <w:jc w:val="both"/>
        <w:rPr>
          <w:rFonts w:ascii="Calibri" w:eastAsia="Times New Roman" w:hAnsi="Calibri" w:cs="Times New Roman"/>
          <w:sz w:val="24"/>
          <w:szCs w:val="24"/>
          <w:lang w:eastAsia="en-GB"/>
        </w:rPr>
      </w:pPr>
    </w:p>
    <w:tbl>
      <w:tblPr>
        <w:tblStyle w:val="a3"/>
        <w:tblW w:w="0" w:type="auto"/>
        <w:tblInd w:w="108" w:type="dxa"/>
        <w:tblLook w:val="04A0" w:firstRow="1" w:lastRow="0" w:firstColumn="1" w:lastColumn="0" w:noHBand="0" w:noVBand="1"/>
      </w:tblPr>
      <w:tblGrid>
        <w:gridCol w:w="9120"/>
      </w:tblGrid>
      <w:tr w:rsidR="00331C00" w:rsidRPr="0002330C" w:rsidTr="00465ABC">
        <w:trPr>
          <w:trHeight w:val="1454"/>
        </w:trPr>
        <w:tc>
          <w:tcPr>
            <w:tcW w:w="9120"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331C00" w:rsidRPr="00A31C27" w:rsidRDefault="00331C00" w:rsidP="00A31C27">
            <w:pPr>
              <w:numPr>
                <w:ilvl w:val="0"/>
                <w:numId w:val="33"/>
              </w:numPr>
              <w:ind w:hanging="686"/>
              <w:jc w:val="both"/>
              <w:rPr>
                <w:rFonts w:ascii="Calibri" w:eastAsia="Times New Roman" w:hAnsi="Calibri" w:cs="Times New Roman"/>
                <w:sz w:val="24"/>
                <w:szCs w:val="20"/>
                <w:lang w:eastAsia="en-GB"/>
              </w:rPr>
            </w:pPr>
            <w:r w:rsidRPr="00A31C27">
              <w:rPr>
                <w:rFonts w:ascii="Calibri" w:eastAsia="Times New Roman" w:hAnsi="Calibri" w:cs="Times New Roman"/>
                <w:sz w:val="24"/>
                <w:szCs w:val="20"/>
                <w:lang w:eastAsia="en-GB"/>
              </w:rPr>
              <w:t xml:space="preserve">What is the number of children remaining on the CPR for more than 1 year and can the CPC be assured that it is necessary for any child to remain on the CPR for more than 1 year? </w:t>
            </w:r>
          </w:p>
          <w:p w:rsidR="00331C00" w:rsidRPr="0002330C" w:rsidRDefault="00331C00" w:rsidP="00B17268">
            <w:pPr>
              <w:contextualSpacing/>
              <w:jc w:val="both"/>
              <w:rPr>
                <w:rFonts w:ascii="Calibri" w:eastAsia="Times New Roman" w:hAnsi="Calibri" w:cs="Times New Roman"/>
                <w:sz w:val="24"/>
                <w:szCs w:val="24"/>
                <w:lang w:eastAsia="en-GB"/>
              </w:rPr>
            </w:pPr>
          </w:p>
        </w:tc>
      </w:tr>
    </w:tbl>
    <w:p w:rsidR="0047618E" w:rsidRDefault="0047618E" w:rsidP="00A37E0D">
      <w:pPr>
        <w:pStyle w:val="a4"/>
        <w:ind w:left="0"/>
        <w:rPr>
          <w:sz w:val="24"/>
          <w:szCs w:val="24"/>
        </w:rPr>
      </w:pPr>
    </w:p>
    <w:p w:rsidR="00EA4382" w:rsidRDefault="00EB5642" w:rsidP="00EA4382">
      <w:pPr>
        <w:pStyle w:val="a4"/>
        <w:ind w:left="0"/>
        <w:rPr>
          <w:color w:val="000000" w:themeColor="text1"/>
          <w:sz w:val="24"/>
          <w:szCs w:val="24"/>
        </w:rPr>
      </w:pPr>
      <w:r w:rsidRPr="00EB5642">
        <w:rPr>
          <w:color w:val="FF0000"/>
          <w:sz w:val="24"/>
          <w:szCs w:val="24"/>
          <w:lang w:eastAsia="zh-CN"/>
        </w:rPr>
        <w:t>After Oct – Dec 2017, there have been no children on the CPR in Aberdeen City for more than one year which would indicate that persistent significant harm is not tolerated and either the child’s home circumstances have improved or the child has been removed to safety within that timescale.</w:t>
      </w:r>
      <w:r w:rsidR="00EA4382" w:rsidRPr="00D3450C">
        <w:rPr>
          <w:color w:val="000000" w:themeColor="text1"/>
          <w:sz w:val="24"/>
          <w:szCs w:val="24"/>
        </w:rPr>
        <w:t xml:space="preserve"> </w:t>
      </w:r>
    </w:p>
    <w:p w:rsidR="00167075" w:rsidRPr="00D3450C" w:rsidRDefault="00167075" w:rsidP="00EA4382">
      <w:pPr>
        <w:pStyle w:val="a4"/>
        <w:ind w:left="0"/>
        <w:rPr>
          <w:color w:val="000000" w:themeColor="text1"/>
          <w:sz w:val="24"/>
          <w:szCs w:val="24"/>
        </w:rPr>
      </w:pPr>
    </w:p>
    <w:p w:rsidR="00EA4382" w:rsidRDefault="0047618E" w:rsidP="00EA4382">
      <w:pPr>
        <w:spacing w:after="0" w:line="240" w:lineRule="auto"/>
        <w:rPr>
          <w:rFonts w:ascii="Calibri" w:hAnsi="Calibri" w:cs="Times New Roman"/>
          <w:sz w:val="24"/>
          <w:szCs w:val="20"/>
          <w:lang w:eastAsia="zh-CN"/>
        </w:rPr>
      </w:pPr>
      <w:r>
        <w:rPr>
          <w:sz w:val="24"/>
          <w:szCs w:val="24"/>
        </w:rPr>
        <w:t xml:space="preserve"> </w:t>
      </w:r>
      <w:r w:rsidR="00EA4382" w:rsidRPr="00EA4382">
        <w:rPr>
          <w:rFonts w:ascii="Calibri" w:eastAsia="Times New Roman" w:hAnsi="Calibri" w:cs="Times New Roman"/>
          <w:i/>
          <w:iCs/>
          <w:sz w:val="24"/>
          <w:szCs w:val="20"/>
          <w:lang w:eastAsia="en-GB"/>
        </w:rPr>
        <w:t>Please provide any additional information required</w:t>
      </w:r>
      <w:r w:rsidR="00EA4382">
        <w:rPr>
          <w:rFonts w:ascii="Calibri" w:eastAsia="Times New Roman" w:hAnsi="Calibri" w:cs="Times New Roman"/>
          <w:sz w:val="24"/>
          <w:szCs w:val="20"/>
          <w:lang w:eastAsia="en-GB"/>
        </w:rPr>
        <w:t xml:space="preserve">. </w:t>
      </w:r>
    </w:p>
    <w:p w:rsidR="00F14055" w:rsidRPr="00F14055" w:rsidRDefault="00F14055" w:rsidP="00EA4382">
      <w:pPr>
        <w:spacing w:after="0" w:line="240" w:lineRule="auto"/>
        <w:rPr>
          <w:rFonts w:ascii="Calibri" w:hAnsi="Calibri" w:cs="Times New Roman"/>
          <w:sz w:val="24"/>
          <w:szCs w:val="20"/>
          <w:lang w:eastAsia="zh-CN"/>
        </w:rPr>
      </w:pPr>
    </w:p>
    <w:p w:rsidR="00331C00" w:rsidRPr="00EA4382" w:rsidRDefault="00F14055" w:rsidP="00EA4382">
      <w:pPr>
        <w:pStyle w:val="a4"/>
        <w:ind w:left="0"/>
        <w:rPr>
          <w:sz w:val="24"/>
          <w:szCs w:val="24"/>
        </w:rPr>
      </w:pPr>
      <w:r w:rsidRPr="00F14055">
        <w:rPr>
          <w:sz w:val="24"/>
          <w:szCs w:val="24"/>
          <w:lang w:eastAsia="zh-CN"/>
        </w:rPr>
      </w:r>
    </w:p>
    <w:tbl>
      <w:tblPr>
        <w:tblStyle w:val="a3"/>
        <w:tblW w:type="auto" w:w="0"/>
        <w:tblLook w:firstColumn="1" w:firstRow="1" w:lastColumn="0" w:lastRow="0" w:noHBand="0" w:noVBand="1" w:val="04A0"/>
      </w:tblPr>
      <w:tblGrid>
        <w:gridCol w:w="2256"/>
        <w:gridCol w:w="2256"/>
        <w:gridCol w:w="2256"/>
        <w:gridCol w:w="2256"/>
      </w:tblGrid>
      <w:tr>
        <w:tc>
          <w:tcPr>
            <w:tcW w:type="dxa" w:w="2256"/>
          </w:tcPr>
          <w:p>
            <w:r>
              <w:rPr>
                <w:color w:val="FF0000"/>
              </w:rPr>
              <w:t>Period</w:t>
            </w:r>
          </w:p>
        </w:tc>
        <w:tc>
          <w:tcPr>
            <w:tcW w:type="dxa" w:w="2256"/>
          </w:tcPr>
          <w:p>
            <w:r>
              <w:rPr>
                <w:color w:val="FF0000"/>
              </w:rPr>
              <w:t>Jul-Sept 2017</w:t>
            </w:r>
          </w:p>
        </w:tc>
        <w:tc>
          <w:tcPr>
            <w:tcW w:type="dxa" w:w="2256"/>
          </w:tcPr>
          <w:p>
            <w:r>
              <w:rPr>
                <w:color w:val="FF0000"/>
              </w:rPr>
              <w:t>Oct-Dec 2017</w:t>
            </w:r>
          </w:p>
        </w:tc>
        <w:tc>
          <w:tcPr>
            <w:tcW w:type="dxa" w:w="2256"/>
          </w:tcPr>
          <w:p>
            <w:r>
              <w:rPr>
                <w:color w:val="FF0000"/>
              </w:rPr>
              <w:t>Jan-Mar 2018</w:t>
            </w:r>
          </w:p>
        </w:tc>
      </w:tr>
      <w:tr>
        <w:tc>
          <w:tcPr>
            <w:tcW w:type="dxa" w:w="2256"/>
          </w:tcPr>
          <w:p>
            <w:r>
              <w:rPr>
                <w:color w:val="FF0000"/>
              </w:rPr>
              <w:t>Enquiries to the CP Register of Aberdeen City</w:t>
            </w:r>
          </w:p>
        </w:tc>
        <w:tc>
          <w:tcPr>
            <w:tcW w:type="dxa" w:w="2256"/>
          </w:tcPr>
          <w:p>
            <w:r>
              <w:rPr>
                <w:color w:val="FF0000"/>
              </w:rPr>
              <w:t>65</w:t>
            </w:r>
          </w:p>
        </w:tc>
        <w:tc>
          <w:tcPr>
            <w:tcW w:type="dxa" w:w="2256"/>
          </w:tcPr>
          <w:p>
            <w:r>
              <w:rPr>
                <w:color w:val="FF0000"/>
              </w:rPr>
              <w:t>44</w:t>
            </w:r>
          </w:p>
        </w:tc>
        <w:tc>
          <w:tcPr>
            <w:tcW w:type="dxa" w:w="2256"/>
          </w:tcPr>
          <w:p>
            <w:r>
              <w:rPr>
                <w:color w:val="FF0000"/>
              </w:rPr>
              <w:t>69</w:t>
            </w:r>
          </w:p>
        </w:tc>
      </w:tr>
      <w:tr>
        <w:tc>
          <w:tcPr>
            <w:tcW w:type="dxa" w:w="2256"/>
          </w:tcPr>
          <w:p>
            <w:r>
              <w:rPr>
                <w:color w:val="FF0000"/>
              </w:rPr>
              <w:t>previous registration history of Aberdeen City</w:t>
            </w:r>
          </w:p>
        </w:tc>
        <w:tc>
          <w:tcPr>
            <w:tcW w:type="dxa" w:w="2256"/>
          </w:tcPr>
          <w:p>
            <w:r>
              <w:rPr>
                <w:color w:val="FF0000"/>
              </w:rPr>
              <w:t>15</w:t>
            </w:r>
          </w:p>
        </w:tc>
        <w:tc>
          <w:tcPr>
            <w:tcW w:type="dxa" w:w="2256"/>
          </w:tcPr>
          <w:p>
            <w:r>
              <w:rPr>
                <w:color w:val="FF0000"/>
              </w:rPr>
              <w:t>10</w:t>
            </w:r>
          </w:p>
        </w:tc>
        <w:tc>
          <w:tcPr>
            <w:tcW w:type="dxa" w:w="2256"/>
          </w:tcPr>
          <w:p>
            <w:r>
              <w:rPr>
                <w:color w:val="FF0000"/>
              </w:rPr>
              <w:t>31</w:t>
            </w:r>
          </w:p>
        </w:tc>
      </w:tr>
      <w:tr>
        <w:tc>
          <w:tcPr>
            <w:tcW w:type="dxa" w:w="2256"/>
          </w:tcPr>
          <w:p>
            <w:r>
              <w:rPr>
                <w:color w:val="FF0000"/>
              </w:rPr>
              <w:t>currently on the CPR of Aberdeen City</w:t>
            </w:r>
          </w:p>
        </w:tc>
        <w:tc>
          <w:tcPr>
            <w:tcW w:type="dxa" w:w="2256"/>
          </w:tcPr>
          <w:p>
            <w:r>
              <w:rPr>
                <w:color w:val="FF0000"/>
              </w:rPr>
              <w:t>0</w:t>
            </w:r>
          </w:p>
        </w:tc>
        <w:tc>
          <w:tcPr>
            <w:tcW w:type="dxa" w:w="2256"/>
          </w:tcPr>
          <w:p>
            <w:r>
              <w:rPr>
                <w:color w:val="FF0000"/>
              </w:rPr>
              <w:t>0</w:t>
            </w:r>
          </w:p>
        </w:tc>
        <w:tc>
          <w:tcPr>
            <w:tcW w:type="dxa" w:w="2256"/>
          </w:tcPr>
          <w:p>
            <w:r>
              <w:rPr>
                <w:color w:val="FF0000"/>
              </w:rPr>
              <w:t>0</w:t>
            </w:r>
          </w:p>
        </w:tc>
      </w:tr>
      <w:tr>
        <w:tc>
          <w:tcPr>
            <w:tcW w:type="dxa" w:w="2256"/>
          </w:tcPr>
          <w:p>
            <w:r>
              <w:rPr>
                <w:color w:val="FF0000"/>
              </w:rPr>
              <w:t>Enquiries to the CP Register of Aberdeenshire</w:t>
            </w:r>
          </w:p>
        </w:tc>
        <w:tc>
          <w:tcPr>
            <w:tcW w:type="dxa" w:w="2256"/>
          </w:tcPr>
          <w:p>
            <w:r>
              <w:rPr>
                <w:color w:val="FF0000"/>
              </w:rPr>
              <w:t>155</w:t>
            </w:r>
          </w:p>
        </w:tc>
        <w:tc>
          <w:tcPr>
            <w:tcW w:type="dxa" w:w="2256"/>
          </w:tcPr>
          <w:p>
            <w:r>
              <w:rPr>
                <w:color w:val="FF0000"/>
              </w:rPr>
              <w:t>137</w:t>
            </w:r>
          </w:p>
        </w:tc>
        <w:tc>
          <w:tcPr>
            <w:tcW w:type="dxa" w:w="2256"/>
          </w:tcPr>
          <w:p>
            <w:r>
              <w:rPr>
                <w:color w:val="FF0000"/>
              </w:rPr>
              <w:t>166</w:t>
            </w:r>
          </w:p>
        </w:tc>
      </w:tr>
      <w:tr>
        <w:tc>
          <w:tcPr>
            <w:tcW w:type="dxa" w:w="2256"/>
          </w:tcPr>
          <w:p>
            <w:r>
              <w:rPr>
                <w:color w:val="FF0000"/>
              </w:rPr>
              <w:t>previous registration history of Aberdeenshire</w:t>
            </w:r>
          </w:p>
        </w:tc>
        <w:tc>
          <w:tcPr>
            <w:tcW w:type="dxa" w:w="2256"/>
          </w:tcPr>
          <w:p>
            <w:r>
              <w:rPr>
                <w:color w:val="FF0000"/>
              </w:rPr>
              <w:t>14</w:t>
            </w:r>
          </w:p>
        </w:tc>
        <w:tc>
          <w:tcPr>
            <w:tcW w:type="dxa" w:w="2256"/>
          </w:tcPr>
          <w:p>
            <w:r>
              <w:rPr>
                <w:color w:val="FF0000"/>
              </w:rPr>
              <w:t>4</w:t>
            </w:r>
          </w:p>
        </w:tc>
        <w:tc>
          <w:tcPr>
            <w:tcW w:type="dxa" w:w="2256"/>
          </w:tcPr>
          <w:p>
            <w:r>
              <w:rPr>
                <w:color w:val="FF0000"/>
              </w:rPr>
              <w:t>20</w:t>
            </w:r>
          </w:p>
        </w:tc>
      </w:tr>
      <w:tr>
        <w:tc>
          <w:tcPr>
            <w:tcW w:type="dxa" w:w="2256"/>
          </w:tcPr>
          <w:p>
            <w:r>
              <w:rPr>
                <w:color w:val="FF0000"/>
              </w:rPr>
              <w:t>currently on the CPR of Aberdeenshire</w:t>
            </w:r>
          </w:p>
        </w:tc>
        <w:tc>
          <w:tcPr>
            <w:tcW w:type="dxa" w:w="2256"/>
          </w:tcPr>
          <w:p>
            <w:r>
              <w:rPr>
                <w:color w:val="FF0000"/>
              </w:rPr>
              <w:t>2</w:t>
            </w:r>
          </w:p>
        </w:tc>
        <w:tc>
          <w:tcPr>
            <w:tcW w:type="dxa" w:w="2256"/>
          </w:tcPr>
          <w:p>
            <w:r>
              <w:rPr>
                <w:color w:val="FF0000"/>
              </w:rPr>
              <w:t>1</w:t>
            </w:r>
          </w:p>
        </w:tc>
        <w:tc>
          <w:tcPr>
            <w:tcW w:type="dxa" w:w="2256"/>
          </w:tcPr>
          <w:p>
            <w:r>
              <w:rPr>
                <w:color w:val="FF0000"/>
              </w:rPr>
              <w:t>3</w:t>
            </w:r>
          </w:p>
        </w:tc>
      </w:tr>
      <w:tr>
        <w:tc>
          <w:tcPr>
            <w:tcW w:type="dxa" w:w="2256"/>
          </w:tcPr>
          <w:p>
            <w:r>
              <w:rPr>
                <w:color w:val="FF0000"/>
              </w:rPr>
              <w:t>Enquiries to the CP Register of Moray</w:t>
            </w:r>
          </w:p>
        </w:tc>
        <w:tc>
          <w:tcPr>
            <w:tcW w:type="dxa" w:w="2256"/>
          </w:tcPr>
          <w:p>
            <w:r>
              <w:rPr>
                <w:color w:val="FF0000"/>
              </w:rPr>
              <w:t>15</w:t>
            </w:r>
          </w:p>
        </w:tc>
        <w:tc>
          <w:tcPr>
            <w:tcW w:type="dxa" w:w="2256"/>
          </w:tcPr>
          <w:p>
            <w:r>
              <w:rPr>
                <w:color w:val="FF0000"/>
              </w:rPr>
              <w:t>4</w:t>
            </w:r>
          </w:p>
        </w:tc>
        <w:tc>
          <w:tcPr>
            <w:tcW w:type="dxa" w:w="2256"/>
          </w:tcPr>
          <w:p>
            <w:r>
              <w:rPr>
                <w:color w:val="FF0000"/>
              </w:rPr>
              <w:t>29</w:t>
            </w:r>
          </w:p>
        </w:tc>
      </w:tr>
      <w:tr>
        <w:tc>
          <w:tcPr>
            <w:tcW w:type="dxa" w:w="2256"/>
          </w:tcPr>
          <w:p>
            <w:r>
              <w:rPr>
                <w:color w:val="FF0000"/>
              </w:rPr>
              <w:t>previous registration history of Moray</w:t>
            </w:r>
          </w:p>
        </w:tc>
        <w:tc>
          <w:tcPr>
            <w:tcW w:type="dxa" w:w="2256"/>
          </w:tcPr>
          <w:p>
            <w:r>
              <w:rPr>
                <w:color w:val="FF0000"/>
              </w:rPr>
              <w:t>4</w:t>
            </w:r>
          </w:p>
        </w:tc>
        <w:tc>
          <w:tcPr>
            <w:tcW w:type="dxa" w:w="2256"/>
          </w:tcPr>
          <w:p>
            <w:r>
              <w:rPr>
                <w:color w:val="FF0000"/>
              </w:rPr>
              <w:t>3</w:t>
            </w:r>
          </w:p>
        </w:tc>
        <w:tc>
          <w:tcPr>
            <w:tcW w:type="dxa" w:w="2256"/>
          </w:tcPr>
          <w:p>
            <w:r>
              <w:rPr>
                <w:color w:val="FF0000"/>
              </w:rPr>
              <w:t>5</w:t>
            </w:r>
          </w:p>
        </w:tc>
      </w:tr>
      <w:tr>
        <w:tc>
          <w:tcPr>
            <w:tcW w:type="dxa" w:w="2256"/>
          </w:tcPr>
          <w:p>
            <w:r>
              <w:rPr>
                <w:color w:val="FF0000"/>
              </w:rPr>
              <w:t>currently on the CPR of Moray</w:t>
            </w:r>
          </w:p>
        </w:tc>
        <w:tc>
          <w:tcPr>
            <w:tcW w:type="dxa" w:w="2256"/>
          </w:tcPr>
          <w:p>
            <w:r>
              <w:rPr>
                <w:color w:val="FF0000"/>
              </w:rPr>
              <w:t>0</w:t>
            </w:r>
          </w:p>
        </w:tc>
        <w:tc>
          <w:tcPr>
            <w:tcW w:type="dxa" w:w="2256"/>
          </w:tcPr>
          <w:p>
            <w:r>
              <w:rPr>
                <w:color w:val="FF0000"/>
              </w:rPr>
              <w:t>0</w:t>
            </w:r>
          </w:p>
        </w:tc>
        <w:tc>
          <w:tcPr>
            <w:tcW w:type="dxa" w:w="2256"/>
          </w:tcPr>
          <w:p>
            <w:r>
              <w:rPr>
                <w:color w:val="FF0000"/>
              </w:rPr>
              <w:t>1</w:t>
            </w:r>
          </w:p>
        </w:tc>
      </w:tr>
    </w:tbl>
    <w:p w:rsidR="006E7DEF" w:rsidRPr="0002330C" w:rsidRDefault="006E7DEF" w:rsidP="00CF600C">
      <w:pPr>
        <w:spacing w:after="0" w:line="240" w:lineRule="auto"/>
        <w:jc w:val="both"/>
        <w:rPr>
          <w:sz w:val="24"/>
          <w:szCs w:val="24"/>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6E7DEF" w:rsidRPr="0002330C" w:rsidRDefault="00331C00" w:rsidP="00A31C27">
            <w:pPr>
              <w:numPr>
                <w:ilvl w:val="0"/>
                <w:numId w:val="33"/>
              </w:numPr>
              <w:ind w:hanging="720"/>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To what extent do agencies make use of the CPR?  If they </w:t>
            </w:r>
            <w:r w:rsidR="00A2352A">
              <w:rPr>
                <w:rFonts w:ascii="Calibri" w:eastAsia="Times New Roman" w:hAnsi="Calibri" w:cs="Times New Roman"/>
                <w:sz w:val="24"/>
                <w:szCs w:val="20"/>
                <w:lang w:eastAsia="en-GB"/>
              </w:rPr>
              <w:t xml:space="preserve">are not utilising it, what are </w:t>
            </w:r>
            <w:r w:rsidRPr="0002330C">
              <w:rPr>
                <w:rFonts w:ascii="Calibri" w:eastAsia="Times New Roman" w:hAnsi="Calibri" w:cs="Times New Roman"/>
                <w:sz w:val="24"/>
                <w:szCs w:val="20"/>
                <w:lang w:eastAsia="en-GB"/>
              </w:rPr>
              <w:t>the reasons for that?</w:t>
            </w:r>
          </w:p>
          <w:p w:rsidR="00331C00" w:rsidRPr="0002330C" w:rsidRDefault="00331C00" w:rsidP="00A31C27">
            <w:pPr>
              <w:ind w:left="720"/>
              <w:jc w:val="both"/>
              <w:rPr>
                <w:rFonts w:ascii="Calibri" w:eastAsia="Times New Roman" w:hAnsi="Calibri" w:cs="Times New Roman"/>
                <w:sz w:val="24"/>
                <w:szCs w:val="24"/>
                <w:lang w:eastAsia="en-GB"/>
              </w:rPr>
            </w:pPr>
          </w:p>
        </w:tc>
      </w:tr>
    </w:tbl>
    <w:p w:rsidR="00CF600C" w:rsidRPr="0002330C" w:rsidRDefault="00CF600C" w:rsidP="00331C00">
      <w:pPr>
        <w:spacing w:after="0" w:line="240" w:lineRule="auto"/>
        <w:jc w:val="both"/>
        <w:rPr>
          <w:rFonts w:ascii="Calibri" w:eastAsia="Times New Roman" w:hAnsi="Calibri" w:cs="Times New Roman"/>
          <w:sz w:val="24"/>
          <w:szCs w:val="20"/>
          <w:lang w:eastAsia="en-GB"/>
        </w:rPr>
      </w:pPr>
    </w:p>
    <w:p w:rsidR="00167075" w:rsidRPr="00D3450C" w:rsidRDefault="00EB5642" w:rsidP="006E7DEF">
      <w:pPr>
        <w:spacing w:after="0" w:line="240" w:lineRule="auto"/>
        <w:rPr>
          <w:color w:val="000000" w:themeColor="text1"/>
          <w:sz w:val="24"/>
          <w:szCs w:val="24"/>
          <w:lang w:eastAsia="zh-CN"/>
        </w:rPr>
      </w:pPr>
      <w:r w:rsidRPr="00EB5642">
        <w:rPr>
          <w:color w:val="FF0000"/>
          <w:sz w:val="24"/>
          <w:szCs w:val="24"/>
          <w:lang w:eastAsia="zh-CN"/>
        </w:rPr>
        <w:t>In the periods Jul-Sept 2017, Oct-Dec 2017 and Jan-Mar 2018, there were 65, 44 and 69 enquiries respectively from Aberdeen City to the CPR.</w:t>
        <w:br/>
        <w:t>This includes web searches as well as direct queries to the CPR team.  Aberdeenshire practice of checks against the CPR would appear to be far better embedded. For the corresponding periods, Aberdeenshire enquiries numbered 155, 137 and 166 respectively.</w:t>
        <w:br/>
        <w:t>Moray has significantly less child protection activity although their enquiries are also particularly low (15, 4 and 29).</w:t>
        <w:br/>
      </w:r>
    </w:p>
    <w:p w:rsidR="00EA4382" w:rsidRDefault="00EA4382" w:rsidP="006E7DEF">
      <w:pPr>
        <w:spacing w:after="0" w:line="240" w:lineRule="auto"/>
        <w:rPr>
          <w:sz w:val="24"/>
          <w:szCs w:val="24"/>
        </w:rPr>
      </w:pPr>
    </w:p>
    <w:p w:rsidR="00EA4382" w:rsidRPr="0002330C" w:rsidRDefault="00EA4382" w:rsidP="00EA4382">
      <w:pPr>
        <w:spacing w:after="0" w:line="240" w:lineRule="auto"/>
        <w:rPr>
          <w:rFonts w:ascii="Calibri" w:eastAsia="Times New Roman" w:hAnsi="Calibri" w:cs="Times New Roman"/>
          <w:sz w:val="24"/>
          <w:szCs w:val="20"/>
          <w:lang w:eastAsia="en-GB"/>
        </w:rPr>
      </w:pPr>
      <w:r w:rsidRPr="00EA4382">
        <w:rPr>
          <w:rFonts w:ascii="Calibri" w:eastAsia="Times New Roman" w:hAnsi="Calibri" w:cs="Times New Roman"/>
          <w:i/>
          <w:iCs/>
          <w:sz w:val="24"/>
          <w:szCs w:val="20"/>
          <w:lang w:eastAsia="en-GB"/>
        </w:rPr>
        <w:t>Please provide any additional information required</w:t>
      </w:r>
      <w:r>
        <w:rPr>
          <w:rFonts w:ascii="Calibri" w:eastAsia="Times New Roman" w:hAnsi="Calibri" w:cs="Times New Roman"/>
          <w:sz w:val="24"/>
          <w:szCs w:val="20"/>
          <w:lang w:eastAsia="en-GB"/>
        </w:rPr>
        <w:t xml:space="preserve">. </w:t>
      </w:r>
    </w:p>
    <w:p w:rsidR="007E3E57" w:rsidRPr="00D3450C" w:rsidRDefault="007E3E57" w:rsidP="006E7DEF">
      <w:pPr>
        <w:spacing w:after="0" w:line="240" w:lineRule="auto"/>
        <w:rPr>
          <w:sz w:val="24"/>
          <w:szCs w:val="24"/>
        </w:rPr>
      </w:pPr>
    </w:p>
    <w:p w:rsidR="006E7DEF" w:rsidRPr="0002330C" w:rsidRDefault="006E7DEF" w:rsidP="006E7DEF">
      <w:pPr>
        <w:spacing w:after="0" w:line="240" w:lineRule="auto"/>
        <w:rPr>
          <w:sz w:val="24"/>
          <w:szCs w:val="24"/>
        </w:rPr>
      </w:pPr>
    </w:p>
    <w:tbl>
      <w:tblPr>
        <w:tblStyle w:val="a3"/>
        <w:tblW w:w="0" w:type="auto"/>
        <w:tblInd w:w="108" w:type="dxa"/>
        <w:tblLook w:val="04A0" w:firstRow="1" w:lastRow="0" w:firstColumn="1" w:lastColumn="0" w:noHBand="0" w:noVBand="1"/>
      </w:tblPr>
      <w:tblGrid>
        <w:gridCol w:w="9134"/>
      </w:tblGrid>
      <w:tr w:rsidR="00331C00"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331C00" w:rsidRPr="0002330C" w:rsidRDefault="00331C00" w:rsidP="00A31C27">
            <w:pPr>
              <w:numPr>
                <w:ilvl w:val="0"/>
                <w:numId w:val="33"/>
              </w:numPr>
              <w:ind w:hanging="720"/>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What is the nature of feedback from children and families in the CP process – does the CPC, or any single agency, need to implement adjustments as a result?</w:t>
            </w:r>
          </w:p>
          <w:p w:rsidR="00331C00" w:rsidRPr="0002330C" w:rsidRDefault="00331C00" w:rsidP="00A31C27">
            <w:pPr>
              <w:jc w:val="both"/>
              <w:rPr>
                <w:rFonts w:ascii="Calibri" w:eastAsia="Times New Roman" w:hAnsi="Calibri" w:cs="Times New Roman"/>
                <w:sz w:val="24"/>
                <w:szCs w:val="24"/>
                <w:lang w:eastAsia="en-GB"/>
              </w:rPr>
            </w:pPr>
          </w:p>
        </w:tc>
      </w:tr>
    </w:tbl>
    <w:p w:rsidR="003B69D7" w:rsidRPr="0002330C" w:rsidRDefault="003B69D7" w:rsidP="00DD5170">
      <w:pPr>
        <w:pStyle w:val="a4"/>
        <w:ind w:left="0"/>
        <w:rPr>
          <w:rFonts w:ascii="Calibri" w:hAnsi="Calibri" w:cs="Calibri"/>
          <w:color w:val="1F497D"/>
        </w:rPr>
      </w:pPr>
    </w:p>
    <w:p w:rsidR="003B69D7" w:rsidRPr="00A31C27" w:rsidRDefault="003B69D7" w:rsidP="00A31C27">
      <w:pPr>
        <w:rPr>
          <w:rFonts w:eastAsia="Times New Roman" w:cstheme="minorHAnsi"/>
          <w:sz w:val="24"/>
          <w:szCs w:val="24"/>
          <w:lang w:eastAsia="en-GB"/>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6E7DEF" w:rsidRPr="0002330C" w:rsidRDefault="00331C00" w:rsidP="00A31C27">
            <w:pPr>
              <w:numPr>
                <w:ilvl w:val="0"/>
                <w:numId w:val="33"/>
              </w:numPr>
              <w:ind w:hanging="720"/>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What percentage of staff have completed mandatory online training within 6 months of starting employment?  To what extent is other relevant training attende</w:t>
            </w:r>
            <w:r w:rsidR="006E7DEF" w:rsidRPr="0002330C">
              <w:rPr>
                <w:rFonts w:ascii="Calibri" w:eastAsia="Times New Roman" w:hAnsi="Calibri" w:cs="Times New Roman"/>
                <w:sz w:val="24"/>
                <w:szCs w:val="20"/>
                <w:lang w:eastAsia="en-GB"/>
              </w:rPr>
              <w:t>d by the multi-agency workforce</w:t>
            </w:r>
          </w:p>
          <w:p w:rsidR="00331C00" w:rsidRPr="0002330C" w:rsidRDefault="00331C00" w:rsidP="00A31C27">
            <w:pPr>
              <w:ind w:left="720"/>
              <w:jc w:val="both"/>
              <w:rPr>
                <w:rFonts w:ascii="Calibri" w:hAnsi="Calibri" w:cs="Calibri"/>
                <w:sz w:val="24"/>
                <w:szCs w:val="24"/>
              </w:rPr>
            </w:pPr>
          </w:p>
        </w:tc>
      </w:tr>
    </w:tbl>
    <w:p w:rsidR="0049455D" w:rsidRPr="0002330C" w:rsidRDefault="0049455D" w:rsidP="00331C00">
      <w:pPr>
        <w:spacing w:after="0" w:line="240" w:lineRule="auto"/>
        <w:jc w:val="both"/>
        <w:rPr>
          <w:rFonts w:ascii="Calibri" w:eastAsia="Times New Roman" w:hAnsi="Calibri" w:cs="Times New Roman"/>
          <w:sz w:val="24"/>
          <w:szCs w:val="20"/>
          <w:lang w:eastAsia="en-GB"/>
        </w:rPr>
      </w:pPr>
    </w:p>
    <w:p w:rsidR="00211BDE" w:rsidRDefault="00211BDE" w:rsidP="00307E85">
      <w:pPr>
        <w:pStyle w:val="a4"/>
        <w:ind w:left="0"/>
        <w:rPr>
          <w:sz w:val="24"/>
          <w:szCs w:val="24"/>
        </w:rPr>
      </w:pPr>
    </w:p>
    <w:p w:rsidR="00A31C27" w:rsidRPr="0002330C" w:rsidRDefault="00A31C27" w:rsidP="00307E85">
      <w:pPr>
        <w:pStyle w:val="a4"/>
        <w:ind w:left="0"/>
        <w:rPr>
          <w:sz w:val="24"/>
          <w:szCs w:val="24"/>
        </w:rPr>
      </w:pPr>
    </w:p>
    <w:tbl>
      <w:tblPr>
        <w:tblStyle w:val="a3"/>
        <w:tblW w:w="0" w:type="auto"/>
        <w:tblInd w:w="108" w:type="dxa"/>
        <w:tblLook w:val="04A0" w:firstRow="1" w:lastRow="0" w:firstColumn="1" w:lastColumn="0" w:noHBand="0" w:noVBand="1"/>
      </w:tblPr>
      <w:tblGrid>
        <w:gridCol w:w="9134"/>
      </w:tblGrid>
      <w:tr w:rsidR="00331C00" w:rsidRPr="0002330C" w:rsidTr="00465ABC">
        <w:tc>
          <w:tcPr>
            <w:tcW w:w="9134" w:type="dxa"/>
            <w:shd w:val="clear" w:color="auto" w:fill="C6D9F1" w:themeFill="text2" w:themeFillTint="33"/>
          </w:tcPr>
          <w:p w:rsidR="00A31C27" w:rsidRPr="00A31C27" w:rsidRDefault="00A31C27" w:rsidP="00A31C27">
            <w:pPr>
              <w:pStyle w:val="a4"/>
              <w:jc w:val="both"/>
              <w:rPr>
                <w:rFonts w:ascii="Calibri" w:eastAsia="Times New Roman" w:hAnsi="Calibri" w:cs="Times New Roman"/>
                <w:sz w:val="24"/>
                <w:szCs w:val="24"/>
                <w:lang w:eastAsia="en-GB"/>
              </w:rPr>
            </w:pPr>
          </w:p>
          <w:p w:rsidR="00211BDE" w:rsidRPr="0002330C" w:rsidRDefault="00331C00" w:rsidP="00A31C27">
            <w:pPr>
              <w:pStyle w:val="a4"/>
              <w:numPr>
                <w:ilvl w:val="0"/>
                <w:numId w:val="33"/>
              </w:numPr>
              <w:ind w:hanging="686"/>
              <w:jc w:val="both"/>
              <w:rPr>
                <w:rFonts w:ascii="Calibri" w:eastAsia="Times New Roman" w:hAnsi="Calibri" w:cs="Times New Roman"/>
                <w:sz w:val="24"/>
                <w:szCs w:val="24"/>
                <w:lang w:eastAsia="en-GB"/>
              </w:rPr>
            </w:pPr>
            <w:r w:rsidRPr="0002330C">
              <w:rPr>
                <w:rFonts w:ascii="Calibri" w:eastAsia="Times New Roman" w:hAnsi="Calibri" w:cs="Times New Roman"/>
                <w:sz w:val="24"/>
                <w:szCs w:val="20"/>
                <w:lang w:eastAsia="en-GB"/>
              </w:rPr>
              <w:t>CSE stats – what are these indicating from information from policy concern reports; grounds for referral and categories of registration?  The CPC requires particular assurance here</w:t>
            </w:r>
          </w:p>
          <w:p w:rsidR="00211BDE" w:rsidRPr="0002330C" w:rsidRDefault="00211BDE" w:rsidP="00A31C27">
            <w:pPr>
              <w:ind w:left="709"/>
              <w:jc w:val="both"/>
              <w:rPr>
                <w:rFonts w:ascii="Calibri" w:eastAsia="Times New Roman" w:hAnsi="Calibri" w:cs="Times New Roman"/>
                <w:sz w:val="24"/>
                <w:szCs w:val="24"/>
                <w:lang w:eastAsia="en-GB"/>
              </w:rPr>
            </w:pPr>
          </w:p>
        </w:tc>
      </w:tr>
    </w:tbl>
    <w:p w:rsidR="00E45617" w:rsidRPr="0002330C" w:rsidRDefault="00E45617" w:rsidP="00307E85">
      <w:pPr>
        <w:spacing w:after="0" w:line="240" w:lineRule="auto"/>
        <w:ind w:left="709"/>
        <w:jc w:val="both"/>
        <w:rPr>
          <w:rFonts w:ascii="Calibri" w:eastAsia="Times New Roman" w:hAnsi="Calibri" w:cs="Times New Roman"/>
          <w:sz w:val="24"/>
          <w:szCs w:val="20"/>
          <w:u w:val="single"/>
          <w:lang w:eastAsia="en-GB"/>
        </w:rPr>
      </w:pPr>
    </w:p>
    <w:p w:rsidR="00EE2D93" w:rsidRPr="00617E2D" w:rsidRDefault="00EE2D93" w:rsidP="00617E2D">
      <w:pPr>
        <w:spacing w:line="240" w:lineRule="auto"/>
        <w:rPr>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6E7DEF"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Are police concern reports consistent?  What is the explanation for their increase or decrease in numbers?</w:t>
            </w:r>
          </w:p>
          <w:p w:rsidR="00211BDE" w:rsidRPr="0002330C" w:rsidRDefault="00211BDE" w:rsidP="00A31C27">
            <w:pPr>
              <w:ind w:left="720"/>
              <w:jc w:val="both"/>
              <w:rPr>
                <w:rFonts w:ascii="Calibri" w:eastAsia="Times New Roman" w:hAnsi="Calibri" w:cs="Times New Roman"/>
                <w:sz w:val="24"/>
                <w:szCs w:val="24"/>
                <w:lang w:eastAsia="en-GB"/>
              </w:rPr>
            </w:pPr>
          </w:p>
        </w:tc>
      </w:tr>
    </w:tbl>
    <w:p w:rsidR="006F74C1" w:rsidRPr="0002330C" w:rsidRDefault="006F74C1" w:rsidP="00211BDE">
      <w:pPr>
        <w:spacing w:after="0" w:line="240" w:lineRule="auto"/>
        <w:jc w:val="both"/>
        <w:rPr>
          <w:rFonts w:ascii="Calibri" w:eastAsia="Times New Roman" w:hAnsi="Calibri" w:cs="Times New Roman"/>
          <w:sz w:val="24"/>
          <w:szCs w:val="20"/>
          <w:u w:val="single"/>
          <w:lang w:eastAsia="en-GB"/>
        </w:rPr>
      </w:pPr>
    </w:p>
    <w:p w:rsidR="00C70581" w:rsidRPr="0002330C" w:rsidRDefault="00C70581" w:rsidP="005528BB">
      <w:pPr>
        <w:spacing w:after="0" w:line="240" w:lineRule="auto"/>
        <w:contextualSpacing/>
        <w:jc w:val="both"/>
        <w:rPr>
          <w:sz w:val="24"/>
          <w:szCs w:val="24"/>
        </w:rPr>
      </w:pPr>
    </w:p>
    <w:p w:rsidR="00C70581" w:rsidRPr="0002330C" w:rsidRDefault="00C70581" w:rsidP="005528BB">
      <w:pPr>
        <w:spacing w:after="0" w:line="240" w:lineRule="auto"/>
        <w:contextualSpacing/>
        <w:jc w:val="both"/>
        <w:rPr>
          <w:sz w:val="24"/>
          <w:szCs w:val="24"/>
        </w:rPr>
      </w:pPr>
    </w:p>
    <w:p w:rsidR="00211BDE" w:rsidRPr="0002330C" w:rsidRDefault="00211BDE" w:rsidP="006F74C1">
      <w:pPr>
        <w:spacing w:after="0" w:line="240" w:lineRule="auto"/>
        <w:ind w:left="720" w:hanging="720"/>
        <w:contextualSpacing/>
        <w:jc w:val="both"/>
        <w:rPr>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211BDE"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What is the proportion of multi-agency meetings where child safety has been a trigger? </w:t>
            </w:r>
          </w:p>
          <w:p w:rsidR="00211BDE" w:rsidRPr="0002330C" w:rsidRDefault="00211BDE" w:rsidP="00A31C27">
            <w:pPr>
              <w:jc w:val="both"/>
              <w:rPr>
                <w:rFonts w:ascii="Calibri" w:eastAsia="Times New Roman" w:hAnsi="Calibri" w:cs="Times New Roman"/>
                <w:sz w:val="24"/>
                <w:szCs w:val="24"/>
                <w:lang w:eastAsia="en-GB"/>
              </w:rPr>
            </w:pPr>
          </w:p>
        </w:tc>
      </w:tr>
    </w:tbl>
    <w:p w:rsidR="00CF600C" w:rsidRPr="0002330C" w:rsidRDefault="00CF600C" w:rsidP="00CF600C">
      <w:pPr>
        <w:spacing w:after="0" w:line="240" w:lineRule="auto"/>
        <w:ind w:left="720"/>
        <w:jc w:val="both"/>
        <w:rPr>
          <w:rFonts w:ascii="Calibri" w:eastAsia="Times New Roman" w:hAnsi="Calibri" w:cs="Times New Roman"/>
          <w:b/>
          <w:sz w:val="24"/>
          <w:szCs w:val="20"/>
          <w:u w:val="single"/>
          <w:lang w:eastAsia="en-GB"/>
        </w:rPr>
      </w:pPr>
    </w:p>
    <w:p w:rsidR="00617E2D" w:rsidRPr="0002330C" w:rsidRDefault="00617E2D" w:rsidP="00DD5170">
      <w:pPr>
        <w:spacing w:after="0" w:line="240" w:lineRule="auto"/>
        <w:rPr>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211BDE"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Are we improving outcomes for young people to keep them safer in later years?</w:t>
            </w:r>
          </w:p>
          <w:p w:rsidR="00211BDE" w:rsidRPr="0002330C" w:rsidRDefault="00211BDE" w:rsidP="00465ABC">
            <w:pPr>
              <w:jc w:val="both"/>
              <w:rPr>
                <w:rFonts w:ascii="Calibri" w:eastAsia="Times New Roman" w:hAnsi="Calibri" w:cs="Times New Roman"/>
                <w:sz w:val="24"/>
                <w:szCs w:val="24"/>
                <w:lang w:eastAsia="en-GB"/>
              </w:rPr>
            </w:pPr>
          </w:p>
        </w:tc>
      </w:tr>
    </w:tbl>
    <w:p w:rsidR="00E1708A" w:rsidRPr="0002330C" w:rsidRDefault="00E1708A" w:rsidP="00E1708A">
      <w:pPr>
        <w:autoSpaceDE w:val="0"/>
        <w:autoSpaceDN w:val="0"/>
        <w:adjustRightInd w:val="0"/>
        <w:spacing w:after="0" w:line="240" w:lineRule="auto"/>
        <w:rPr>
          <w:rFonts w:ascii="Calibri" w:hAnsi="Calibri" w:cs="Calibri"/>
          <w:sz w:val="24"/>
          <w:szCs w:val="24"/>
        </w:rPr>
      </w:pPr>
    </w:p>
    <w:p w:rsidR="00465ABC" w:rsidRPr="00465ABC" w:rsidRDefault="00465ABC" w:rsidP="00465ABC">
      <w:pPr>
        <w:autoSpaceDE w:val="0"/>
        <w:autoSpaceDN w:val="0"/>
        <w:adjustRightInd w:val="0"/>
        <w:spacing w:after="0" w:line="240" w:lineRule="auto"/>
        <w:rPr>
          <w:rFonts w:ascii="Calibri" w:hAnsi="Calibri" w:cs="Calibri"/>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211BDE"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To ask the Operational Sub Committee to interrogate sources of referral – what do they tell us?</w:t>
            </w:r>
          </w:p>
          <w:p w:rsidR="00211BDE" w:rsidRPr="0002330C" w:rsidRDefault="00211BDE" w:rsidP="00B17268">
            <w:pPr>
              <w:contextualSpacing/>
              <w:jc w:val="both"/>
              <w:rPr>
                <w:rFonts w:ascii="Calibri" w:eastAsia="Times New Roman" w:hAnsi="Calibri" w:cs="Times New Roman"/>
                <w:sz w:val="24"/>
                <w:szCs w:val="24"/>
                <w:lang w:eastAsia="en-GB"/>
              </w:rPr>
            </w:pPr>
          </w:p>
        </w:tc>
      </w:tr>
    </w:tbl>
    <w:p w:rsidR="00DC324B" w:rsidRPr="0002330C" w:rsidRDefault="00DC324B" w:rsidP="00E1708A">
      <w:pPr>
        <w:autoSpaceDE w:val="0"/>
        <w:autoSpaceDN w:val="0"/>
        <w:adjustRightInd w:val="0"/>
        <w:spacing w:after="0" w:line="240" w:lineRule="auto"/>
        <w:rPr>
          <w:rFonts w:ascii="Calibri" w:hAnsi="Calibri" w:cs="Calibri"/>
        </w:rPr>
      </w:pPr>
    </w:p>
    <w:p w:rsidR="00262827" w:rsidRDefault="00262827" w:rsidP="009858DE">
      <w:pPr>
        <w:pStyle w:val="a9"/>
        <w:tabs>
          <w:tab w:val="left" w:pos="0"/>
        </w:tabs>
        <w:ind w:left="0" w:right="119" w:firstLine="0"/>
        <w:rPr>
          <w:spacing w:val="-1"/>
        </w:rPr>
      </w:pPr>
    </w:p>
    <w:p w:rsidR="00006017" w:rsidRPr="0017467D" w:rsidRDefault="00006017" w:rsidP="00DC324B">
      <w:pPr>
        <w:spacing w:after="0" w:line="240" w:lineRule="auto"/>
        <w:jc w:val="both"/>
        <w:rPr>
          <w:rFonts w:ascii="Calibri" w:eastAsia="Times New Roman" w:hAnsi="Calibri" w:cs="Times New Roman"/>
          <w:sz w:val="24"/>
          <w:szCs w:val="20"/>
          <w:lang w:eastAsia="en-GB"/>
        </w:rPr>
      </w:pPr>
    </w:p>
    <w:p w:rsidR="00710B65" w:rsidRDefault="00710B65" w:rsidP="00A31C27">
      <w:pPr>
        <w:pStyle w:val="a4"/>
        <w:numPr>
          <w:ilvl w:val="0"/>
          <w:numId w:val="14"/>
        </w:numPr>
        <w:spacing w:after="0" w:line="240" w:lineRule="auto"/>
        <w:ind w:hanging="720"/>
        <w:rPr>
          <w:rFonts w:ascii="Calibri" w:eastAsia="Times New Roman" w:hAnsi="Calibri" w:cs="Times New Roman"/>
          <w:b/>
          <w:sz w:val="24"/>
          <w:szCs w:val="20"/>
          <w:lang w:eastAsia="en-GB"/>
        </w:rPr>
      </w:pPr>
      <w:r>
        <w:rPr>
          <w:rFonts w:ascii="Calibri" w:eastAsia="Times New Roman" w:hAnsi="Calibri" w:cs="Times New Roman"/>
          <w:b/>
          <w:sz w:val="24"/>
          <w:szCs w:val="20"/>
          <w:lang w:eastAsia="en-GB"/>
        </w:rPr>
        <w:t>FINANCIAL IMPLICATIONS</w:t>
      </w:r>
    </w:p>
    <w:p w:rsidR="00211BDE" w:rsidRDefault="00211BDE" w:rsidP="00211BDE">
      <w:pPr>
        <w:spacing w:after="0" w:line="240" w:lineRule="auto"/>
        <w:rPr>
          <w:rFonts w:ascii="Calibri" w:eastAsia="Times New Roman" w:hAnsi="Calibri" w:cs="Times New Roman"/>
          <w:b/>
          <w:sz w:val="24"/>
          <w:szCs w:val="20"/>
          <w:lang w:eastAsia="en-GB"/>
        </w:rPr>
      </w:pPr>
    </w:p>
    <w:p w:rsidR="00C70581" w:rsidRPr="00211BDE" w:rsidRDefault="00C70581" w:rsidP="00211BDE">
      <w:pPr>
        <w:spacing w:after="0" w:line="240" w:lineRule="auto"/>
        <w:rPr>
          <w:rFonts w:ascii="Calibri" w:eastAsia="Times New Roman" w:hAnsi="Calibri" w:cs="Times New Roman"/>
          <w:sz w:val="24"/>
          <w:szCs w:val="20"/>
          <w:lang w:eastAsia="en-GB"/>
        </w:rPr>
      </w:pPr>
    </w:p>
    <w:p w:rsidR="0049455D" w:rsidRDefault="0049455D" w:rsidP="0049455D">
      <w:pPr>
        <w:pStyle w:val="a4"/>
        <w:spacing w:after="0" w:line="240" w:lineRule="auto"/>
        <w:ind w:left="0"/>
        <w:rPr>
          <w:rFonts w:ascii="Calibri" w:eastAsia="Times New Roman" w:hAnsi="Calibri" w:cs="Times New Roman"/>
          <w:b/>
          <w:sz w:val="24"/>
          <w:szCs w:val="20"/>
          <w:lang w:eastAsia="en-GB"/>
        </w:rPr>
      </w:pPr>
    </w:p>
    <w:p w:rsidR="00EA4382" w:rsidRPr="00465ABC" w:rsidRDefault="00E07F97" w:rsidP="00EA4382">
      <w:pPr>
        <w:pStyle w:val="a4"/>
        <w:numPr>
          <w:ilvl w:val="0"/>
          <w:numId w:val="14"/>
        </w:numPr>
        <w:spacing w:after="0" w:line="240" w:lineRule="auto"/>
        <w:ind w:left="0" w:firstLine="0"/>
        <w:rPr>
          <w:sz w:val="24"/>
          <w:szCs w:val="24"/>
        </w:rPr>
      </w:pPr>
      <w:r w:rsidRPr="00656C28">
        <w:rPr>
          <w:rFonts w:ascii="Calibri" w:eastAsia="Times New Roman" w:hAnsi="Calibri" w:cs="Times New Roman"/>
          <w:b/>
          <w:sz w:val="24"/>
          <w:szCs w:val="20"/>
          <w:lang w:eastAsia="en-GB"/>
        </w:rPr>
        <w:t xml:space="preserve">REPORT </w:t>
      </w:r>
      <w:proofErr w:type="gramStart"/>
      <w:r w:rsidRPr="00656C28">
        <w:rPr>
          <w:rFonts w:ascii="Calibri" w:eastAsia="Times New Roman" w:hAnsi="Calibri" w:cs="Times New Roman"/>
          <w:b/>
          <w:sz w:val="24"/>
          <w:szCs w:val="20"/>
          <w:lang w:eastAsia="en-GB"/>
        </w:rPr>
        <w:t>AUTHOR</w:t>
      </w:r>
      <w:r w:rsidR="00656C28" w:rsidRPr="00656C28">
        <w:rPr>
          <w:rFonts w:ascii="Calibri" w:eastAsia="Times New Roman" w:hAnsi="Calibri" w:cs="Times New Roman"/>
          <w:b/>
          <w:sz w:val="24"/>
          <w:szCs w:val="20"/>
          <w:lang w:eastAsia="en-GB"/>
        </w:rPr>
        <w:t xml:space="preserve"> :</w:t>
      </w:r>
      <w:proofErr w:type="gramEnd"/>
      <w:r w:rsidR="00656C28" w:rsidRPr="00656C28">
        <w:rPr>
          <w:rFonts w:ascii="Calibri" w:eastAsia="Times New Roman" w:hAnsi="Calibri" w:cs="Times New Roman"/>
          <w:b/>
          <w:sz w:val="24"/>
          <w:szCs w:val="20"/>
          <w:lang w:eastAsia="en-GB"/>
        </w:rPr>
        <w:t xml:space="preserve"> </w:t>
      </w:r>
      <w:r w:rsidR="00656C28">
        <w:rPr>
          <w:rFonts w:ascii="Calibri" w:eastAsia="Times New Roman" w:hAnsi="Calibri" w:cs="Times New Roman"/>
          <w:b/>
          <w:sz w:val="24"/>
          <w:szCs w:val="20"/>
          <w:lang w:eastAsia="en-GB"/>
        </w:rPr>
        <w:tab/>
      </w:r>
    </w:p>
    <w:p w:rsidR="006625D4" w:rsidRPr="00465ABC" w:rsidRDefault="007C02E7" w:rsidP="00656C28">
      <w:pPr>
        <w:pStyle w:val="ab"/>
        <w:ind w:left="720"/>
        <w:rPr>
          <w:sz w:val="24"/>
          <w:szCs w:val="24"/>
        </w:rPr>
      </w:pPr>
      <w:r w:rsidRPr="00465ABC">
        <w:rPr>
          <w:sz w:val="24"/>
          <w:szCs w:val="24"/>
        </w:rPr>
        <w:t xml:space="preserve"> </w:t>
      </w:r>
    </w:p>
    <w:sectPr w:rsidR="006625D4" w:rsidRPr="00465AB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4688" w:rsidRDefault="00944688">
      <w:pPr>
        <w:spacing w:after="0" w:line="240" w:lineRule="auto"/>
      </w:pPr>
      <w:r>
        <w:separator/>
      </w:r>
    </w:p>
  </w:endnote>
  <w:endnote w:type="continuationSeparator" w:id="0">
    <w:p w:rsidR="00944688" w:rsidRDefault="0094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519168"/>
      <w:docPartObj>
        <w:docPartGallery w:val="Page Numbers (Bottom of Page)"/>
        <w:docPartUnique/>
      </w:docPartObj>
    </w:sdtPr>
    <w:sdtEndPr>
      <w:rPr>
        <w:noProof/>
      </w:rPr>
    </w:sdtEndPr>
    <w:sdtContent>
      <w:p w:rsidR="0056106B" w:rsidRDefault="0056106B">
        <w:pPr>
          <w:pStyle w:val="ae"/>
          <w:jc w:val="center"/>
        </w:pPr>
        <w:r>
          <w:fldChar w:fldCharType="begin"/>
        </w:r>
        <w:r>
          <w:instrText xml:space="preserve"> PAGE   \* MERGEFORMAT </w:instrText>
        </w:r>
        <w:r>
          <w:fldChar w:fldCharType="separate"/>
        </w:r>
        <w:r w:rsidR="00EE2D93">
          <w:rPr>
            <w:noProof/>
          </w:rPr>
          <w:t>10</w:t>
        </w:r>
        <w:r>
          <w:rPr>
            <w:noProof/>
          </w:rPr>
          <w:fldChar w:fldCharType="end"/>
        </w:r>
      </w:p>
    </w:sdtContent>
  </w:sdt>
  <w:p w:rsidR="0056106B" w:rsidRDefault="0056106B">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4688" w:rsidRDefault="00944688">
      <w:pPr>
        <w:spacing w:after="0" w:line="240" w:lineRule="auto"/>
      </w:pPr>
      <w:r>
        <w:separator/>
      </w:r>
    </w:p>
  </w:footnote>
  <w:footnote w:type="continuationSeparator" w:id="0">
    <w:p w:rsidR="00944688" w:rsidRDefault="00944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633F"/>
    <w:multiLevelType w:val="hybridMultilevel"/>
    <w:tmpl w:val="EB6AF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C5798"/>
    <w:multiLevelType w:val="hybridMultilevel"/>
    <w:tmpl w:val="DEE22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D0972"/>
    <w:multiLevelType w:val="hybridMultilevel"/>
    <w:tmpl w:val="9F16AA0A"/>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E376BE"/>
    <w:multiLevelType w:val="hybridMultilevel"/>
    <w:tmpl w:val="733E8D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F3E3BDD"/>
    <w:multiLevelType w:val="hybridMultilevel"/>
    <w:tmpl w:val="6D0E4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8A2723"/>
    <w:multiLevelType w:val="hybridMultilevel"/>
    <w:tmpl w:val="DB4A46B2"/>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DB5404"/>
    <w:multiLevelType w:val="hybridMultilevel"/>
    <w:tmpl w:val="C5447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573BB"/>
    <w:multiLevelType w:val="multilevel"/>
    <w:tmpl w:val="0E368B76"/>
    <w:lvl w:ilvl="0">
      <w:start w:val="4"/>
      <w:numFmt w:val="decimal"/>
      <w:lvlText w:val="%1"/>
      <w:lvlJc w:val="left"/>
      <w:pPr>
        <w:ind w:left="820" w:hanging="720"/>
      </w:pPr>
      <w:rPr>
        <w:rFonts w:hint="default"/>
      </w:rPr>
    </w:lvl>
    <w:lvl w:ilvl="1">
      <w:start w:val="7"/>
      <w:numFmt w:val="decimal"/>
      <w:lvlText w:val="%1.%2"/>
      <w:lvlJc w:val="left"/>
      <w:pPr>
        <w:ind w:left="820" w:hanging="720"/>
      </w:pPr>
      <w:rPr>
        <w:rFonts w:ascii="Calibri" w:eastAsia="Calibri" w:hAnsi="Calibri" w:hint="default"/>
        <w:sz w:val="24"/>
        <w:szCs w:val="24"/>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3348" w:hanging="360"/>
      </w:pPr>
      <w:rPr>
        <w:rFonts w:hint="default"/>
      </w:rPr>
    </w:lvl>
    <w:lvl w:ilvl="4">
      <w:start w:val="1"/>
      <w:numFmt w:val="bullet"/>
      <w:lvlText w:val="•"/>
      <w:lvlJc w:val="left"/>
      <w:pPr>
        <w:ind w:left="4190" w:hanging="360"/>
      </w:pPr>
      <w:rPr>
        <w:rFonts w:hint="default"/>
      </w:rPr>
    </w:lvl>
    <w:lvl w:ilvl="5">
      <w:start w:val="1"/>
      <w:numFmt w:val="bullet"/>
      <w:lvlText w:val="•"/>
      <w:lvlJc w:val="left"/>
      <w:pPr>
        <w:ind w:left="5033" w:hanging="360"/>
      </w:pPr>
      <w:rPr>
        <w:rFonts w:hint="default"/>
      </w:rPr>
    </w:lvl>
    <w:lvl w:ilvl="6">
      <w:start w:val="1"/>
      <w:numFmt w:val="bullet"/>
      <w:lvlText w:val="•"/>
      <w:lvlJc w:val="left"/>
      <w:pPr>
        <w:ind w:left="5876" w:hanging="360"/>
      </w:pPr>
      <w:rPr>
        <w:rFonts w:hint="default"/>
      </w:rPr>
    </w:lvl>
    <w:lvl w:ilvl="7">
      <w:start w:val="1"/>
      <w:numFmt w:val="bullet"/>
      <w:lvlText w:val="•"/>
      <w:lvlJc w:val="left"/>
      <w:pPr>
        <w:ind w:left="6718" w:hanging="360"/>
      </w:pPr>
      <w:rPr>
        <w:rFonts w:hint="default"/>
      </w:rPr>
    </w:lvl>
    <w:lvl w:ilvl="8">
      <w:start w:val="1"/>
      <w:numFmt w:val="bullet"/>
      <w:lvlText w:val="•"/>
      <w:lvlJc w:val="left"/>
      <w:pPr>
        <w:ind w:left="7561" w:hanging="360"/>
      </w:pPr>
      <w:rPr>
        <w:rFonts w:hint="default"/>
      </w:rPr>
    </w:lvl>
  </w:abstractNum>
  <w:abstractNum w:abstractNumId="8" w15:restartNumberingAfterBreak="0">
    <w:nsid w:val="29514A18"/>
    <w:multiLevelType w:val="hybridMultilevel"/>
    <w:tmpl w:val="6490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20AB5"/>
    <w:multiLevelType w:val="hybridMultilevel"/>
    <w:tmpl w:val="B6C05578"/>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C3BE5"/>
    <w:multiLevelType w:val="hybridMultilevel"/>
    <w:tmpl w:val="F446A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C33DE3"/>
    <w:multiLevelType w:val="hybridMultilevel"/>
    <w:tmpl w:val="5B4ABE1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4B2537D"/>
    <w:multiLevelType w:val="hybridMultilevel"/>
    <w:tmpl w:val="55DE8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E349A6"/>
    <w:multiLevelType w:val="hybridMultilevel"/>
    <w:tmpl w:val="3E42F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7F402E"/>
    <w:multiLevelType w:val="hybridMultilevel"/>
    <w:tmpl w:val="768C343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EFD3FDD"/>
    <w:multiLevelType w:val="hybridMultilevel"/>
    <w:tmpl w:val="61020E38"/>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EB665B"/>
    <w:multiLevelType w:val="hybridMultilevel"/>
    <w:tmpl w:val="28A211C0"/>
    <w:lvl w:ilvl="0" w:tplc="688412CC">
      <w:start w:val="1"/>
      <w:numFmt w:val="decimal"/>
      <w:lvlText w:val="%1."/>
      <w:lvlJc w:val="left"/>
      <w:pPr>
        <w:ind w:left="720" w:hanging="360"/>
      </w:pPr>
      <w:rPr>
        <w:rFonts w:ascii="Arial" w:eastAsia="Times New Roman" w:hAnsi="Arial" w:cs="Arial"/>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B4E2C83"/>
    <w:multiLevelType w:val="hybridMultilevel"/>
    <w:tmpl w:val="6F7E9010"/>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754E61"/>
    <w:multiLevelType w:val="hybridMultilevel"/>
    <w:tmpl w:val="28ACD3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3813EDC"/>
    <w:multiLevelType w:val="hybridMultilevel"/>
    <w:tmpl w:val="4A062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2E75C4"/>
    <w:multiLevelType w:val="hybridMultilevel"/>
    <w:tmpl w:val="83C0E14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BBC0752"/>
    <w:multiLevelType w:val="hybridMultilevel"/>
    <w:tmpl w:val="8C401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086F8F"/>
    <w:multiLevelType w:val="hybridMultilevel"/>
    <w:tmpl w:val="208C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FB7E28"/>
    <w:multiLevelType w:val="hybridMultilevel"/>
    <w:tmpl w:val="2CA07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63592A"/>
    <w:multiLevelType w:val="hybridMultilevel"/>
    <w:tmpl w:val="01AEC79C"/>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4A0638"/>
    <w:multiLevelType w:val="hybridMultilevel"/>
    <w:tmpl w:val="831AE07A"/>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5A5A38"/>
    <w:multiLevelType w:val="hybridMultilevel"/>
    <w:tmpl w:val="E3E4279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67606F6"/>
    <w:multiLevelType w:val="hybridMultilevel"/>
    <w:tmpl w:val="A538C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736EEC"/>
    <w:multiLevelType w:val="hybridMultilevel"/>
    <w:tmpl w:val="2ED8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A77EFF"/>
    <w:multiLevelType w:val="hybridMultilevel"/>
    <w:tmpl w:val="B0C62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C507768"/>
    <w:multiLevelType w:val="multilevel"/>
    <w:tmpl w:val="99109320"/>
    <w:lvl w:ilvl="0">
      <w:start w:val="1"/>
      <w:numFmt w:val="decimal"/>
      <w:lvlText w:val="%1."/>
      <w:lvlJc w:val="left"/>
      <w:pPr>
        <w:ind w:left="820" w:hanging="720"/>
      </w:pPr>
      <w:rPr>
        <w:rFonts w:ascii="Calibri" w:eastAsia="Calibri" w:hAnsi="Calibri" w:hint="default"/>
        <w:b/>
        <w:bCs/>
        <w:w w:val="99"/>
        <w:sz w:val="24"/>
        <w:szCs w:val="24"/>
      </w:rPr>
    </w:lvl>
    <w:lvl w:ilvl="1">
      <w:start w:val="1"/>
      <w:numFmt w:val="decimal"/>
      <w:lvlText w:val="%1.%2"/>
      <w:lvlJc w:val="left"/>
      <w:pPr>
        <w:ind w:left="820" w:hanging="720"/>
      </w:pPr>
      <w:rPr>
        <w:rFonts w:ascii="Calibri" w:eastAsia="Calibri" w:hAnsi="Calibri" w:hint="default"/>
        <w:sz w:val="24"/>
        <w:szCs w:val="24"/>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3342" w:hanging="360"/>
      </w:pPr>
      <w:rPr>
        <w:rFonts w:hint="default"/>
      </w:rPr>
    </w:lvl>
    <w:lvl w:ilvl="4">
      <w:start w:val="1"/>
      <w:numFmt w:val="bullet"/>
      <w:lvlText w:val="•"/>
      <w:lvlJc w:val="left"/>
      <w:pPr>
        <w:ind w:left="4182" w:hanging="360"/>
      </w:pPr>
      <w:rPr>
        <w:rFonts w:hint="default"/>
      </w:rPr>
    </w:lvl>
    <w:lvl w:ilvl="5">
      <w:start w:val="1"/>
      <w:numFmt w:val="bullet"/>
      <w:lvlText w:val="•"/>
      <w:lvlJc w:val="left"/>
      <w:pPr>
        <w:ind w:left="5023" w:hanging="360"/>
      </w:pPr>
      <w:rPr>
        <w:rFonts w:hint="default"/>
      </w:rPr>
    </w:lvl>
    <w:lvl w:ilvl="6">
      <w:start w:val="1"/>
      <w:numFmt w:val="bullet"/>
      <w:lvlText w:val="•"/>
      <w:lvlJc w:val="left"/>
      <w:pPr>
        <w:ind w:left="5864"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45" w:hanging="360"/>
      </w:pPr>
      <w:rPr>
        <w:rFonts w:hint="default"/>
      </w:rPr>
    </w:lvl>
  </w:abstractNum>
  <w:abstractNum w:abstractNumId="31" w15:restartNumberingAfterBreak="0">
    <w:nsid w:val="6E3F3766"/>
    <w:multiLevelType w:val="hybridMultilevel"/>
    <w:tmpl w:val="1B7CEB2C"/>
    <w:lvl w:ilvl="0" w:tplc="C1AA348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835CE0"/>
    <w:multiLevelType w:val="hybridMultilevel"/>
    <w:tmpl w:val="5926602A"/>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E8053C"/>
    <w:multiLevelType w:val="hybridMultilevel"/>
    <w:tmpl w:val="3A16E7CC"/>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1049957">
    <w:abstractNumId w:val="6"/>
  </w:num>
  <w:num w:numId="2" w16cid:durableId="1711539555">
    <w:abstractNumId w:val="32"/>
  </w:num>
  <w:num w:numId="3" w16cid:durableId="1514563978">
    <w:abstractNumId w:val="18"/>
  </w:num>
  <w:num w:numId="4" w16cid:durableId="224268923">
    <w:abstractNumId w:val="13"/>
  </w:num>
  <w:num w:numId="5" w16cid:durableId="1270158244">
    <w:abstractNumId w:val="4"/>
  </w:num>
  <w:num w:numId="6" w16cid:durableId="602759547">
    <w:abstractNumId w:val="21"/>
  </w:num>
  <w:num w:numId="7" w16cid:durableId="312179509">
    <w:abstractNumId w:val="3"/>
  </w:num>
  <w:num w:numId="8" w16cid:durableId="1033648702">
    <w:abstractNumId w:val="27"/>
  </w:num>
  <w:num w:numId="9" w16cid:durableId="1230001292">
    <w:abstractNumId w:val="20"/>
  </w:num>
  <w:num w:numId="10" w16cid:durableId="1842118557">
    <w:abstractNumId w:val="14"/>
  </w:num>
  <w:num w:numId="11" w16cid:durableId="462697316">
    <w:abstractNumId w:val="26"/>
  </w:num>
  <w:num w:numId="12" w16cid:durableId="202208644">
    <w:abstractNumId w:val="7"/>
  </w:num>
  <w:num w:numId="13" w16cid:durableId="1104379851">
    <w:abstractNumId w:val="30"/>
  </w:num>
  <w:num w:numId="14" w16cid:durableId="1645426469">
    <w:abstractNumId w:val="0"/>
  </w:num>
  <w:num w:numId="15" w16cid:durableId="585380783">
    <w:abstractNumId w:val="28"/>
  </w:num>
  <w:num w:numId="16" w16cid:durableId="1116221570">
    <w:abstractNumId w:val="8"/>
  </w:num>
  <w:num w:numId="17" w16cid:durableId="244145124">
    <w:abstractNumId w:val="15"/>
  </w:num>
  <w:num w:numId="18" w16cid:durableId="1108234244">
    <w:abstractNumId w:val="9"/>
  </w:num>
  <w:num w:numId="19" w16cid:durableId="1537279931">
    <w:abstractNumId w:val="33"/>
  </w:num>
  <w:num w:numId="20" w16cid:durableId="1783650254">
    <w:abstractNumId w:val="2"/>
  </w:num>
  <w:num w:numId="21" w16cid:durableId="88895522">
    <w:abstractNumId w:val="25"/>
  </w:num>
  <w:num w:numId="22" w16cid:durableId="1001199896">
    <w:abstractNumId w:val="24"/>
  </w:num>
  <w:num w:numId="23" w16cid:durableId="1281689821">
    <w:abstractNumId w:val="5"/>
  </w:num>
  <w:num w:numId="24" w16cid:durableId="1668098378">
    <w:abstractNumId w:val="17"/>
  </w:num>
  <w:num w:numId="25" w16cid:durableId="1793864812">
    <w:abstractNumId w:val="16"/>
  </w:num>
  <w:num w:numId="26" w16cid:durableId="341246591">
    <w:abstractNumId w:val="11"/>
  </w:num>
  <w:num w:numId="27" w16cid:durableId="825704944">
    <w:abstractNumId w:val="29"/>
  </w:num>
  <w:num w:numId="28" w16cid:durableId="1062173961">
    <w:abstractNumId w:val="1"/>
  </w:num>
  <w:num w:numId="29" w16cid:durableId="1095513151">
    <w:abstractNumId w:val="22"/>
  </w:num>
  <w:num w:numId="30" w16cid:durableId="640119280">
    <w:abstractNumId w:val="12"/>
  </w:num>
  <w:num w:numId="31" w16cid:durableId="432484062">
    <w:abstractNumId w:val="10"/>
  </w:num>
  <w:num w:numId="32" w16cid:durableId="517551176">
    <w:abstractNumId w:val="23"/>
  </w:num>
  <w:num w:numId="33" w16cid:durableId="1916477236">
    <w:abstractNumId w:val="19"/>
  </w:num>
  <w:num w:numId="34" w16cid:durableId="1617056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E9B"/>
    <w:rsid w:val="00000EC1"/>
    <w:rsid w:val="00006017"/>
    <w:rsid w:val="0002330C"/>
    <w:rsid w:val="00031F79"/>
    <w:rsid w:val="00057F21"/>
    <w:rsid w:val="00092C2A"/>
    <w:rsid w:val="000E2EE3"/>
    <w:rsid w:val="000F0241"/>
    <w:rsid w:val="000F3103"/>
    <w:rsid w:val="000F49FB"/>
    <w:rsid w:val="000F7011"/>
    <w:rsid w:val="00110C1A"/>
    <w:rsid w:val="00116207"/>
    <w:rsid w:val="00130680"/>
    <w:rsid w:val="00133714"/>
    <w:rsid w:val="00151003"/>
    <w:rsid w:val="00167075"/>
    <w:rsid w:val="00171FFE"/>
    <w:rsid w:val="00172475"/>
    <w:rsid w:val="001743BC"/>
    <w:rsid w:val="0017467D"/>
    <w:rsid w:val="00174A1D"/>
    <w:rsid w:val="001824BB"/>
    <w:rsid w:val="00190CE0"/>
    <w:rsid w:val="001942D1"/>
    <w:rsid w:val="00195B55"/>
    <w:rsid w:val="001A4450"/>
    <w:rsid w:val="001D306E"/>
    <w:rsid w:val="001E148D"/>
    <w:rsid w:val="001E7E06"/>
    <w:rsid w:val="00206E48"/>
    <w:rsid w:val="0021198B"/>
    <w:rsid w:val="00211BDE"/>
    <w:rsid w:val="00212FBB"/>
    <w:rsid w:val="002139F1"/>
    <w:rsid w:val="00223C7E"/>
    <w:rsid w:val="00255732"/>
    <w:rsid w:val="00262827"/>
    <w:rsid w:val="002C7CB2"/>
    <w:rsid w:val="00303B1B"/>
    <w:rsid w:val="00304C5C"/>
    <w:rsid w:val="00307E85"/>
    <w:rsid w:val="00314576"/>
    <w:rsid w:val="003175A4"/>
    <w:rsid w:val="00331C00"/>
    <w:rsid w:val="003349BB"/>
    <w:rsid w:val="00335A53"/>
    <w:rsid w:val="00353559"/>
    <w:rsid w:val="00377111"/>
    <w:rsid w:val="00391E2C"/>
    <w:rsid w:val="003937AC"/>
    <w:rsid w:val="00393FE9"/>
    <w:rsid w:val="003A1A73"/>
    <w:rsid w:val="003B69D7"/>
    <w:rsid w:val="003B7B1F"/>
    <w:rsid w:val="003E509E"/>
    <w:rsid w:val="00404449"/>
    <w:rsid w:val="00416355"/>
    <w:rsid w:val="00435595"/>
    <w:rsid w:val="0045335E"/>
    <w:rsid w:val="00461ECF"/>
    <w:rsid w:val="0046204D"/>
    <w:rsid w:val="00465ABC"/>
    <w:rsid w:val="00474FAA"/>
    <w:rsid w:val="0047618E"/>
    <w:rsid w:val="004763F0"/>
    <w:rsid w:val="00481653"/>
    <w:rsid w:val="004833DA"/>
    <w:rsid w:val="0049455D"/>
    <w:rsid w:val="004C37B9"/>
    <w:rsid w:val="004D7C8F"/>
    <w:rsid w:val="004E6879"/>
    <w:rsid w:val="004F2DD4"/>
    <w:rsid w:val="004F5895"/>
    <w:rsid w:val="0050148E"/>
    <w:rsid w:val="00511283"/>
    <w:rsid w:val="00524D27"/>
    <w:rsid w:val="005301A0"/>
    <w:rsid w:val="00551A4E"/>
    <w:rsid w:val="00551A54"/>
    <w:rsid w:val="005528BB"/>
    <w:rsid w:val="0056106B"/>
    <w:rsid w:val="005A4926"/>
    <w:rsid w:val="005F0F2C"/>
    <w:rsid w:val="005F1DA9"/>
    <w:rsid w:val="00615775"/>
    <w:rsid w:val="0061707D"/>
    <w:rsid w:val="00617E2D"/>
    <w:rsid w:val="00620414"/>
    <w:rsid w:val="00622409"/>
    <w:rsid w:val="00630B08"/>
    <w:rsid w:val="0063171B"/>
    <w:rsid w:val="0064114B"/>
    <w:rsid w:val="00651528"/>
    <w:rsid w:val="00656C28"/>
    <w:rsid w:val="006625D4"/>
    <w:rsid w:val="006831D8"/>
    <w:rsid w:val="00694206"/>
    <w:rsid w:val="006D0057"/>
    <w:rsid w:val="006E7DEF"/>
    <w:rsid w:val="006F74C1"/>
    <w:rsid w:val="00710B65"/>
    <w:rsid w:val="0071112D"/>
    <w:rsid w:val="00722387"/>
    <w:rsid w:val="0072617C"/>
    <w:rsid w:val="00726302"/>
    <w:rsid w:val="00730297"/>
    <w:rsid w:val="00732907"/>
    <w:rsid w:val="0073499D"/>
    <w:rsid w:val="00747163"/>
    <w:rsid w:val="0075067E"/>
    <w:rsid w:val="007531E7"/>
    <w:rsid w:val="00756544"/>
    <w:rsid w:val="007578BA"/>
    <w:rsid w:val="00770335"/>
    <w:rsid w:val="007C02E7"/>
    <w:rsid w:val="007D7E4F"/>
    <w:rsid w:val="007E15FC"/>
    <w:rsid w:val="007E1648"/>
    <w:rsid w:val="007E18C6"/>
    <w:rsid w:val="007E1DE9"/>
    <w:rsid w:val="007E3E57"/>
    <w:rsid w:val="007E5926"/>
    <w:rsid w:val="00811CA9"/>
    <w:rsid w:val="00842910"/>
    <w:rsid w:val="00845D2B"/>
    <w:rsid w:val="00851D88"/>
    <w:rsid w:val="0085320D"/>
    <w:rsid w:val="00875314"/>
    <w:rsid w:val="00885AB0"/>
    <w:rsid w:val="00885BDF"/>
    <w:rsid w:val="008D4A60"/>
    <w:rsid w:val="009038E3"/>
    <w:rsid w:val="0091585D"/>
    <w:rsid w:val="0092046A"/>
    <w:rsid w:val="00930700"/>
    <w:rsid w:val="00944688"/>
    <w:rsid w:val="009858DE"/>
    <w:rsid w:val="00997585"/>
    <w:rsid w:val="009A2C8D"/>
    <w:rsid w:val="009A3CE4"/>
    <w:rsid w:val="009B426D"/>
    <w:rsid w:val="009B5448"/>
    <w:rsid w:val="009D3E70"/>
    <w:rsid w:val="009E5065"/>
    <w:rsid w:val="00A2352A"/>
    <w:rsid w:val="00A31C27"/>
    <w:rsid w:val="00A355FA"/>
    <w:rsid w:val="00A363DA"/>
    <w:rsid w:val="00A36ED4"/>
    <w:rsid w:val="00A37E0D"/>
    <w:rsid w:val="00A40731"/>
    <w:rsid w:val="00A55AE5"/>
    <w:rsid w:val="00A75316"/>
    <w:rsid w:val="00A9562A"/>
    <w:rsid w:val="00AA0580"/>
    <w:rsid w:val="00AC09BD"/>
    <w:rsid w:val="00AC3947"/>
    <w:rsid w:val="00AC3957"/>
    <w:rsid w:val="00AF0538"/>
    <w:rsid w:val="00B15276"/>
    <w:rsid w:val="00B17268"/>
    <w:rsid w:val="00B44E1A"/>
    <w:rsid w:val="00B64A7C"/>
    <w:rsid w:val="00B76BD8"/>
    <w:rsid w:val="00B86B4E"/>
    <w:rsid w:val="00B94B18"/>
    <w:rsid w:val="00BA12A7"/>
    <w:rsid w:val="00BC2C46"/>
    <w:rsid w:val="00BC6004"/>
    <w:rsid w:val="00BE56E2"/>
    <w:rsid w:val="00BE6A74"/>
    <w:rsid w:val="00C033B2"/>
    <w:rsid w:val="00C03BB2"/>
    <w:rsid w:val="00C24CA3"/>
    <w:rsid w:val="00C50445"/>
    <w:rsid w:val="00C601A5"/>
    <w:rsid w:val="00C70581"/>
    <w:rsid w:val="00C72EC6"/>
    <w:rsid w:val="00C74200"/>
    <w:rsid w:val="00C91296"/>
    <w:rsid w:val="00CA497E"/>
    <w:rsid w:val="00CA56A0"/>
    <w:rsid w:val="00CA687C"/>
    <w:rsid w:val="00CA751F"/>
    <w:rsid w:val="00CC4CFB"/>
    <w:rsid w:val="00CC5DC7"/>
    <w:rsid w:val="00CD1E7D"/>
    <w:rsid w:val="00CD4440"/>
    <w:rsid w:val="00CE1E1F"/>
    <w:rsid w:val="00CF507E"/>
    <w:rsid w:val="00CF600C"/>
    <w:rsid w:val="00CF65B1"/>
    <w:rsid w:val="00D01DFD"/>
    <w:rsid w:val="00D3450C"/>
    <w:rsid w:val="00DC1E9B"/>
    <w:rsid w:val="00DC23B9"/>
    <w:rsid w:val="00DC324B"/>
    <w:rsid w:val="00DC51A4"/>
    <w:rsid w:val="00DD2BC7"/>
    <w:rsid w:val="00DD5170"/>
    <w:rsid w:val="00DF3733"/>
    <w:rsid w:val="00E07F97"/>
    <w:rsid w:val="00E1708A"/>
    <w:rsid w:val="00E23131"/>
    <w:rsid w:val="00E25FFA"/>
    <w:rsid w:val="00E34882"/>
    <w:rsid w:val="00E418A6"/>
    <w:rsid w:val="00E42E20"/>
    <w:rsid w:val="00E45617"/>
    <w:rsid w:val="00E457F9"/>
    <w:rsid w:val="00E870BB"/>
    <w:rsid w:val="00EA03D6"/>
    <w:rsid w:val="00EA4382"/>
    <w:rsid w:val="00EA76BA"/>
    <w:rsid w:val="00EB5642"/>
    <w:rsid w:val="00EB6468"/>
    <w:rsid w:val="00EB77B1"/>
    <w:rsid w:val="00EC4B9A"/>
    <w:rsid w:val="00ED7240"/>
    <w:rsid w:val="00EE2D93"/>
    <w:rsid w:val="00F0444F"/>
    <w:rsid w:val="00F14055"/>
    <w:rsid w:val="00F1459A"/>
    <w:rsid w:val="00F1715D"/>
    <w:rsid w:val="00F22A88"/>
    <w:rsid w:val="00F2397D"/>
    <w:rsid w:val="00F24D03"/>
    <w:rsid w:val="00F537C7"/>
    <w:rsid w:val="00F61336"/>
    <w:rsid w:val="00F678AC"/>
    <w:rsid w:val="00F67BE9"/>
    <w:rsid w:val="00FD0179"/>
    <w:rsid w:val="00FD2A2F"/>
    <w:rsid w:val="00FE1D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F189A"/>
  <w15:docId w15:val="{D9AE345D-9106-4284-9853-592C3056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5D4"/>
  </w:style>
  <w:style w:type="paragraph" w:styleId="1">
    <w:name w:val="heading 1"/>
    <w:basedOn w:val="a"/>
    <w:link w:val="10"/>
    <w:uiPriority w:val="1"/>
    <w:qFormat/>
    <w:rsid w:val="00732907"/>
    <w:pPr>
      <w:widowControl w:val="0"/>
      <w:spacing w:after="0" w:line="240" w:lineRule="auto"/>
      <w:ind w:left="820" w:hanging="720"/>
      <w:outlineLvl w:val="0"/>
    </w:pPr>
    <w:rPr>
      <w:rFonts w:ascii="Calibri" w:eastAsia="Calibri" w:hAnsi="Calibri"/>
      <w:b/>
      <w:bCs/>
      <w:sz w:val="24"/>
      <w:szCs w:val="24"/>
      <w:lang w:val="en-US"/>
    </w:rPr>
  </w:style>
  <w:style w:type="paragraph" w:styleId="2">
    <w:name w:val="heading 2"/>
    <w:basedOn w:val="a"/>
    <w:link w:val="20"/>
    <w:uiPriority w:val="1"/>
    <w:qFormat/>
    <w:rsid w:val="00732907"/>
    <w:pPr>
      <w:widowControl w:val="0"/>
      <w:spacing w:after="0" w:line="240" w:lineRule="auto"/>
      <w:ind w:left="820" w:hanging="720"/>
      <w:outlineLvl w:val="1"/>
    </w:pPr>
    <w:rPr>
      <w:rFonts w:ascii="Calibri" w:eastAsia="Calibri" w:hAnsi="Calibri"/>
      <w:b/>
      <w:bCs/>
      <w:i/>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625D4"/>
    <w:pPr>
      <w:ind w:left="720"/>
      <w:contextualSpacing/>
    </w:pPr>
  </w:style>
  <w:style w:type="character" w:styleId="a5">
    <w:name w:val="Hyperlink"/>
    <w:basedOn w:val="a0"/>
    <w:uiPriority w:val="99"/>
    <w:semiHidden/>
    <w:unhideWhenUsed/>
    <w:rsid w:val="006625D4"/>
    <w:rPr>
      <w:color w:val="0000FF"/>
      <w:u w:val="single"/>
    </w:rPr>
  </w:style>
  <w:style w:type="paragraph" w:styleId="a6">
    <w:name w:val="Normal (Web)"/>
    <w:basedOn w:val="a"/>
    <w:uiPriority w:val="99"/>
    <w:unhideWhenUsed/>
    <w:rsid w:val="006625D4"/>
    <w:pPr>
      <w:spacing w:after="0" w:line="240" w:lineRule="auto"/>
    </w:pPr>
    <w:rPr>
      <w:rFonts w:ascii="Times New Roman" w:hAnsi="Times New Roman" w:cs="Times New Roman"/>
      <w:sz w:val="24"/>
      <w:szCs w:val="24"/>
      <w:lang w:eastAsia="en-GB"/>
    </w:rPr>
  </w:style>
  <w:style w:type="paragraph" w:styleId="a7">
    <w:name w:val="Balloon Text"/>
    <w:basedOn w:val="a"/>
    <w:link w:val="a8"/>
    <w:uiPriority w:val="99"/>
    <w:semiHidden/>
    <w:unhideWhenUsed/>
    <w:rsid w:val="006625D4"/>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6625D4"/>
    <w:rPr>
      <w:rFonts w:ascii="Tahoma" w:hAnsi="Tahoma" w:cs="Tahoma"/>
      <w:sz w:val="16"/>
      <w:szCs w:val="16"/>
    </w:rPr>
  </w:style>
  <w:style w:type="character" w:customStyle="1" w:styleId="10">
    <w:name w:val="标题 1 字符"/>
    <w:basedOn w:val="a0"/>
    <w:link w:val="1"/>
    <w:uiPriority w:val="1"/>
    <w:rsid w:val="00732907"/>
    <w:rPr>
      <w:rFonts w:ascii="Calibri" w:eastAsia="Calibri" w:hAnsi="Calibri"/>
      <w:b/>
      <w:bCs/>
      <w:sz w:val="24"/>
      <w:szCs w:val="24"/>
      <w:lang w:val="en-US"/>
    </w:rPr>
  </w:style>
  <w:style w:type="character" w:customStyle="1" w:styleId="20">
    <w:name w:val="标题 2 字符"/>
    <w:basedOn w:val="a0"/>
    <w:link w:val="2"/>
    <w:uiPriority w:val="1"/>
    <w:rsid w:val="00732907"/>
    <w:rPr>
      <w:rFonts w:ascii="Calibri" w:eastAsia="Calibri" w:hAnsi="Calibri"/>
      <w:b/>
      <w:bCs/>
      <w:i/>
      <w:sz w:val="24"/>
      <w:szCs w:val="24"/>
      <w:lang w:val="en-US"/>
    </w:rPr>
  </w:style>
  <w:style w:type="paragraph" w:styleId="a9">
    <w:name w:val="Body Text"/>
    <w:basedOn w:val="a"/>
    <w:link w:val="aa"/>
    <w:uiPriority w:val="1"/>
    <w:qFormat/>
    <w:rsid w:val="00732907"/>
    <w:pPr>
      <w:widowControl w:val="0"/>
      <w:spacing w:after="0" w:line="240" w:lineRule="auto"/>
      <w:ind w:left="820" w:hanging="720"/>
    </w:pPr>
    <w:rPr>
      <w:rFonts w:ascii="Calibri" w:eastAsia="Calibri" w:hAnsi="Calibri"/>
      <w:sz w:val="24"/>
      <w:szCs w:val="24"/>
      <w:lang w:val="en-US"/>
    </w:rPr>
  </w:style>
  <w:style w:type="character" w:customStyle="1" w:styleId="aa">
    <w:name w:val="正文文本 字符"/>
    <w:basedOn w:val="a0"/>
    <w:link w:val="a9"/>
    <w:uiPriority w:val="1"/>
    <w:rsid w:val="00732907"/>
    <w:rPr>
      <w:rFonts w:ascii="Calibri" w:eastAsia="Calibri" w:hAnsi="Calibri"/>
      <w:sz w:val="24"/>
      <w:szCs w:val="24"/>
      <w:lang w:val="en-US"/>
    </w:rPr>
  </w:style>
  <w:style w:type="paragraph" w:customStyle="1" w:styleId="TableParagraph">
    <w:name w:val="Table Paragraph"/>
    <w:basedOn w:val="a"/>
    <w:uiPriority w:val="1"/>
    <w:qFormat/>
    <w:rsid w:val="00732907"/>
    <w:pPr>
      <w:widowControl w:val="0"/>
      <w:spacing w:after="0" w:line="240" w:lineRule="auto"/>
    </w:pPr>
    <w:rPr>
      <w:lang w:val="en-US"/>
    </w:rPr>
  </w:style>
  <w:style w:type="paragraph" w:styleId="ab">
    <w:name w:val="No Spacing"/>
    <w:uiPriority w:val="1"/>
    <w:qFormat/>
    <w:rsid w:val="00656C28"/>
    <w:pPr>
      <w:spacing w:after="0" w:line="240" w:lineRule="auto"/>
    </w:pPr>
  </w:style>
  <w:style w:type="paragraph" w:styleId="ac">
    <w:name w:val="header"/>
    <w:basedOn w:val="a"/>
    <w:link w:val="ad"/>
    <w:uiPriority w:val="99"/>
    <w:unhideWhenUsed/>
    <w:rsid w:val="0002330C"/>
    <w:pPr>
      <w:tabs>
        <w:tab w:val="center" w:pos="4513"/>
        <w:tab w:val="right" w:pos="9026"/>
      </w:tabs>
      <w:spacing w:after="0" w:line="240" w:lineRule="auto"/>
    </w:pPr>
  </w:style>
  <w:style w:type="character" w:customStyle="1" w:styleId="ad">
    <w:name w:val="页眉 字符"/>
    <w:basedOn w:val="a0"/>
    <w:link w:val="ac"/>
    <w:uiPriority w:val="99"/>
    <w:rsid w:val="0002330C"/>
  </w:style>
  <w:style w:type="paragraph" w:styleId="ae">
    <w:name w:val="footer"/>
    <w:basedOn w:val="a"/>
    <w:link w:val="af"/>
    <w:uiPriority w:val="99"/>
    <w:unhideWhenUsed/>
    <w:rsid w:val="0002330C"/>
    <w:pPr>
      <w:tabs>
        <w:tab w:val="center" w:pos="4513"/>
        <w:tab w:val="right" w:pos="9026"/>
      </w:tabs>
      <w:spacing w:after="0" w:line="240" w:lineRule="auto"/>
    </w:pPr>
  </w:style>
  <w:style w:type="character" w:customStyle="1" w:styleId="af">
    <w:name w:val="页脚 字符"/>
    <w:basedOn w:val="a0"/>
    <w:link w:val="ae"/>
    <w:uiPriority w:val="99"/>
    <w:rsid w:val="00023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3542">
      <w:bodyDiv w:val="1"/>
      <w:marLeft w:val="0"/>
      <w:marRight w:val="0"/>
      <w:marTop w:val="0"/>
      <w:marBottom w:val="0"/>
      <w:divBdr>
        <w:top w:val="none" w:sz="0" w:space="0" w:color="auto"/>
        <w:left w:val="none" w:sz="0" w:space="0" w:color="auto"/>
        <w:bottom w:val="none" w:sz="0" w:space="0" w:color="auto"/>
        <w:right w:val="none" w:sz="0" w:space="0" w:color="auto"/>
      </w:divBdr>
      <w:divsChild>
        <w:div w:id="808010480">
          <w:marLeft w:val="0"/>
          <w:marRight w:val="0"/>
          <w:marTop w:val="0"/>
          <w:marBottom w:val="0"/>
          <w:divBdr>
            <w:top w:val="none" w:sz="0" w:space="0" w:color="auto"/>
            <w:left w:val="none" w:sz="0" w:space="0" w:color="auto"/>
            <w:bottom w:val="none" w:sz="0" w:space="0" w:color="auto"/>
            <w:right w:val="none" w:sz="0" w:space="0" w:color="auto"/>
          </w:divBdr>
        </w:div>
      </w:divsChild>
    </w:div>
    <w:div w:id="98650544">
      <w:bodyDiv w:val="1"/>
      <w:marLeft w:val="0"/>
      <w:marRight w:val="0"/>
      <w:marTop w:val="0"/>
      <w:marBottom w:val="0"/>
      <w:divBdr>
        <w:top w:val="none" w:sz="0" w:space="0" w:color="auto"/>
        <w:left w:val="none" w:sz="0" w:space="0" w:color="auto"/>
        <w:bottom w:val="none" w:sz="0" w:space="0" w:color="auto"/>
        <w:right w:val="none" w:sz="0" w:space="0" w:color="auto"/>
      </w:divBdr>
    </w:div>
    <w:div w:id="114106210">
      <w:bodyDiv w:val="1"/>
      <w:marLeft w:val="0"/>
      <w:marRight w:val="0"/>
      <w:marTop w:val="0"/>
      <w:marBottom w:val="0"/>
      <w:divBdr>
        <w:top w:val="none" w:sz="0" w:space="0" w:color="auto"/>
        <w:left w:val="none" w:sz="0" w:space="0" w:color="auto"/>
        <w:bottom w:val="none" w:sz="0" w:space="0" w:color="auto"/>
        <w:right w:val="none" w:sz="0" w:space="0" w:color="auto"/>
      </w:divBdr>
      <w:divsChild>
        <w:div w:id="1770273673">
          <w:marLeft w:val="0"/>
          <w:marRight w:val="0"/>
          <w:marTop w:val="0"/>
          <w:marBottom w:val="0"/>
          <w:divBdr>
            <w:top w:val="none" w:sz="0" w:space="0" w:color="auto"/>
            <w:left w:val="none" w:sz="0" w:space="0" w:color="auto"/>
            <w:bottom w:val="none" w:sz="0" w:space="0" w:color="auto"/>
            <w:right w:val="none" w:sz="0" w:space="0" w:color="auto"/>
          </w:divBdr>
        </w:div>
      </w:divsChild>
    </w:div>
    <w:div w:id="129641763">
      <w:bodyDiv w:val="1"/>
      <w:marLeft w:val="0"/>
      <w:marRight w:val="0"/>
      <w:marTop w:val="0"/>
      <w:marBottom w:val="0"/>
      <w:divBdr>
        <w:top w:val="none" w:sz="0" w:space="0" w:color="auto"/>
        <w:left w:val="none" w:sz="0" w:space="0" w:color="auto"/>
        <w:bottom w:val="none" w:sz="0" w:space="0" w:color="auto"/>
        <w:right w:val="none" w:sz="0" w:space="0" w:color="auto"/>
      </w:divBdr>
    </w:div>
    <w:div w:id="166212264">
      <w:bodyDiv w:val="1"/>
      <w:marLeft w:val="0"/>
      <w:marRight w:val="0"/>
      <w:marTop w:val="0"/>
      <w:marBottom w:val="0"/>
      <w:divBdr>
        <w:top w:val="none" w:sz="0" w:space="0" w:color="auto"/>
        <w:left w:val="none" w:sz="0" w:space="0" w:color="auto"/>
        <w:bottom w:val="none" w:sz="0" w:space="0" w:color="auto"/>
        <w:right w:val="none" w:sz="0" w:space="0" w:color="auto"/>
      </w:divBdr>
      <w:divsChild>
        <w:div w:id="1177114750">
          <w:marLeft w:val="0"/>
          <w:marRight w:val="0"/>
          <w:marTop w:val="0"/>
          <w:marBottom w:val="0"/>
          <w:divBdr>
            <w:top w:val="none" w:sz="0" w:space="0" w:color="auto"/>
            <w:left w:val="none" w:sz="0" w:space="0" w:color="auto"/>
            <w:bottom w:val="none" w:sz="0" w:space="0" w:color="auto"/>
            <w:right w:val="none" w:sz="0" w:space="0" w:color="auto"/>
          </w:divBdr>
        </w:div>
      </w:divsChild>
    </w:div>
    <w:div w:id="213002268">
      <w:bodyDiv w:val="1"/>
      <w:marLeft w:val="0"/>
      <w:marRight w:val="0"/>
      <w:marTop w:val="0"/>
      <w:marBottom w:val="0"/>
      <w:divBdr>
        <w:top w:val="none" w:sz="0" w:space="0" w:color="auto"/>
        <w:left w:val="none" w:sz="0" w:space="0" w:color="auto"/>
        <w:bottom w:val="none" w:sz="0" w:space="0" w:color="auto"/>
        <w:right w:val="none" w:sz="0" w:space="0" w:color="auto"/>
      </w:divBdr>
    </w:div>
    <w:div w:id="495729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6946">
          <w:marLeft w:val="0"/>
          <w:marRight w:val="0"/>
          <w:marTop w:val="0"/>
          <w:marBottom w:val="0"/>
          <w:divBdr>
            <w:top w:val="none" w:sz="0" w:space="0" w:color="auto"/>
            <w:left w:val="none" w:sz="0" w:space="0" w:color="auto"/>
            <w:bottom w:val="none" w:sz="0" w:space="0" w:color="auto"/>
            <w:right w:val="none" w:sz="0" w:space="0" w:color="auto"/>
          </w:divBdr>
        </w:div>
      </w:divsChild>
    </w:div>
    <w:div w:id="504826009">
      <w:bodyDiv w:val="1"/>
      <w:marLeft w:val="0"/>
      <w:marRight w:val="0"/>
      <w:marTop w:val="0"/>
      <w:marBottom w:val="0"/>
      <w:divBdr>
        <w:top w:val="none" w:sz="0" w:space="0" w:color="auto"/>
        <w:left w:val="none" w:sz="0" w:space="0" w:color="auto"/>
        <w:bottom w:val="none" w:sz="0" w:space="0" w:color="auto"/>
        <w:right w:val="none" w:sz="0" w:space="0" w:color="auto"/>
      </w:divBdr>
      <w:divsChild>
        <w:div w:id="1965960599">
          <w:marLeft w:val="0"/>
          <w:marRight w:val="0"/>
          <w:marTop w:val="0"/>
          <w:marBottom w:val="0"/>
          <w:divBdr>
            <w:top w:val="none" w:sz="0" w:space="0" w:color="auto"/>
            <w:left w:val="none" w:sz="0" w:space="0" w:color="auto"/>
            <w:bottom w:val="none" w:sz="0" w:space="0" w:color="auto"/>
            <w:right w:val="none" w:sz="0" w:space="0" w:color="auto"/>
          </w:divBdr>
        </w:div>
      </w:divsChild>
    </w:div>
    <w:div w:id="750078059">
      <w:bodyDiv w:val="1"/>
      <w:marLeft w:val="0"/>
      <w:marRight w:val="0"/>
      <w:marTop w:val="0"/>
      <w:marBottom w:val="0"/>
      <w:divBdr>
        <w:top w:val="none" w:sz="0" w:space="0" w:color="auto"/>
        <w:left w:val="none" w:sz="0" w:space="0" w:color="auto"/>
        <w:bottom w:val="none" w:sz="0" w:space="0" w:color="auto"/>
        <w:right w:val="none" w:sz="0" w:space="0" w:color="auto"/>
      </w:divBdr>
    </w:div>
    <w:div w:id="858350254">
      <w:bodyDiv w:val="1"/>
      <w:marLeft w:val="0"/>
      <w:marRight w:val="0"/>
      <w:marTop w:val="0"/>
      <w:marBottom w:val="0"/>
      <w:divBdr>
        <w:top w:val="none" w:sz="0" w:space="0" w:color="auto"/>
        <w:left w:val="none" w:sz="0" w:space="0" w:color="auto"/>
        <w:bottom w:val="none" w:sz="0" w:space="0" w:color="auto"/>
        <w:right w:val="none" w:sz="0" w:space="0" w:color="auto"/>
      </w:divBdr>
      <w:divsChild>
        <w:div w:id="361367914">
          <w:marLeft w:val="0"/>
          <w:marRight w:val="0"/>
          <w:marTop w:val="0"/>
          <w:marBottom w:val="0"/>
          <w:divBdr>
            <w:top w:val="none" w:sz="0" w:space="0" w:color="auto"/>
            <w:left w:val="none" w:sz="0" w:space="0" w:color="auto"/>
            <w:bottom w:val="none" w:sz="0" w:space="0" w:color="auto"/>
            <w:right w:val="none" w:sz="0" w:space="0" w:color="auto"/>
          </w:divBdr>
        </w:div>
      </w:divsChild>
    </w:div>
    <w:div w:id="886338221">
      <w:bodyDiv w:val="1"/>
      <w:marLeft w:val="0"/>
      <w:marRight w:val="0"/>
      <w:marTop w:val="0"/>
      <w:marBottom w:val="0"/>
      <w:divBdr>
        <w:top w:val="none" w:sz="0" w:space="0" w:color="auto"/>
        <w:left w:val="none" w:sz="0" w:space="0" w:color="auto"/>
        <w:bottom w:val="none" w:sz="0" w:space="0" w:color="auto"/>
        <w:right w:val="none" w:sz="0" w:space="0" w:color="auto"/>
      </w:divBdr>
      <w:divsChild>
        <w:div w:id="670255484">
          <w:marLeft w:val="0"/>
          <w:marRight w:val="0"/>
          <w:marTop w:val="0"/>
          <w:marBottom w:val="0"/>
          <w:divBdr>
            <w:top w:val="none" w:sz="0" w:space="0" w:color="auto"/>
            <w:left w:val="none" w:sz="0" w:space="0" w:color="auto"/>
            <w:bottom w:val="none" w:sz="0" w:space="0" w:color="auto"/>
            <w:right w:val="none" w:sz="0" w:space="0" w:color="auto"/>
          </w:divBdr>
        </w:div>
      </w:divsChild>
    </w:div>
    <w:div w:id="889078778">
      <w:bodyDiv w:val="1"/>
      <w:marLeft w:val="0"/>
      <w:marRight w:val="0"/>
      <w:marTop w:val="0"/>
      <w:marBottom w:val="0"/>
      <w:divBdr>
        <w:top w:val="none" w:sz="0" w:space="0" w:color="auto"/>
        <w:left w:val="none" w:sz="0" w:space="0" w:color="auto"/>
        <w:bottom w:val="none" w:sz="0" w:space="0" w:color="auto"/>
        <w:right w:val="none" w:sz="0" w:space="0" w:color="auto"/>
      </w:divBdr>
    </w:div>
    <w:div w:id="1078553559">
      <w:bodyDiv w:val="1"/>
      <w:marLeft w:val="0"/>
      <w:marRight w:val="0"/>
      <w:marTop w:val="0"/>
      <w:marBottom w:val="0"/>
      <w:divBdr>
        <w:top w:val="none" w:sz="0" w:space="0" w:color="auto"/>
        <w:left w:val="none" w:sz="0" w:space="0" w:color="auto"/>
        <w:bottom w:val="none" w:sz="0" w:space="0" w:color="auto"/>
        <w:right w:val="none" w:sz="0" w:space="0" w:color="auto"/>
      </w:divBdr>
      <w:divsChild>
        <w:div w:id="1814374484">
          <w:marLeft w:val="0"/>
          <w:marRight w:val="0"/>
          <w:marTop w:val="0"/>
          <w:marBottom w:val="0"/>
          <w:divBdr>
            <w:top w:val="none" w:sz="0" w:space="0" w:color="auto"/>
            <w:left w:val="none" w:sz="0" w:space="0" w:color="auto"/>
            <w:bottom w:val="none" w:sz="0" w:space="0" w:color="auto"/>
            <w:right w:val="none" w:sz="0" w:space="0" w:color="auto"/>
          </w:divBdr>
        </w:div>
      </w:divsChild>
    </w:div>
    <w:div w:id="1267813691">
      <w:bodyDiv w:val="1"/>
      <w:marLeft w:val="0"/>
      <w:marRight w:val="0"/>
      <w:marTop w:val="0"/>
      <w:marBottom w:val="0"/>
      <w:divBdr>
        <w:top w:val="none" w:sz="0" w:space="0" w:color="auto"/>
        <w:left w:val="none" w:sz="0" w:space="0" w:color="auto"/>
        <w:bottom w:val="none" w:sz="0" w:space="0" w:color="auto"/>
        <w:right w:val="none" w:sz="0" w:space="0" w:color="auto"/>
      </w:divBdr>
      <w:divsChild>
        <w:div w:id="2133546933">
          <w:marLeft w:val="0"/>
          <w:marRight w:val="0"/>
          <w:marTop w:val="0"/>
          <w:marBottom w:val="0"/>
          <w:divBdr>
            <w:top w:val="none" w:sz="0" w:space="0" w:color="auto"/>
            <w:left w:val="none" w:sz="0" w:space="0" w:color="auto"/>
            <w:bottom w:val="none" w:sz="0" w:space="0" w:color="auto"/>
            <w:right w:val="none" w:sz="0" w:space="0" w:color="auto"/>
          </w:divBdr>
        </w:div>
      </w:divsChild>
    </w:div>
    <w:div w:id="1272931115">
      <w:bodyDiv w:val="1"/>
      <w:marLeft w:val="0"/>
      <w:marRight w:val="0"/>
      <w:marTop w:val="0"/>
      <w:marBottom w:val="0"/>
      <w:divBdr>
        <w:top w:val="none" w:sz="0" w:space="0" w:color="auto"/>
        <w:left w:val="none" w:sz="0" w:space="0" w:color="auto"/>
        <w:bottom w:val="none" w:sz="0" w:space="0" w:color="auto"/>
        <w:right w:val="none" w:sz="0" w:space="0" w:color="auto"/>
      </w:divBdr>
      <w:divsChild>
        <w:div w:id="735470938">
          <w:marLeft w:val="0"/>
          <w:marRight w:val="0"/>
          <w:marTop w:val="0"/>
          <w:marBottom w:val="0"/>
          <w:divBdr>
            <w:top w:val="none" w:sz="0" w:space="0" w:color="auto"/>
            <w:left w:val="none" w:sz="0" w:space="0" w:color="auto"/>
            <w:bottom w:val="none" w:sz="0" w:space="0" w:color="auto"/>
            <w:right w:val="none" w:sz="0" w:space="0" w:color="auto"/>
          </w:divBdr>
        </w:div>
      </w:divsChild>
    </w:div>
    <w:div w:id="1317685883">
      <w:bodyDiv w:val="1"/>
      <w:marLeft w:val="0"/>
      <w:marRight w:val="0"/>
      <w:marTop w:val="0"/>
      <w:marBottom w:val="0"/>
      <w:divBdr>
        <w:top w:val="none" w:sz="0" w:space="0" w:color="auto"/>
        <w:left w:val="none" w:sz="0" w:space="0" w:color="auto"/>
        <w:bottom w:val="none" w:sz="0" w:space="0" w:color="auto"/>
        <w:right w:val="none" w:sz="0" w:space="0" w:color="auto"/>
      </w:divBdr>
      <w:divsChild>
        <w:div w:id="1184130561">
          <w:marLeft w:val="0"/>
          <w:marRight w:val="0"/>
          <w:marTop w:val="0"/>
          <w:marBottom w:val="0"/>
          <w:divBdr>
            <w:top w:val="none" w:sz="0" w:space="0" w:color="auto"/>
            <w:left w:val="none" w:sz="0" w:space="0" w:color="auto"/>
            <w:bottom w:val="none" w:sz="0" w:space="0" w:color="auto"/>
            <w:right w:val="none" w:sz="0" w:space="0" w:color="auto"/>
          </w:divBdr>
        </w:div>
      </w:divsChild>
    </w:div>
    <w:div w:id="1811361269">
      <w:bodyDiv w:val="1"/>
      <w:marLeft w:val="0"/>
      <w:marRight w:val="0"/>
      <w:marTop w:val="0"/>
      <w:marBottom w:val="0"/>
      <w:divBdr>
        <w:top w:val="none" w:sz="0" w:space="0" w:color="auto"/>
        <w:left w:val="none" w:sz="0" w:space="0" w:color="auto"/>
        <w:bottom w:val="none" w:sz="0" w:space="0" w:color="auto"/>
        <w:right w:val="none" w:sz="0" w:space="0" w:color="auto"/>
      </w:divBdr>
    </w:div>
    <w:div w:id="1825315847">
      <w:bodyDiv w:val="1"/>
      <w:marLeft w:val="0"/>
      <w:marRight w:val="0"/>
      <w:marTop w:val="0"/>
      <w:marBottom w:val="0"/>
      <w:divBdr>
        <w:top w:val="none" w:sz="0" w:space="0" w:color="auto"/>
        <w:left w:val="none" w:sz="0" w:space="0" w:color="auto"/>
        <w:bottom w:val="none" w:sz="0" w:space="0" w:color="auto"/>
        <w:right w:val="none" w:sz="0" w:space="0" w:color="auto"/>
      </w:divBdr>
    </w:div>
    <w:div w:id="1888909588">
      <w:bodyDiv w:val="1"/>
      <w:marLeft w:val="0"/>
      <w:marRight w:val="0"/>
      <w:marTop w:val="0"/>
      <w:marBottom w:val="0"/>
      <w:divBdr>
        <w:top w:val="none" w:sz="0" w:space="0" w:color="auto"/>
        <w:left w:val="none" w:sz="0" w:space="0" w:color="auto"/>
        <w:bottom w:val="none" w:sz="0" w:space="0" w:color="auto"/>
        <w:right w:val="none" w:sz="0" w:space="0" w:color="auto"/>
      </w:divBdr>
      <w:divsChild>
        <w:div w:id="1136796854">
          <w:marLeft w:val="0"/>
          <w:marRight w:val="0"/>
          <w:marTop w:val="0"/>
          <w:marBottom w:val="0"/>
          <w:divBdr>
            <w:top w:val="none" w:sz="0" w:space="0" w:color="auto"/>
            <w:left w:val="none" w:sz="0" w:space="0" w:color="auto"/>
            <w:bottom w:val="none" w:sz="0" w:space="0" w:color="auto"/>
            <w:right w:val="none" w:sz="0" w:space="0" w:color="auto"/>
          </w:divBdr>
        </w:div>
      </w:divsChild>
    </w:div>
    <w:div w:id="2051609190">
      <w:bodyDiv w:val="1"/>
      <w:marLeft w:val="0"/>
      <w:marRight w:val="0"/>
      <w:marTop w:val="0"/>
      <w:marBottom w:val="0"/>
      <w:divBdr>
        <w:top w:val="none" w:sz="0" w:space="0" w:color="auto"/>
        <w:left w:val="none" w:sz="0" w:space="0" w:color="auto"/>
        <w:bottom w:val="none" w:sz="0" w:space="0" w:color="auto"/>
        <w:right w:val="none" w:sz="0" w:space="0" w:color="auto"/>
      </w:divBdr>
      <w:divsChild>
        <w:div w:id="1798715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62468-A491-473B-92A5-54AC2AC6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Aberdeen City Council</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Kymme Fraser</dc:creator>
  <cp:lastModifiedBy>wang jason</cp:lastModifiedBy>
  <cp:revision>21</cp:revision>
  <cp:lastPrinted>2018-05-25T14:22:00Z</cp:lastPrinted>
  <dcterms:created xsi:type="dcterms:W3CDTF">2018-05-28T13:13:00Z</dcterms:created>
  <dcterms:modified xsi:type="dcterms:W3CDTF">2024-07-02T20:23:00Z</dcterms:modified>
</cp:coreProperties>
</file>