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Methodology Documentation</w:t>
      </w:r>
    </w:p>
    <w:p>
      <w:r>
        <w:rPr>
          <w:b/>
        </w:rPr>
        <w:t xml:space="preserve">Project: </w:t>
      </w:r>
      <w:r>
        <w:t>Estimating PISA Mathematics and Science Literacy Scores Using Deep Learning Time Series Models: Integration of Socioeconomic Factors to the Models</w:t>
        <w:br/>
      </w:r>
      <w:r>
        <w:rPr>
          <w:b/>
        </w:rPr>
        <w:t xml:space="preserve">Purpose: </w:t>
      </w:r>
      <w:r>
        <w:t>This document summarizes the methodological workflow implemented in the study and provides sufficient information to reproduce the analyses contained in the GitHub repository.</w:t>
      </w:r>
    </w:p>
    <w:p>
      <w:pPr>
        <w:pStyle w:val="Heading2"/>
      </w:pPr>
      <w:r>
        <w:t>1. Data Source</w:t>
      </w:r>
    </w:p>
    <w:p>
      <w:r>
        <w:t>Official OECD country-level national mean PISA mathematics and science literacy scores for Türkiye (2003–2022) were used. The study analyzes national indicators rather than student-level microdata.</w:t>
      </w:r>
    </w:p>
    <w:p>
      <w:pPr>
        <w:pStyle w:val="Heading2"/>
      </w:pPr>
      <w:r>
        <w:t>2. Socioeconomic Variables</w:t>
      </w:r>
    </w:p>
    <w:p>
      <w:r>
        <w:t>The explanatory variables were HEDRES (Home Educational Resources), HOMEPOS (Home Possessions), and WEALTH (Household Wealth Index).</w:t>
      </w:r>
    </w:p>
    <w:p>
      <w:pPr>
        <w:pStyle w:val="Heading2"/>
      </w:pPr>
      <w:r>
        <w:t>3. Data Preprocessing</w:t>
      </w:r>
    </w:p>
    <w:p>
      <w:r>
        <w:t>Missing values were completed using nearest-year estimation (WEALTH-2003) and linear trend extension (HEDRES-2022 and WEALTH-2022). Min–Max normalization was applied within each rolling training fold to prevent data leakage.</w:t>
      </w:r>
    </w:p>
    <w:p>
      <w:pPr>
        <w:pStyle w:val="Heading2"/>
      </w:pPr>
      <w:r>
        <w:t>4. Multicollinearity Assessment</w:t>
      </w:r>
    </w:p>
    <w:p>
      <w:r>
        <w:t>Variance Inflation Factor (VIF) values were calculated before integrating the socioeconomic variables into the forecasting models.</w:t>
      </w:r>
    </w:p>
    <w:p>
      <w:pPr>
        <w:pStyle w:val="Heading2"/>
      </w:pPr>
      <w:r>
        <w:t>5. Forecasting Models</w:t>
      </w:r>
    </w:p>
    <w:p>
      <w:r>
        <w:t>ARIMA, Prophet, LSTM, and GRU models were implemented under identical preprocessing conditions.</w:t>
      </w:r>
    </w:p>
    <w:p>
      <w:pPr>
        <w:pStyle w:val="Heading2"/>
      </w:pPr>
      <w:r>
        <w:t>6. Validation Strategy</w:t>
      </w:r>
    </w:p>
    <w:p>
      <w:r>
        <w:t>Model performance was evaluated using an expanding-window rolling backtesting framework. A Naive Persistence Baseline was included as a reference model. LSTM and GRU were additionally evaluated using a five-seed robustness analysis.</w:t>
      </w:r>
    </w:p>
    <w:p>
      <w:pPr>
        <w:pStyle w:val="Heading2"/>
      </w:pPr>
      <w:r>
        <w:t>7. Evaluation Metrics</w:t>
      </w:r>
    </w:p>
    <w:p>
      <w:r>
        <w:t>Forecasting performance was compared using R², MAE, MSE, RMSE, and Dynamic Time Warping (DTW).</w:t>
      </w:r>
    </w:p>
    <w:p>
      <w:pPr>
        <w:pStyle w:val="Heading2"/>
      </w:pPr>
      <w:r>
        <w:t>8. Progressive Variable Integration</w:t>
      </w:r>
    </w:p>
    <w:p>
      <w:r>
        <w:t>Socioeconomic variables were added sequentially according to their ARIMAX β coefficients: HEDRES, HOMEPOS, and WEALTH.</w:t>
      </w:r>
    </w:p>
    <w:p>
      <w:pPr>
        <w:pStyle w:val="Heading2"/>
      </w:pPr>
      <w:r>
        <w:t>9. Future Forecasting</w:t>
      </w:r>
    </w:p>
    <w:p>
      <w:r>
        <w:t>Exploratory forecasts were generated for the 2025, 2028, and 2031 PISA cycles. Future socioeconomic inputs were estimated using linear trend extrapolation.</w:t>
      </w:r>
    </w:p>
    <w:p>
      <w:pPr>
        <w:pStyle w:val="Heading2"/>
      </w:pPr>
      <w:r>
        <w:t>10. Reproducibility</w:t>
      </w:r>
    </w:p>
    <w:p>
      <w:r>
        <w:t>The repository contains all source code, processed datasets, documentation, and scripts required to reproduce the analyses and figures reported in the manuscript.</w:t>
      </w:r>
    </w:p>
    <w:p>
      <w:pPr>
        <w:pStyle w:val="Heading2"/>
      </w:pPr>
      <w:r>
        <w:t>Folder Structure</w:t>
      </w:r>
    </w:p>
    <w:p>
      <w:r>
        <w:t>code/</w:t>
        <w:br/>
        <w:t>dataset/</w:t>
        <w:br/>
        <w:t>documentation/</w:t>
        <w:br/>
        <w:t>outputs/</w:t>
        <w:br/>
        <w:t>requirements.txt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