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A — Internal Reasoning &amp; Evidence Handling (Non-User-Facing)</w:t>
      </w:r>
    </w:p>
    <w:p/>
    <w:p>
      <w:r>
        <w:t>Purpose</w:t>
      </w:r>
    </w:p>
    <w:p>
      <w:r>
        <w:t>This appendix defines the internal reasoning construct required for AIQE Phase 2 to function deterministically and transparently under conditions of incomplete, conflicting, or heterogeneous data.</w:t>
      </w:r>
    </w:p>
    <w:p/>
    <w:p>
      <w:r>
        <w:t>This appendix is non-user-facing and exists solely to guide system behavior. Nothing described herein is exposed directly to users.</w:t>
      </w:r>
    </w:p>
    <w:p/>
    <w:p>
      <w:r>
        <w:t>A.1 Core Requirement — Internal Evidence Representation</w:t>
      </w:r>
    </w:p>
    <w:p>
      <w:r>
        <w:t>AIQE must internally represent every ingested input as a discrete evidence item.</w:t>
      </w:r>
    </w:p>
    <w:p/>
    <w:p>
      <w:r>
        <w:t>Each evidence item retains:</w:t>
      </w:r>
    </w:p>
    <w:p>
      <w:r>
        <w:t>- Source type</w:t>
      </w:r>
    </w:p>
    <w:p>
      <w:r>
        <w:t>- Context</w:t>
      </w:r>
    </w:p>
    <w:p>
      <w:r>
        <w:t>- Temporal relevance</w:t>
      </w:r>
    </w:p>
    <w:p>
      <w:r>
        <w:t>- Observed signals</w:t>
      </w:r>
    </w:p>
    <w:p>
      <w:r>
        <w:t>- Limitations</w:t>
      </w:r>
    </w:p>
    <w:p/>
    <w:p>
      <w:r>
        <w:t>A.2 Evidence Relationship Classification</w:t>
      </w:r>
    </w:p>
    <w:p>
      <w:r>
        <w:t>Evidence may be classified as:</w:t>
      </w:r>
    </w:p>
    <w:p>
      <w:r>
        <w:t>- Supporting</w:t>
      </w:r>
    </w:p>
    <w:p>
      <w:r>
        <w:t>- Contradictory</w:t>
      </w:r>
    </w:p>
    <w:p>
      <w:r>
        <w:t>- Inconclusive</w:t>
      </w:r>
    </w:p>
    <w:p>
      <w:r>
        <w:t>- Not observable</w:t>
      </w:r>
    </w:p>
    <w:p/>
    <w:p>
      <w:r>
        <w:t>A.3 Handling of Missing Documentation</w:t>
      </w:r>
    </w:p>
    <w:p>
      <w:r>
        <w:t>Missing artifacts are treated as a diagnostic condition, not an error.</w:t>
      </w:r>
    </w:p>
    <w:p/>
    <w:p>
      <w:r>
        <w:t>A.4 Reasoning Flow Dependency</w:t>
      </w:r>
    </w:p>
    <w:p>
      <w:r>
        <w:t>Internal evidence persists through hypothesis ranking, rationale, contradictions, confidence, and gaps.</w:t>
      </w:r>
    </w:p>
    <w:p/>
    <w:p>
      <w:r>
        <w:t>A.5 Constraints</w:t>
      </w:r>
    </w:p>
    <w:p>
      <w:r>
        <w:t>The system must not score, learn, optimize, or expose internals.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