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AIQE Root Cause Diagnostic Report – EXPECTED OUTPUT (Test Case 01)</w:t>
      </w:r>
    </w:p>
    <w:p>
      <w:pPr>
        <w:pStyle w:val="Heading2"/>
      </w:pPr>
      <w:r>
        <w:t>1. Executive Diagnostic Summary</w:t>
      </w:r>
    </w:p>
    <w:p>
      <w:r>
        <w:t>AIQE identified a pattern consistent with a surface or input condition issue affecting the rubber-to-metal bond, rather than a stable shift in the primary molding parameters. The observed behavior – intermittent blistering across multiple tools and lots with no correlated cure profile change – suggests that upstream surface condition, adhesive handling, or environmental exposure is making the process more sensitive, especially for seals staged or stored longer before molding.</w:t>
      </w:r>
    </w:p>
    <w:p>
      <w:pPr>
        <w:pStyle w:val="Heading2"/>
      </w:pPr>
      <w:r>
        <w:t>2. Most Likely Root Cause Hypotheses (Ranked)</w:t>
      </w:r>
    </w:p>
    <w:p>
      <w:r>
        <w:t>Primary Contributor: Upstream surface or adhesive condition variation</w:t>
      </w:r>
    </w:p>
    <w:p>
      <w:r>
        <w:t>- Blistering occurs intermittently across tools while cure settings remain within documented limits.</w:t>
        <w:br/>
        <w:t>- Lots with extended staging time or questionable storage conditions show slightly higher defect rates.</w:t>
      </w:r>
    </w:p>
    <w:p>
      <w:r>
        <w:t>Secondary Contributor: Adhesive application consistency at geometry-challenged regions</w:t>
      </w:r>
    </w:p>
    <w:p>
      <w:r>
        <w:t>- PFMEA and control plan note 100% coverage requirement, but current checks are visual and low-frequency.</w:t>
        <w:br/>
        <w:t>- Defects cluster in areas where full spray coverage is most difficult to verify.</w:t>
      </w:r>
    </w:p>
    <w:p>
      <w:r>
        <w:t>Conditional Amplifier: Environmental exposure / humidity during storage and handling</w:t>
      </w:r>
    </w:p>
    <w:p>
      <w:r>
        <w:t>- Problem description and notes reference material near open dock doors and potential high-humidity periods.</w:t>
        <w:br/>
        <w:t>- These conditions may not create defects alone but can amplify marginal surface or adhesive variation.</w:t>
      </w:r>
    </w:p>
    <w:p>
      <w:pPr>
        <w:pStyle w:val="Heading2"/>
      </w:pPr>
      <w:r>
        <w:t>3. Why AIQE Believes This</w:t>
      </w:r>
    </w:p>
    <w:p>
      <w:r>
        <w:t>- Evidence indicates no consistent shift in cure time or temperature, reducing the likelihood of a primary cure-profile issue.</w:t>
        <w:br/>
        <w:t>- PFMEA highlights adhesive coverage and surface preparation as high-severity risks with only visual, low-frequency controls.</w:t>
        <w:br/>
        <w:t>- Observed defects concentrate near geometry-challenged regions where coverage is hardest to maintain.</w:t>
        <w:br/>
        <w:t>- Notes about extended storage and proximity to open dock doors are consistent with increased sensitivity to contamination or humidity.</w:t>
      </w:r>
    </w:p>
    <w:p>
      <w:pPr>
        <w:pStyle w:val="Heading2"/>
      </w:pPr>
      <w:r>
        <w:t>4. Immediate Actions to Test</w:t>
      </w:r>
    </w:p>
    <w:p>
      <w:r>
        <w:t>1) Log and compare adhesive lot, storage time, and staging conditions for passing vs failing lots.</w:t>
        <w:br/>
        <w:t>2) Perform a short-term trial with controlled surface cleaning and tighter WIP storage limits (e.g., max 24 hours, away from dock doors).</w:t>
        <w:br/>
        <w:t>3) Implement a focused spray pattern verification at high-risk geometries and track blister rates before and after.</w:t>
        <w:br/>
        <w:t>4) Correlate leak-test fallout to environmental data (humidity, temperature) during molding and pre-mold staging.</w:t>
      </w:r>
    </w:p>
    <w:p>
      <w:pPr>
        <w:pStyle w:val="Heading2"/>
      </w:pPr>
      <w:r>
        <w:t>5. Analysis Confidence Statement</w:t>
      </w:r>
    </w:p>
    <w:p>
      <w:r>
        <w:t>Confidence: Medium</w:t>
        <w:br/>
        <w:br/>
        <w:t>Confidence is moderate because multiple pieces of evidence align around upstream surface and adhesive conditions, but current data on storage environment and coverage verification is limited. Additional targeted trials and logging are required to confirm the dominant contributor.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