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8EC69" w14:textId="7AD92BD0" w:rsidR="00563DB8" w:rsidRDefault="00563DB8" w:rsidP="006A7191">
      <w:pPr>
        <w:pStyle w:val="Heading2"/>
      </w:pPr>
      <w:r>
        <w:t>Editorial Policy</w:t>
      </w:r>
      <w:r w:rsidR="00B8243B">
        <w:t>: Encoding</w:t>
      </w:r>
    </w:p>
    <w:p w14:paraId="2D325834" w14:textId="3623791A" w:rsidR="00563DB8" w:rsidRDefault="00563DB8" w:rsidP="006A7191">
      <w:r>
        <w:t xml:space="preserve">In encoding the scores used for this project, my principle was to recreate the relevant Universal Edition score as closely as possible. On the whole, this was a fairly simple process that required little editorial intervention. This was particularly true of pitch and duration notation; the greatest ambiguity surrounded the exact placement of dynamic and tempo markings, and whilst the first has little bearing on this project, in practice the second could usually be inferred from proximate musical gestures. Nonetheless, in order to use these scores in music21, various alterations had to be made to the scores. At the heart of this project lies the methodological assumption that scores can be viably used as proxies for sounds: </w:t>
      </w:r>
      <w:r w:rsidR="00CA3669">
        <w:t>these</w:t>
      </w:r>
      <w:r>
        <w:t xml:space="preserve"> interventions seek to minimise the difference. I am outlining these here both to ensure full methodological transparency, and also as a guide for similar work.</w:t>
      </w:r>
    </w:p>
    <w:p w14:paraId="7F6E977B" w14:textId="0745C578" w:rsidR="00563DB8" w:rsidRDefault="00563DB8" w:rsidP="006A7191">
      <w:r>
        <w:t>The first group of alterations are small-scale local interventions that interpret particular notational phenomena. In all cases, trills have been removed, resulting in the note being sustained for the given duration. For percussion instruments this is fairly uncontroversial as the effect of the trill is many repetitions of the same note, creating prolongation. For non-percussion instruments, where the trill is a fast alternation between two notes, this hinges on an understanding of the upper note as fundamentally ornamental, almost timbral rather than harmonic. By contrast, fast alternations between notes (</w:t>
      </w:r>
      <w:r w:rsidR="00A67909">
        <w:fldChar w:fldCharType="begin"/>
      </w:r>
      <w:r w:rsidR="00A67909">
        <w:instrText xml:space="preserve"> REF _Ref37428100 \h </w:instrText>
      </w:r>
      <w:r w:rsidR="00A67909">
        <w:fldChar w:fldCharType="separate"/>
      </w:r>
      <w:r w:rsidR="008B0E61">
        <w:t xml:space="preserve">Example </w:t>
      </w:r>
      <w:r w:rsidR="008B0E61">
        <w:rPr>
          <w:noProof/>
        </w:rPr>
        <w:t>5</w:t>
      </w:r>
      <w:r w:rsidR="00A67909">
        <w:fldChar w:fldCharType="end"/>
      </w:r>
      <w:r>
        <w:t>) have been modelled as a sustaining a dyad</w:t>
      </w:r>
      <w:r w:rsidR="00A67909">
        <w:t xml:space="preserve"> (</w:t>
      </w:r>
      <w:r w:rsidR="00A67909">
        <w:fldChar w:fldCharType="begin"/>
      </w:r>
      <w:r w:rsidR="00A67909">
        <w:instrText xml:space="preserve"> REF _Ref37428115 \h </w:instrText>
      </w:r>
      <w:r w:rsidR="00A67909">
        <w:fldChar w:fldCharType="separate"/>
      </w:r>
      <w:r w:rsidR="008B0E61">
        <w:t xml:space="preserve">Example </w:t>
      </w:r>
      <w:r w:rsidR="008B0E61">
        <w:rPr>
          <w:noProof/>
        </w:rPr>
        <w:t>6</w:t>
      </w:r>
      <w:r w:rsidR="00A67909">
        <w:fldChar w:fldCharType="end"/>
      </w:r>
      <w:r w:rsidR="00A67909">
        <w:t>)</w:t>
      </w:r>
      <w:r>
        <w:t xml:space="preserve">. In both cases it is understood that the alternations should not be read as multiple new attacks. </w:t>
      </w:r>
    </w:p>
    <w:p w14:paraId="6EA3B109" w14:textId="77777777" w:rsidR="000022D1" w:rsidRDefault="000022D1" w:rsidP="006A7191">
      <w:r w:rsidRPr="003B3BA0">
        <w:rPr>
          <w:noProof/>
        </w:rPr>
        <w:drawing>
          <wp:inline distT="0" distB="0" distL="0" distR="0" wp14:anchorId="3EA670EA" wp14:editId="434CD2DB">
            <wp:extent cx="5727700" cy="4937760"/>
            <wp:effectExtent l="0" t="0" r="0" b="2540"/>
            <wp:docPr id="1" name="Picture 1" descr="A close up of text on a whit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Fünf Stücke für Orchester DRAFT 1 copy image_00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4937760"/>
                    </a:xfrm>
                    <a:prstGeom prst="rect">
                      <a:avLst/>
                    </a:prstGeom>
                  </pic:spPr>
                </pic:pic>
              </a:graphicData>
            </a:graphic>
          </wp:inline>
        </w:drawing>
      </w:r>
    </w:p>
    <w:p w14:paraId="501F9A34" w14:textId="31DE0623" w:rsidR="000914B7" w:rsidRPr="005B3D38" w:rsidRDefault="000022D1" w:rsidP="009C7572">
      <w:pPr>
        <w:pStyle w:val="Caption"/>
      </w:pPr>
      <w:bookmarkStart w:id="0" w:name="_Ref37428100"/>
      <w:r>
        <w:lastRenderedPageBreak/>
        <w:t xml:space="preserve">Example </w:t>
      </w:r>
      <w:r w:rsidR="00495520">
        <w:fldChar w:fldCharType="begin"/>
      </w:r>
      <w:r w:rsidR="00495520">
        <w:instrText xml:space="preserve"> SEQ Example \* ARABIC </w:instrText>
      </w:r>
      <w:r w:rsidR="00495520">
        <w:fldChar w:fldCharType="separate"/>
      </w:r>
      <w:r w:rsidR="008B0E61">
        <w:rPr>
          <w:noProof/>
        </w:rPr>
        <w:t>5</w:t>
      </w:r>
      <w:r w:rsidR="00495520">
        <w:rPr>
          <w:noProof/>
        </w:rPr>
        <w:fldChar w:fldCharType="end"/>
      </w:r>
      <w:bookmarkEnd w:id="0"/>
      <w:r>
        <w:t>: Op. 10/</w:t>
      </w:r>
      <w:r w:rsidRPr="004B5622">
        <w:t>III, bb.1-3, original version</w:t>
      </w:r>
      <w:r w:rsidR="009C7572">
        <w:t xml:space="preserve">, </w:t>
      </w:r>
      <w:r w:rsidR="000914B7" w:rsidRPr="005B3D38">
        <w:t xml:space="preserve">Anton Webern, ‘5 </w:t>
      </w:r>
      <w:proofErr w:type="spellStart"/>
      <w:r w:rsidR="000914B7" w:rsidRPr="005B3D38">
        <w:t>Stücke</w:t>
      </w:r>
      <w:proofErr w:type="spellEnd"/>
      <w:r w:rsidR="000914B7" w:rsidRPr="005B3D38">
        <w:t xml:space="preserve"> </w:t>
      </w:r>
      <w:proofErr w:type="spellStart"/>
      <w:r w:rsidR="000914B7" w:rsidRPr="005B3D38">
        <w:t>für</w:t>
      </w:r>
      <w:proofErr w:type="spellEnd"/>
      <w:r w:rsidR="000914B7" w:rsidRPr="005B3D38">
        <w:t xml:space="preserve"> </w:t>
      </w:r>
      <w:proofErr w:type="spellStart"/>
      <w:r w:rsidR="000914B7" w:rsidRPr="005B3D38">
        <w:t>Orchester</w:t>
      </w:r>
      <w:proofErr w:type="spellEnd"/>
      <w:r w:rsidR="000914B7" w:rsidRPr="005B3D38">
        <w:t>, Op. 10’</w:t>
      </w:r>
      <w:r w:rsidR="000914B7" w:rsidRPr="005B3D38">
        <w:sym w:font="Symbol" w:char="F0E3"/>
      </w:r>
      <w:r w:rsidR="000914B7" w:rsidRPr="005B3D38">
        <w:t xml:space="preserve"> 1923, 1951 by Universal Edition A.G., Wien/UE5967</w:t>
      </w:r>
    </w:p>
    <w:p w14:paraId="48C09F76" w14:textId="77777777" w:rsidR="00E879BF" w:rsidRDefault="00E879BF" w:rsidP="006A7191">
      <w:r w:rsidRPr="003B3BA0">
        <w:rPr>
          <w:noProof/>
        </w:rPr>
        <w:drawing>
          <wp:inline distT="0" distB="0" distL="0" distR="0" wp14:anchorId="3AC0FCC1" wp14:editId="79D6A0F5">
            <wp:extent cx="5727700" cy="5109845"/>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nf Stücke für Orchester SOUNDING DRAFT 1 FULL image_00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5109845"/>
                    </a:xfrm>
                    <a:prstGeom prst="rect">
                      <a:avLst/>
                    </a:prstGeom>
                  </pic:spPr>
                </pic:pic>
              </a:graphicData>
            </a:graphic>
          </wp:inline>
        </w:drawing>
      </w:r>
    </w:p>
    <w:p w14:paraId="26E87A8E" w14:textId="191CA312" w:rsidR="00E879BF" w:rsidRPr="00E879BF" w:rsidRDefault="00E879BF" w:rsidP="006A7191">
      <w:pPr>
        <w:pStyle w:val="Caption"/>
      </w:pPr>
      <w:bookmarkStart w:id="1" w:name="_Ref37428115"/>
      <w:r>
        <w:t xml:space="preserve">Example </w:t>
      </w:r>
      <w:r w:rsidR="00495520">
        <w:fldChar w:fldCharType="begin"/>
      </w:r>
      <w:r w:rsidR="00495520">
        <w:instrText xml:space="preserve"> SEQ Exam</w:instrText>
      </w:r>
      <w:r w:rsidR="00495520">
        <w:instrText xml:space="preserve">ple \* ARABIC </w:instrText>
      </w:r>
      <w:r w:rsidR="00495520">
        <w:fldChar w:fldCharType="separate"/>
      </w:r>
      <w:r w:rsidR="008B0E61">
        <w:rPr>
          <w:noProof/>
        </w:rPr>
        <w:t>6</w:t>
      </w:r>
      <w:r w:rsidR="00495520">
        <w:rPr>
          <w:noProof/>
        </w:rPr>
        <w:fldChar w:fldCharType="end"/>
      </w:r>
      <w:bookmarkEnd w:id="1"/>
      <w:r>
        <w:t>: Op. 10/iii,</w:t>
      </w:r>
      <w:r w:rsidR="00A67909">
        <w:t xml:space="preserve"> bb.1-3</w:t>
      </w:r>
      <w:r>
        <w:t xml:space="preserve"> processed version</w:t>
      </w:r>
    </w:p>
    <w:p w14:paraId="50B64CA8" w14:textId="77777777" w:rsidR="00563DB8" w:rsidRDefault="00563DB8" w:rsidP="006A7191">
      <w:r>
        <w:t>Turning to the piano, arpeggiations have been removed from chords. In part this is to standardise the inevitable variety of performance, in part because the aural effect is still of one harmony. The sustaining pedal presents further difficulty. My approach has been to prolong notes for the indicated period in any case where Webern indicates use of pedal, and to assume that performers otherwise would not use the pedal. Though this latter assumption is certainly speculative, it seems legitimate lest they cloud the ascetic textures. Indeed, the only works for piano with no pedal markings are Opp. 11 and 27, and surely neither would benefit from unmarked prolongation.</w:t>
      </w:r>
    </w:p>
    <w:p w14:paraId="7CA7B659" w14:textId="77777777" w:rsidR="00563DB8" w:rsidRDefault="00563DB8" w:rsidP="006A7191">
      <w:r>
        <w:t xml:space="preserve">String instruments present some further interpretative matters. Harmonics have been spelled out at sounding pitch, typically notated by Webern, but otherwise easy to infer. Timbral distortions, for example </w:t>
      </w:r>
      <w:r>
        <w:rPr>
          <w:i/>
          <w:iCs/>
        </w:rPr>
        <w:t>Am Steg</w:t>
      </w:r>
      <w:r>
        <w:t>, have been modelled as having no pitch effect. The reality of this is hardly so clear cut: playing on the bridge often emphasises the second partial at the expense of the fundamental, resulting in an effective transposition up an octave. However, this is highly inconsistent, often changing within the course of a note, and so is impossible to model meaningfully.</w:t>
      </w:r>
    </w:p>
    <w:p w14:paraId="490B750F" w14:textId="709CB983" w:rsidR="00563DB8" w:rsidRDefault="00563DB8" w:rsidP="006A7191">
      <w:r>
        <w:t xml:space="preserve">Octave transpositions do, however, inspire a tangle of interpretative judgements with regard to Webern’s notation. It is not until Op. 14 that his scores begin to be notated at sounding pitch, and </w:t>
      </w:r>
      <w:r>
        <w:lastRenderedPageBreak/>
        <w:t>even then</w:t>
      </w:r>
      <w:r w:rsidR="00191825">
        <w:t>,</w:t>
      </w:r>
      <w:r>
        <w:t xml:space="preserve"> all is not clear. The following is a survey of those instruments where transpositional matters are not always clear, with some discussion of my reasoning in each case. In the case of ambiguities, the general principle I have adopted is to minimise octave doubling in favour of unison doubling where possible, given Webern’s general apathy towards doubling at the octave, particularly in the more contrapuntal, later music.</w:t>
      </w:r>
    </w:p>
    <w:p w14:paraId="57969CAF" w14:textId="77777777" w:rsidR="00563DB8" w:rsidRDefault="00563DB8" w:rsidP="006A7191">
      <w:r>
        <w:t>To begin with the easiest cases, the guitar is transposed down an octave in Op. 10; in Opp. 18 &amp; 19 it is specifically marked as sounding at the written pitch, which also confirms Webern’s knowledge of the traditional transposition. Similarly, the piccolo is transposed up an octave, contrabassoon and contrabass down, until the final three orchestral pieces (Opp. 29, 30, 31), where everything sounds precisely at pitch. French horns present a problem with regard to the bass clef. I have opted to read it in the traditional (now outdated) manner that transposes up a fourth rather than down a fifth. This only occurs in Op. 13, and is principally justified by the first note, which would otherwise give a sounding A1.</w:t>
      </w:r>
    </w:p>
    <w:p w14:paraId="4805D66B" w14:textId="6D5D1499" w:rsidR="00563DB8" w:rsidRDefault="00563DB8" w:rsidP="006A7191">
      <w:r>
        <w:t xml:space="preserve">The knottiest problems come, however, with the celesta, glockenspiel, and xylophone. I will discuss each of the relevant pieces in turn. As before, Opp. 30 and 31 are simple, as they are notated at sounding pitch; other pieces, less so. With regard to Op. 6, my policy has been to read the celesta as transposing up one octave, as would be expected. The evidence for this is limited, but rests on places where reading it at concert pitch would create octave doublings in the harmony (e.g. </w:t>
      </w:r>
      <w:r w:rsidR="006C6AF0">
        <w:t>Op. 6/</w:t>
      </w:r>
      <w:r w:rsidR="0011733D">
        <w:t>I,</w:t>
      </w:r>
      <w:r>
        <w:t xml:space="preserve"> b. 15; </w:t>
      </w:r>
      <w:r w:rsidR="006C6AF0">
        <w:t>Op. 6/v</w:t>
      </w:r>
      <w:r w:rsidR="0011733D">
        <w:t>,</w:t>
      </w:r>
      <w:r>
        <w:t xml:space="preserve"> bb. 11-12). The glockenspiel is harder to judge, and will be discussed below, in light of the other works.</w:t>
      </w:r>
    </w:p>
    <w:p w14:paraId="22FF8F7B" w14:textId="37277CE7" w:rsidR="00563DB8" w:rsidRDefault="00563DB8" w:rsidP="006A7191">
      <w:r>
        <w:t xml:space="preserve">Op. 10 presents some clearer evidence. I have read the celesta as transposing up one octave (e.g. </w:t>
      </w:r>
      <w:r w:rsidR="0011733D">
        <w:t>Op. 10/</w:t>
      </w:r>
      <w:proofErr w:type="spellStart"/>
      <w:r w:rsidR="0011733D">
        <w:t>i</w:t>
      </w:r>
      <w:proofErr w:type="spellEnd"/>
      <w:r w:rsidR="0011733D">
        <w:t xml:space="preserve">, </w:t>
      </w:r>
      <w:r>
        <w:t xml:space="preserve">bb. 1 &amp; 10, </w:t>
      </w:r>
      <w:r w:rsidR="0011733D">
        <w:t>Op. 10/ii,</w:t>
      </w:r>
      <w:r>
        <w:t xml:space="preserve"> b</w:t>
      </w:r>
      <w:r w:rsidR="0011733D">
        <w:t>b</w:t>
      </w:r>
      <w:r>
        <w:t xml:space="preserve">. 5 &amp; 7, </w:t>
      </w:r>
      <w:r w:rsidR="0011733D">
        <w:t>Op. 10/v,</w:t>
      </w:r>
      <w:r>
        <w:t xml:space="preserve"> b. 10), and the xylophone and glockenspiel both up one octave (the traditional transposition in the case of the xylophone). </w:t>
      </w:r>
      <w:r w:rsidR="00550930">
        <w:t>Op. 10/v</w:t>
      </w:r>
      <w:r>
        <w:t xml:space="preserve"> provides the justification here: in bb. 8-9 they are doubled by the harp, bb. 16-17 the violins. </w:t>
      </w:r>
    </w:p>
    <w:p w14:paraId="41301589" w14:textId="6183EA71" w:rsidR="00563DB8" w:rsidRDefault="00563DB8" w:rsidP="006A7191">
      <w:r>
        <w:t xml:space="preserve">In Op. 13 I have maintained the same transpositions as Op. 10. There are at least three clues in the celesta part that point towards this: </w:t>
      </w:r>
      <w:r w:rsidR="004E2F55">
        <w:t>Op. 13/</w:t>
      </w:r>
      <w:proofErr w:type="spellStart"/>
      <w:r w:rsidR="004E2F55">
        <w:t>i</w:t>
      </w:r>
      <w:proofErr w:type="spellEnd"/>
      <w:r w:rsidR="004E2F55">
        <w:t>,</w:t>
      </w:r>
      <w:r>
        <w:t xml:space="preserve"> b. 17, </w:t>
      </w:r>
      <w:r w:rsidR="004E2F55">
        <w:t>Op. 13/ii</w:t>
      </w:r>
      <w:r w:rsidR="00897A3F">
        <w:t>,</w:t>
      </w:r>
      <w:r>
        <w:t xml:space="preserve"> bb. 21-22 </w:t>
      </w:r>
      <w:r w:rsidR="00897A3F">
        <w:t>&amp;</w:t>
      </w:r>
      <w:r>
        <w:t xml:space="preserve"> 24-25. In the first case this is a matter of doubling, in the second and third, to match the surrounding texture. For the glockenspiel, </w:t>
      </w:r>
      <w:r w:rsidR="00B95CF7">
        <w:t>Op. 13/</w:t>
      </w:r>
      <w:proofErr w:type="spellStart"/>
      <w:r w:rsidR="00B95CF7">
        <w:t>i</w:t>
      </w:r>
      <w:proofErr w:type="spellEnd"/>
      <w:r w:rsidR="00B95CF7">
        <w:t>,</w:t>
      </w:r>
      <w:r>
        <w:t xml:space="preserve"> b. 17 suggests a single octave transposition, though </w:t>
      </w:r>
      <w:r w:rsidR="00B95CF7">
        <w:t>Op. 13/ii</w:t>
      </w:r>
      <w:r>
        <w:t xml:space="preserve"> presents a contradiction, as bb. 24-25 and 28 double the violin at different octaves, so a transposition of either one or two octaves would result in one of these passages doubling at the octave rather than the unison.</w:t>
      </w:r>
    </w:p>
    <w:p w14:paraId="6CB6F6EB" w14:textId="77777777" w:rsidR="00563DB8" w:rsidRDefault="00563DB8" w:rsidP="006A7191">
      <w:r>
        <w:t>Finally, despite the lack of clarifying markings, in Opp. 26 &amp; 29 I have read the celesta and glockenspiel at pitch, matching the other instruments discussed above, and supported by some examples (e.g. Op. 26 bb. 12-13).</w:t>
      </w:r>
    </w:p>
    <w:p w14:paraId="422B8085" w14:textId="558B1D59" w:rsidR="00563DB8" w:rsidRPr="00257A91" w:rsidRDefault="00563DB8" w:rsidP="006A7191">
      <w:r>
        <w:t xml:space="preserve">Returning to the glockenspiel in Op. 6, the situation is far from clear. Traditionally the glockenspiel transposes up two octaves, but to maintain consistency with Opp. 10 and 13, in this piece I read it as transposing by one octave. Counter to this, two examples suggest that an argument could be made to read it at concert pitch: </w:t>
      </w:r>
      <w:r w:rsidR="00D109B4">
        <w:t>Op. 6/iii,</w:t>
      </w:r>
      <w:r>
        <w:t xml:space="preserve"> bb. 5-6, and </w:t>
      </w:r>
      <w:r w:rsidR="00D109B4">
        <w:t>Op. 6/v,</w:t>
      </w:r>
      <w:r>
        <w:t xml:space="preserve"> bb. 19-21. In the former case, transposing would create contrapuntal parallel octaves; in the latter, consulting the earlier 1909 score shows the glockenspiel (written) doubling the trumpet exactly. In the latter case the removal of the trumpet removes this melodic octave doubling; in the former, this is perhaps the exception that proves the rule. </w:t>
      </w:r>
    </w:p>
    <w:p w14:paraId="19EE3E91" w14:textId="36A55B49" w:rsidR="00563DB8" w:rsidRDefault="00563DB8" w:rsidP="006A7191">
      <w:r>
        <w:t>Many of these decisions are speculative. They rely on an assumption about Webern’s practice (</w:t>
      </w:r>
      <w:r w:rsidR="00191825">
        <w:t xml:space="preserve">e.g. </w:t>
      </w:r>
      <w:r>
        <w:t>that he disliked octave doublings) that is largely inferred from an intuitive knowledge of his music and style. Nonetheless, there is enough evidence to suggest that he consistently notated the celesta, xylophone, and glockenspiel each sounding an octave higher than written, until the final four orchestral works, all written at sounding pitch.</w:t>
      </w:r>
    </w:p>
    <w:p w14:paraId="63E308C1" w14:textId="621FAC8E" w:rsidR="00563DB8" w:rsidRDefault="00563DB8" w:rsidP="006A7191">
      <w:r>
        <w:t xml:space="preserve">The final matter to mention here is a peculiar quirk of the Sibelius-XML-music21 chain which, although easy to miss, wreaks havoc if unattended. The matter in question is full-bar rests. In Sibelius, </w:t>
      </w:r>
      <w:r>
        <w:lastRenderedPageBreak/>
        <w:t>as is notational convention, irrespective of time signature these are denoted with a semibreve-shaped rest, located in the middle of the bar. In exporting a file to XML, these are therefore defined as ‘whole’ rests. When importing these into music21, however, these ‘whole’ rests are understood to be ‘whole-note’ rests, with a duration of four crotchets. As such, any part with such a bar in a time signature with fewer than four crotchet beats suddenly gains extra silent beats at the end of the bar. Not only does this extend the duration of the given work and introduce all sorts of unintended silences, but it often misaligns the parts (</w:t>
      </w:r>
      <w:proofErr w:type="gramStart"/>
      <w:r w:rsidR="00EF457E">
        <w:t>e.g.</w:t>
      </w:r>
      <w:proofErr w:type="gramEnd"/>
      <w:r w:rsidR="00EF457E">
        <w:t xml:space="preserve"> </w:t>
      </w:r>
      <w:r w:rsidR="005B4281">
        <w:fldChar w:fldCharType="begin"/>
      </w:r>
      <w:r w:rsidR="005B4281">
        <w:instrText xml:space="preserve"> REF _Ref37429343 \h </w:instrText>
      </w:r>
      <w:r w:rsidR="005B4281">
        <w:fldChar w:fldCharType="separate"/>
      </w:r>
      <w:r w:rsidR="008B0E61">
        <w:t xml:space="preserve">Example </w:t>
      </w:r>
      <w:r w:rsidR="008B0E61">
        <w:rPr>
          <w:noProof/>
        </w:rPr>
        <w:t>7</w:t>
      </w:r>
      <w:r w:rsidR="005B4281">
        <w:fldChar w:fldCharType="end"/>
      </w:r>
      <w:r>
        <w:t>). My solution to this was to replace full-bar rests with rests of the correct duration, a crude and time-consuming response, but an effective one.</w:t>
      </w:r>
    </w:p>
    <w:p w14:paraId="5E716A66" w14:textId="77777777" w:rsidR="00A92F4D" w:rsidRDefault="00A92F4D" w:rsidP="006A7191">
      <w:r>
        <w:rPr>
          <w:noProof/>
        </w:rPr>
        <w:drawing>
          <wp:inline distT="0" distB="0" distL="0" distR="0" wp14:anchorId="1AE6E9AD" wp14:editId="279F4686">
            <wp:extent cx="4521200" cy="1092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p. 29 e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21200" cy="1092200"/>
                    </a:xfrm>
                    <a:prstGeom prst="rect">
                      <a:avLst/>
                    </a:prstGeom>
                  </pic:spPr>
                </pic:pic>
              </a:graphicData>
            </a:graphic>
          </wp:inline>
        </w:drawing>
      </w:r>
    </w:p>
    <w:p w14:paraId="364A60D4" w14:textId="246150C2" w:rsidR="00A92F4D" w:rsidRDefault="00A92F4D" w:rsidP="006A7191">
      <w:pPr>
        <w:pStyle w:val="Caption"/>
      </w:pPr>
      <w:bookmarkStart w:id="2" w:name="_Ref37429343"/>
      <w:r>
        <w:t xml:space="preserve">Example </w:t>
      </w:r>
      <w:r w:rsidR="00495520">
        <w:fldChar w:fldCharType="begin"/>
      </w:r>
      <w:r w:rsidR="00495520">
        <w:instrText xml:space="preserve"> SEQ Example \* ARABIC </w:instrText>
      </w:r>
      <w:r w:rsidR="00495520">
        <w:fldChar w:fldCharType="separate"/>
      </w:r>
      <w:r>
        <w:rPr>
          <w:noProof/>
        </w:rPr>
        <w:t>7</w:t>
      </w:r>
      <w:r w:rsidR="00495520">
        <w:rPr>
          <w:noProof/>
        </w:rPr>
        <w:fldChar w:fldCharType="end"/>
      </w:r>
      <w:bookmarkEnd w:id="2"/>
      <w:r>
        <w:t>: Op. 29/</w:t>
      </w:r>
      <w:proofErr w:type="spellStart"/>
      <w:r>
        <w:t>i</w:t>
      </w:r>
      <w:proofErr w:type="spellEnd"/>
      <w:r>
        <w:t>, bb. 1-2, chordified, with problems</w:t>
      </w:r>
    </w:p>
    <w:p w14:paraId="17D3CA47" w14:textId="53E94008" w:rsidR="00563DB8" w:rsidRPr="00322812" w:rsidRDefault="00563DB8" w:rsidP="006A7191">
      <w:r>
        <w:t>Many of these editorial decisions rest on my personal understanding of Webern’s music. Whilst I have tried to hew as closely as possible to the realities of the score, in certain cases interpretation and inference play an important part, particularly in realising these scores as proxies for sounding realities. It is fully possible that other scholars would interpret some of these features in other ways; in many cases there are no definitive interpretations, and so I have opted for those interventions that I think make most sense in the context of the broader corpus.</w:t>
      </w:r>
    </w:p>
    <w:p w14:paraId="3788D18B" w14:textId="77777777" w:rsidR="0060187C" w:rsidRDefault="0060187C" w:rsidP="006A7191">
      <w:pPr>
        <w:rPr>
          <w:rFonts w:ascii="Big Caslon Medium" w:eastAsiaTheme="majorEastAsia" w:hAnsi="Big Caslon Medium" w:cstheme="majorBidi"/>
          <w:sz w:val="26"/>
          <w:szCs w:val="26"/>
        </w:rPr>
      </w:pPr>
      <w:r>
        <w:br w:type="page"/>
      </w:r>
    </w:p>
    <w:p w14:paraId="26A4C678" w14:textId="3AED1D76" w:rsidR="00B8243B" w:rsidRDefault="00B8243B" w:rsidP="00B8243B">
      <w:pPr>
        <w:pStyle w:val="Heading2"/>
      </w:pPr>
      <w:r>
        <w:lastRenderedPageBreak/>
        <w:t>Counting Parts</w:t>
      </w:r>
    </w:p>
    <w:p w14:paraId="3112A0C0" w14:textId="77777777" w:rsidR="00356D88" w:rsidRDefault="00B8243B" w:rsidP="00B8243B">
      <w:r>
        <w:t xml:space="preserve">Assessing the size of an ensemble is a more fraught exercise than it may at first appear. </w:t>
      </w:r>
      <w:r w:rsidR="005A0804">
        <w:t xml:space="preserve">The intention of the activity is to provide a </w:t>
      </w:r>
      <w:r w:rsidR="002D215F">
        <w:t xml:space="preserve">figure quantifying the size of an ensemble, </w:t>
      </w:r>
      <w:r w:rsidR="006928AD">
        <w:t xml:space="preserve">and therefore allow for investigation into </w:t>
      </w:r>
      <w:r w:rsidR="00092067">
        <w:t>what effect this variable might have. This is easy for the smaller ensembles: quartets</w:t>
      </w:r>
      <w:r w:rsidR="00E53A09">
        <w:t xml:space="preserve">, whether </w:t>
      </w:r>
      <w:r w:rsidR="00092067">
        <w:t>string or other</w:t>
      </w:r>
      <w:r w:rsidR="00E53A09">
        <w:t xml:space="preserve"> (e.g. Op. 5, Op. </w:t>
      </w:r>
      <w:r w:rsidR="00301F4C">
        <w:t>22)</w:t>
      </w:r>
      <w:r w:rsidR="00E53A09">
        <w:t>;</w:t>
      </w:r>
      <w:r w:rsidR="00092067">
        <w:t xml:space="preserve"> </w:t>
      </w:r>
      <w:r w:rsidR="008D5F4C">
        <w:t>chorus</w:t>
      </w:r>
      <w:r w:rsidR="00301F4C">
        <w:t xml:space="preserve"> (e.g. Op. 2); etc. For larger ensembles, particularly orchestras, this is rather more difficult. </w:t>
      </w:r>
    </w:p>
    <w:p w14:paraId="7259A626" w14:textId="3058A954" w:rsidR="00C36C72" w:rsidRDefault="002E67C8" w:rsidP="00B8243B">
      <w:r>
        <w:t>One option would be to use categorical values</w:t>
      </w:r>
      <w:r w:rsidR="00CD01C8">
        <w:t xml:space="preserve">, for example: </w:t>
      </w:r>
      <w:r w:rsidR="00AF3BE9">
        <w:t xml:space="preserve">1 for solo music; 2 for two-part music; 3 for </w:t>
      </w:r>
      <w:r w:rsidR="00CD01C8">
        <w:t>chamber music; 4 for medium</w:t>
      </w:r>
      <w:r w:rsidR="00D51AA0">
        <w:t>-</w:t>
      </w:r>
      <w:r w:rsidR="00CD01C8">
        <w:t xml:space="preserve">sized ensembles; 5 for orchestral music. </w:t>
      </w:r>
      <w:r w:rsidR="008F0927">
        <w:t xml:space="preserve">This is comparatively easy to adjudicate, but rather crude, </w:t>
      </w:r>
      <w:r w:rsidR="00BB6841">
        <w:t xml:space="preserve">and particularly in </w:t>
      </w:r>
      <w:r w:rsidR="00D51AA0">
        <w:t xml:space="preserve">movement-level analysis, </w:t>
      </w:r>
      <w:r w:rsidR="00356D88">
        <w:t xml:space="preserve">misses a lot of detail. </w:t>
      </w:r>
      <w:r w:rsidR="009B4B74">
        <w:t xml:space="preserve">It seems </w:t>
      </w:r>
      <w:r w:rsidR="00356D88">
        <w:t>flawed</w:t>
      </w:r>
      <w:r w:rsidR="009B4B74">
        <w:t xml:space="preserve"> to </w:t>
      </w:r>
      <w:r w:rsidR="008B4AF8">
        <w:t>describe</w:t>
      </w:r>
      <w:r w:rsidR="000D6424">
        <w:t xml:space="preserve">, for example, Op. 31/ii </w:t>
      </w:r>
      <w:r w:rsidR="00E971AC">
        <w:t xml:space="preserve">as using the same ensemble as Op. 31/iii: the first deploys only a single vocal soloist </w:t>
      </w:r>
      <w:r w:rsidR="00051649">
        <w:t>alongside</w:t>
      </w:r>
      <w:r w:rsidR="00E971AC">
        <w:t xml:space="preserve"> a fairly light </w:t>
      </w:r>
      <w:r w:rsidR="00051649">
        <w:t xml:space="preserve">ensemble consisting of </w:t>
      </w:r>
      <w:r w:rsidR="0002435F">
        <w:t>9 individual players; the second an SSA chorus</w:t>
      </w:r>
      <w:r w:rsidR="0080240C">
        <w:t xml:space="preserve"> as well as a soprano soloist</w:t>
      </w:r>
      <w:r w:rsidR="0002435F">
        <w:t xml:space="preserve"> </w:t>
      </w:r>
      <w:r w:rsidR="00DD163E">
        <w:t>with four full string parts and numerous wind and brass.</w:t>
      </w:r>
      <w:r w:rsidR="00C36C72">
        <w:t xml:space="preserve"> The same issue would occur if the number of parts used in the complete piece </w:t>
      </w:r>
      <w:r w:rsidR="00554CF0">
        <w:t xml:space="preserve">were deployed (i.e. the number of parts presented in the instrumentation list): though this would be more detailed than a simple categorical </w:t>
      </w:r>
      <w:r w:rsidR="00CC7790">
        <w:t xml:space="preserve">characterisation, </w:t>
      </w:r>
      <w:r w:rsidR="002A2218">
        <w:t xml:space="preserve">it still misses out on movement-to-movement </w:t>
      </w:r>
      <w:r w:rsidR="00A14D32">
        <w:t>changes.</w:t>
      </w:r>
    </w:p>
    <w:p w14:paraId="6F6E5833" w14:textId="311B4BBA" w:rsidR="009904C7" w:rsidRDefault="00D700C2" w:rsidP="00B8243B">
      <w:r>
        <w:t xml:space="preserve">As a result, </w:t>
      </w:r>
      <w:r w:rsidR="002619AB">
        <w:t xml:space="preserve">my solution has been to count the number of parts deployed </w:t>
      </w:r>
      <w:r w:rsidR="001910EF">
        <w:t>in each movement</w:t>
      </w:r>
      <w:r w:rsidR="009904C7">
        <w:t>, though</w:t>
      </w:r>
      <w:r w:rsidR="001910EF">
        <w:t xml:space="preserve"> </w:t>
      </w:r>
      <w:r w:rsidR="009904C7">
        <w:t>t</w:t>
      </w:r>
      <w:r w:rsidR="001910EF">
        <w:t xml:space="preserve">his is hardly </w:t>
      </w:r>
      <w:r w:rsidR="0067759C">
        <w:t xml:space="preserve">free of </w:t>
      </w:r>
      <w:r w:rsidR="009904C7">
        <w:t xml:space="preserve">controversy. It immediately sparks the question: what constitutes a part? </w:t>
      </w:r>
      <w:r w:rsidR="002A51DF">
        <w:t xml:space="preserve">The following </w:t>
      </w:r>
      <w:r w:rsidR="00F839AC">
        <w:t xml:space="preserve">survey will try to answer some of the most significant questions, but it is important to acknowledge that, </w:t>
      </w:r>
      <w:r w:rsidR="00B66D2D">
        <w:t xml:space="preserve">as with the editorial policy above, </w:t>
      </w:r>
      <w:r w:rsidR="002A68F4">
        <w:t xml:space="preserve">several of these are no more than subjective judgements. In the final analysis, </w:t>
      </w:r>
      <w:r w:rsidR="00453C95">
        <w:t xml:space="preserve">I seek not to provide an </w:t>
      </w:r>
      <w:r w:rsidR="009140F6">
        <w:t>incontestable</w:t>
      </w:r>
      <w:r w:rsidR="00197F5A">
        <w:t xml:space="preserve"> answer, but rather a helpful metric which I could deploy in my work.</w:t>
      </w:r>
    </w:p>
    <w:p w14:paraId="3B52A67C" w14:textId="77777777" w:rsidR="005A4E37" w:rsidRDefault="00197F5A" w:rsidP="00B8243B">
      <w:r>
        <w:t xml:space="preserve">I have conceived of a part in its basic form as an instrumental </w:t>
      </w:r>
      <w:r w:rsidR="00BA1806">
        <w:t>part</w:t>
      </w:r>
      <w:r>
        <w:t>.</w:t>
      </w:r>
      <w:r w:rsidR="00CE7824">
        <w:t xml:space="preserve"> For each movement, I have counted</w:t>
      </w:r>
      <w:r>
        <w:t xml:space="preserve"> </w:t>
      </w:r>
      <w:r w:rsidR="00CE7824">
        <w:t xml:space="preserve">the total number of such parts deployed across the </w:t>
      </w:r>
      <w:r w:rsidR="00EE6F98">
        <w:t xml:space="preserve">movement. This figure therefore takes account both of the number of instruments playing, </w:t>
      </w:r>
      <w:r w:rsidR="004B3144">
        <w:t xml:space="preserve">but as a corollary of this, the timbral variety. </w:t>
      </w:r>
      <w:r w:rsidR="00BA1806">
        <w:t xml:space="preserve">This </w:t>
      </w:r>
      <w:r w:rsidR="004B3144">
        <w:t xml:space="preserve">means that octave or unison doubling between parts is treated as </w:t>
      </w:r>
      <w:r w:rsidR="00BD328F">
        <w:t xml:space="preserve">producing multiple parts, rather than being reducible to one </w:t>
      </w:r>
      <w:r w:rsidR="00F33B07">
        <w:t xml:space="preserve">contrapuntal voice (as, in strictly harmonic terms, it is). </w:t>
      </w:r>
      <w:r w:rsidR="005F4353">
        <w:t xml:space="preserve">Likewise, if a wind player switches to an auxiliary instrument, this is counted as two parts due to the timbral differentiation, even though the two are never played concurrently and, from the perspective of the player, it is essentially one part. </w:t>
      </w:r>
    </w:p>
    <w:p w14:paraId="3150CBB9" w14:textId="2C5394C8" w:rsidR="00197F5A" w:rsidRDefault="005A4E37" w:rsidP="00B8243B">
      <w:r>
        <w:t xml:space="preserve">So far, these positions, if open to challenge, are at least fairly straightforward. </w:t>
      </w:r>
      <w:r w:rsidR="003A699B">
        <w:t>String divisi</w:t>
      </w:r>
      <w:r>
        <w:t>, by contrast,</w:t>
      </w:r>
      <w:r w:rsidR="003A699B">
        <w:t xml:space="preserve"> is rather more complicated: </w:t>
      </w:r>
      <w:r w:rsidR="003755E0">
        <w:t xml:space="preserve">sometimes the parts divide into two clearly contrapuntal lines, </w:t>
      </w:r>
      <w:r w:rsidR="003A0811">
        <w:t xml:space="preserve">in which case they are counted as two lines, but sadly this is certainly not always the case. </w:t>
      </w:r>
      <w:r w:rsidR="002336F0">
        <w:t>Where they divide into two lines that are</w:t>
      </w:r>
      <w:r w:rsidR="00783ED1">
        <w:t xml:space="preserve"> rhythmically identical and merely playing in parallel at some interval</w:t>
      </w:r>
      <w:r w:rsidR="002336F0">
        <w:t xml:space="preserve"> </w:t>
      </w:r>
      <w:r w:rsidR="00305E88">
        <w:t>(e.g. Op. 1 bb. 25-32 Violin I</w:t>
      </w:r>
      <w:r w:rsidR="00783ED1">
        <w:t xml:space="preserve"> at the octave; Op. 6/v bb. 1-5 Viola &amp; Cello</w:t>
      </w:r>
      <w:r w:rsidR="00305E88">
        <w:t>) this is counted as one voice</w:t>
      </w:r>
      <w:r w:rsidR="00783ED1">
        <w:t>.</w:t>
      </w:r>
      <w:r w:rsidR="00305E88">
        <w:t xml:space="preserve"> </w:t>
      </w:r>
      <w:r w:rsidR="00783ED1">
        <w:t>W</w:t>
      </w:r>
      <w:r w:rsidR="00102BA5">
        <w:t xml:space="preserve">hilst this may seem to contradict with the earlier policy, </w:t>
      </w:r>
      <w:r w:rsidR="001541E9">
        <w:t xml:space="preserve">in the case of one instrument, </w:t>
      </w:r>
      <w:r w:rsidR="009135D6">
        <w:t xml:space="preserve">as here, </w:t>
      </w:r>
      <w:r w:rsidR="00C63467">
        <w:t>it seems excessive to count this as two individual lines.</w:t>
      </w:r>
      <w:r w:rsidR="00783ED1">
        <w:t xml:space="preserve"> This is certainly </w:t>
      </w:r>
      <w:r w:rsidR="00903A95">
        <w:t xml:space="preserve">a questionable decision, </w:t>
      </w:r>
      <w:r w:rsidR="007D6265">
        <w:t xml:space="preserve">but in these cases </w:t>
      </w:r>
      <w:r w:rsidR="00D772B1">
        <w:t>the division does not seem contrapuntally significant enough to qualify as creating a new voice.</w:t>
      </w:r>
      <w:r w:rsidR="00DC3150">
        <w:t xml:space="preserve"> As for solo </w:t>
      </w:r>
      <w:r w:rsidR="00F54F1C">
        <w:t>string parts</w:t>
      </w:r>
      <w:r w:rsidR="00DC3150">
        <w:t xml:space="preserve">, if they </w:t>
      </w:r>
      <w:r w:rsidR="00640843">
        <w:t xml:space="preserve">occur at the same time as the rest of the </w:t>
      </w:r>
      <w:r w:rsidR="00F54F1C">
        <w:t>same string part</w:t>
      </w:r>
      <w:r w:rsidR="00640843">
        <w:t xml:space="preserve"> they are treated as </w:t>
      </w:r>
      <w:r w:rsidR="00F54F1C">
        <w:t>an independent line, otherwise they are deemed to be part of the same part.</w:t>
      </w:r>
      <w:r w:rsidR="00D772B1">
        <w:t xml:space="preserve"> On the whole, these</w:t>
      </w:r>
      <w:r w:rsidR="0080763C">
        <w:t xml:space="preserve"> policies have erred on the side of undercounting, or at least condensing, string voices: one could count every individual manifestation as a separate voice, </w:t>
      </w:r>
      <w:r w:rsidR="00CA7F1B">
        <w:t>but this would then describe Op. 1 as having</w:t>
      </w:r>
      <w:r w:rsidR="0080763C">
        <w:t xml:space="preserve"> </w:t>
      </w:r>
      <w:r w:rsidR="00DC6402">
        <w:t xml:space="preserve">20 different string parts, which seems exaggerated. </w:t>
      </w:r>
      <w:r w:rsidR="001C32D8">
        <w:t xml:space="preserve">Conversely, </w:t>
      </w:r>
      <w:r w:rsidR="00EA469E">
        <w:t>one could forgo divisi altogether</w:t>
      </w:r>
      <w:r w:rsidR="00C20E0F">
        <w:t xml:space="preserve">, but then Op. 30 would have the same number of string parts as Op. 1; </w:t>
      </w:r>
      <w:r w:rsidR="001A17F1">
        <w:t xml:space="preserve">logistically this might be true, </w:t>
      </w:r>
      <w:r w:rsidR="0059345D">
        <w:t xml:space="preserve">but as a representation of the ensemble </w:t>
      </w:r>
      <w:r w:rsidR="001935C2">
        <w:t>this seems flawed.</w:t>
      </w:r>
    </w:p>
    <w:p w14:paraId="56A0D242" w14:textId="54D0F8B1" w:rsidR="005220AB" w:rsidRPr="00970034" w:rsidRDefault="00A47559" w:rsidP="006A7191">
      <w:r>
        <w:t>The final matter for clarification regards the piano</w:t>
      </w:r>
      <w:r w:rsidR="00B926D0">
        <w:t>, which</w:t>
      </w:r>
      <w:r>
        <w:t xml:space="preserve"> has consistently been counted as 1 part. This is inevitably highly reductive given </w:t>
      </w:r>
      <w:r w:rsidR="004817F0">
        <w:t>its</w:t>
      </w:r>
      <w:r>
        <w:t xml:space="preserve"> contrapuntal potential: </w:t>
      </w:r>
      <w:r w:rsidR="00057F50">
        <w:t xml:space="preserve">arguing that Op. 7/ii has the same number of parts as </w:t>
      </w:r>
      <w:r w:rsidR="00667040">
        <w:t xml:space="preserve">Op. 25/iii whilst obviously true also seems </w:t>
      </w:r>
      <w:r w:rsidR="00D61091">
        <w:t xml:space="preserve">to </w:t>
      </w:r>
      <w:r w:rsidR="002403A4">
        <w:t>misrepresent</w:t>
      </w:r>
      <w:r w:rsidR="00D61091">
        <w:t xml:space="preserve"> the sounding reality of the music</w:t>
      </w:r>
      <w:r w:rsidR="00A5563F">
        <w:t>, and yet attempting to quantify the ‘size’ of piano writing seems a flawed enterprise.</w:t>
      </w:r>
    </w:p>
    <w:sectPr w:rsidR="005220AB" w:rsidRPr="00970034" w:rsidSect="00782D0B">
      <w:headerReference w:type="default" r:id="rId11"/>
      <w:footerReference w:type="even" r:id="rId12"/>
      <w:footerReference w:type="default" r:id="rId13"/>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29912D" w14:textId="77777777" w:rsidR="00495520" w:rsidRDefault="00495520" w:rsidP="006A7191">
      <w:r>
        <w:separator/>
      </w:r>
    </w:p>
  </w:endnote>
  <w:endnote w:type="continuationSeparator" w:id="0">
    <w:p w14:paraId="76156A34" w14:textId="77777777" w:rsidR="00495520" w:rsidRDefault="00495520" w:rsidP="006A7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Baskerville">
    <w:altName w:val="﷽﷽﷽﷽﷽﷽﷽﷽lle"/>
    <w:panose1 w:val="02020502070401020303"/>
    <w:charset w:val="00"/>
    <w:family w:val="roman"/>
    <w:pitch w:val="variable"/>
    <w:sig w:usb0="80000067" w:usb1="02000000" w:usb2="00000000" w:usb3="00000000" w:csb0="0000019F" w:csb1="00000000"/>
  </w:font>
  <w:font w:name="Big Caslon Medium">
    <w:altName w:val="﷽﷽﷽﷽﷽﷽﷽﷽on Medium"/>
    <w:panose1 w:val="02000603090000020003"/>
    <w:charset w:val="B1"/>
    <w:family w:val="auto"/>
    <w:pitch w:val="variable"/>
    <w:sig w:usb0="80000863" w:usb1="00000000" w:usb2="00000000" w:usb3="00000000" w:csb0="000001FB" w:csb1="00000000"/>
  </w:font>
  <w:font w:name="Palatino">
    <w:altName w:val="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51807002"/>
      <w:docPartObj>
        <w:docPartGallery w:val="Page Numbers (Bottom of Page)"/>
        <w:docPartUnique/>
      </w:docPartObj>
    </w:sdtPr>
    <w:sdtEndPr>
      <w:rPr>
        <w:rStyle w:val="PageNumber"/>
      </w:rPr>
    </w:sdtEndPr>
    <w:sdtContent>
      <w:p w14:paraId="3C787DCC" w14:textId="77777777" w:rsidR="00521252" w:rsidRDefault="00521252" w:rsidP="006A719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7EC775" w14:textId="77777777" w:rsidR="00521252" w:rsidRDefault="00521252" w:rsidP="006A71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9824464"/>
      <w:docPartObj>
        <w:docPartGallery w:val="Page Numbers (Bottom of Page)"/>
        <w:docPartUnique/>
      </w:docPartObj>
    </w:sdtPr>
    <w:sdtEndPr>
      <w:rPr>
        <w:rStyle w:val="PageNumber"/>
      </w:rPr>
    </w:sdtEndPr>
    <w:sdtContent>
      <w:p w14:paraId="506BB27F" w14:textId="77777777" w:rsidR="00521252" w:rsidRDefault="00521252" w:rsidP="006A7191">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EAB9797" w14:textId="77777777" w:rsidR="00521252" w:rsidRDefault="00521252" w:rsidP="006A71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99DE8" w14:textId="77777777" w:rsidR="00495520" w:rsidRDefault="00495520" w:rsidP="006A7191">
      <w:r>
        <w:separator/>
      </w:r>
    </w:p>
  </w:footnote>
  <w:footnote w:type="continuationSeparator" w:id="0">
    <w:p w14:paraId="7FDA2729" w14:textId="77777777" w:rsidR="00495520" w:rsidRDefault="00495520" w:rsidP="006A71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59F00" w14:textId="74D372B1" w:rsidR="00521252" w:rsidRPr="000B6C8D" w:rsidRDefault="00521252" w:rsidP="006A7191">
    <w:pPr>
      <w:pStyle w:val="Header"/>
      <w:jc w:val="right"/>
      <w:rPr>
        <w:rFonts w:ascii="Big Caslon Medium" w:hAnsi="Big Caslon Medium" w:cs="Big Caslon Medium"/>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75C630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CDEB9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6661AA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8CA673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9847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DACCF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8824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F9663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50277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E6BE84"/>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A91"/>
    <w:rsid w:val="0000154A"/>
    <w:rsid w:val="00001AB3"/>
    <w:rsid w:val="000022D1"/>
    <w:rsid w:val="00002307"/>
    <w:rsid w:val="000026D0"/>
    <w:rsid w:val="00002F2F"/>
    <w:rsid w:val="00005272"/>
    <w:rsid w:val="00005CF8"/>
    <w:rsid w:val="000063F5"/>
    <w:rsid w:val="00006512"/>
    <w:rsid w:val="00006895"/>
    <w:rsid w:val="000069B6"/>
    <w:rsid w:val="00007A90"/>
    <w:rsid w:val="00007D96"/>
    <w:rsid w:val="00011998"/>
    <w:rsid w:val="00012F4D"/>
    <w:rsid w:val="00015997"/>
    <w:rsid w:val="00015C04"/>
    <w:rsid w:val="00016EC9"/>
    <w:rsid w:val="0001705B"/>
    <w:rsid w:val="0001780B"/>
    <w:rsid w:val="000202CC"/>
    <w:rsid w:val="000204A2"/>
    <w:rsid w:val="00020FB5"/>
    <w:rsid w:val="00021ED3"/>
    <w:rsid w:val="00023E06"/>
    <w:rsid w:val="0002435F"/>
    <w:rsid w:val="000246F3"/>
    <w:rsid w:val="00025E33"/>
    <w:rsid w:val="00026CA8"/>
    <w:rsid w:val="0003133B"/>
    <w:rsid w:val="0003195F"/>
    <w:rsid w:val="00032F79"/>
    <w:rsid w:val="00033E79"/>
    <w:rsid w:val="0003431F"/>
    <w:rsid w:val="00034B52"/>
    <w:rsid w:val="00036A8B"/>
    <w:rsid w:val="0004451F"/>
    <w:rsid w:val="00044AB9"/>
    <w:rsid w:val="0005032D"/>
    <w:rsid w:val="0005144D"/>
    <w:rsid w:val="00051649"/>
    <w:rsid w:val="0005184C"/>
    <w:rsid w:val="00051DCA"/>
    <w:rsid w:val="00053215"/>
    <w:rsid w:val="000549D0"/>
    <w:rsid w:val="000568AE"/>
    <w:rsid w:val="00057F50"/>
    <w:rsid w:val="000616B8"/>
    <w:rsid w:val="000616E9"/>
    <w:rsid w:val="00063048"/>
    <w:rsid w:val="000662B0"/>
    <w:rsid w:val="0007074A"/>
    <w:rsid w:val="00070970"/>
    <w:rsid w:val="00070ED2"/>
    <w:rsid w:val="00071C83"/>
    <w:rsid w:val="000727DE"/>
    <w:rsid w:val="000754A1"/>
    <w:rsid w:val="00075BE6"/>
    <w:rsid w:val="00077097"/>
    <w:rsid w:val="000779B2"/>
    <w:rsid w:val="00082249"/>
    <w:rsid w:val="000825CC"/>
    <w:rsid w:val="00082E47"/>
    <w:rsid w:val="00085068"/>
    <w:rsid w:val="00085EB0"/>
    <w:rsid w:val="00087EA8"/>
    <w:rsid w:val="000914B7"/>
    <w:rsid w:val="00092067"/>
    <w:rsid w:val="00092915"/>
    <w:rsid w:val="00093B2B"/>
    <w:rsid w:val="00094232"/>
    <w:rsid w:val="00094E2A"/>
    <w:rsid w:val="0009709B"/>
    <w:rsid w:val="000976D7"/>
    <w:rsid w:val="00097921"/>
    <w:rsid w:val="00097C9B"/>
    <w:rsid w:val="00097E2D"/>
    <w:rsid w:val="000A287F"/>
    <w:rsid w:val="000A2E0F"/>
    <w:rsid w:val="000A3C6F"/>
    <w:rsid w:val="000A495E"/>
    <w:rsid w:val="000A49A6"/>
    <w:rsid w:val="000A5DC7"/>
    <w:rsid w:val="000A6F02"/>
    <w:rsid w:val="000A745A"/>
    <w:rsid w:val="000A76CD"/>
    <w:rsid w:val="000B01F1"/>
    <w:rsid w:val="000B060A"/>
    <w:rsid w:val="000B0F94"/>
    <w:rsid w:val="000B1F4F"/>
    <w:rsid w:val="000B3337"/>
    <w:rsid w:val="000B6C8D"/>
    <w:rsid w:val="000C0083"/>
    <w:rsid w:val="000C01AC"/>
    <w:rsid w:val="000C2B94"/>
    <w:rsid w:val="000C2C5F"/>
    <w:rsid w:val="000C3346"/>
    <w:rsid w:val="000C422B"/>
    <w:rsid w:val="000D0F93"/>
    <w:rsid w:val="000D319B"/>
    <w:rsid w:val="000D3C1E"/>
    <w:rsid w:val="000D46C3"/>
    <w:rsid w:val="000D6424"/>
    <w:rsid w:val="000D6AEF"/>
    <w:rsid w:val="000E0AFF"/>
    <w:rsid w:val="000E0EA7"/>
    <w:rsid w:val="000E18FE"/>
    <w:rsid w:val="000E3708"/>
    <w:rsid w:val="000E3FD5"/>
    <w:rsid w:val="000E441D"/>
    <w:rsid w:val="000E5363"/>
    <w:rsid w:val="000E6BAA"/>
    <w:rsid w:val="000E6CCB"/>
    <w:rsid w:val="000F08E2"/>
    <w:rsid w:val="000F237C"/>
    <w:rsid w:val="000F3B31"/>
    <w:rsid w:val="000F3B63"/>
    <w:rsid w:val="000F43CC"/>
    <w:rsid w:val="000F70D3"/>
    <w:rsid w:val="00100D33"/>
    <w:rsid w:val="001026D7"/>
    <w:rsid w:val="001026D8"/>
    <w:rsid w:val="001027F7"/>
    <w:rsid w:val="00102BA5"/>
    <w:rsid w:val="00104B93"/>
    <w:rsid w:val="00104CF8"/>
    <w:rsid w:val="00105431"/>
    <w:rsid w:val="001060DE"/>
    <w:rsid w:val="001115AB"/>
    <w:rsid w:val="00112916"/>
    <w:rsid w:val="00112BCC"/>
    <w:rsid w:val="00113662"/>
    <w:rsid w:val="001141E0"/>
    <w:rsid w:val="001142DB"/>
    <w:rsid w:val="001144CC"/>
    <w:rsid w:val="001171DF"/>
    <w:rsid w:val="0011733D"/>
    <w:rsid w:val="00117A9A"/>
    <w:rsid w:val="00120691"/>
    <w:rsid w:val="00120BF1"/>
    <w:rsid w:val="00122CD0"/>
    <w:rsid w:val="00122EBE"/>
    <w:rsid w:val="001246BD"/>
    <w:rsid w:val="00124D4D"/>
    <w:rsid w:val="0012521F"/>
    <w:rsid w:val="00125ACC"/>
    <w:rsid w:val="00125C34"/>
    <w:rsid w:val="001269FE"/>
    <w:rsid w:val="0012714F"/>
    <w:rsid w:val="001278D8"/>
    <w:rsid w:val="00127B27"/>
    <w:rsid w:val="001346A9"/>
    <w:rsid w:val="00134A63"/>
    <w:rsid w:val="0013501D"/>
    <w:rsid w:val="00135D2C"/>
    <w:rsid w:val="00137EF2"/>
    <w:rsid w:val="0014046C"/>
    <w:rsid w:val="00142681"/>
    <w:rsid w:val="00142BF6"/>
    <w:rsid w:val="00143FEC"/>
    <w:rsid w:val="00143FED"/>
    <w:rsid w:val="001449BD"/>
    <w:rsid w:val="001469CA"/>
    <w:rsid w:val="00146EC1"/>
    <w:rsid w:val="00150389"/>
    <w:rsid w:val="001503D1"/>
    <w:rsid w:val="00151103"/>
    <w:rsid w:val="00151BAD"/>
    <w:rsid w:val="00152AC4"/>
    <w:rsid w:val="001530E1"/>
    <w:rsid w:val="001541E9"/>
    <w:rsid w:val="00154A52"/>
    <w:rsid w:val="00154FBE"/>
    <w:rsid w:val="001558DE"/>
    <w:rsid w:val="00162AA5"/>
    <w:rsid w:val="00162E2F"/>
    <w:rsid w:val="0016316C"/>
    <w:rsid w:val="001648E6"/>
    <w:rsid w:val="001669F7"/>
    <w:rsid w:val="00167040"/>
    <w:rsid w:val="001675C3"/>
    <w:rsid w:val="00171FAD"/>
    <w:rsid w:val="001721EE"/>
    <w:rsid w:val="00174B02"/>
    <w:rsid w:val="00175343"/>
    <w:rsid w:val="00176F58"/>
    <w:rsid w:val="001826BB"/>
    <w:rsid w:val="00184534"/>
    <w:rsid w:val="001854C0"/>
    <w:rsid w:val="00185F51"/>
    <w:rsid w:val="0018623C"/>
    <w:rsid w:val="00187192"/>
    <w:rsid w:val="0018769A"/>
    <w:rsid w:val="00187B0F"/>
    <w:rsid w:val="00187EB5"/>
    <w:rsid w:val="00191041"/>
    <w:rsid w:val="001910EF"/>
    <w:rsid w:val="00191825"/>
    <w:rsid w:val="00193360"/>
    <w:rsid w:val="001935C2"/>
    <w:rsid w:val="001957A3"/>
    <w:rsid w:val="00197BC4"/>
    <w:rsid w:val="00197EEE"/>
    <w:rsid w:val="00197F5A"/>
    <w:rsid w:val="001A17F1"/>
    <w:rsid w:val="001A25FA"/>
    <w:rsid w:val="001A6D7E"/>
    <w:rsid w:val="001A71D7"/>
    <w:rsid w:val="001B0E36"/>
    <w:rsid w:val="001B11DE"/>
    <w:rsid w:val="001B21A1"/>
    <w:rsid w:val="001B35CA"/>
    <w:rsid w:val="001C01DC"/>
    <w:rsid w:val="001C29AD"/>
    <w:rsid w:val="001C32D8"/>
    <w:rsid w:val="001C36DE"/>
    <w:rsid w:val="001C390E"/>
    <w:rsid w:val="001C3A80"/>
    <w:rsid w:val="001C5A94"/>
    <w:rsid w:val="001C5A9F"/>
    <w:rsid w:val="001C5C0D"/>
    <w:rsid w:val="001C7964"/>
    <w:rsid w:val="001D0121"/>
    <w:rsid w:val="001D0178"/>
    <w:rsid w:val="001D07C9"/>
    <w:rsid w:val="001D098F"/>
    <w:rsid w:val="001D37BA"/>
    <w:rsid w:val="001D44F3"/>
    <w:rsid w:val="001D62E7"/>
    <w:rsid w:val="001E0B11"/>
    <w:rsid w:val="001E226A"/>
    <w:rsid w:val="001E2659"/>
    <w:rsid w:val="001E30A8"/>
    <w:rsid w:val="001E46BD"/>
    <w:rsid w:val="001E4847"/>
    <w:rsid w:val="001E6310"/>
    <w:rsid w:val="001E6E18"/>
    <w:rsid w:val="001E7D93"/>
    <w:rsid w:val="001F1B42"/>
    <w:rsid w:val="001F2D32"/>
    <w:rsid w:val="001F3FD4"/>
    <w:rsid w:val="001F4402"/>
    <w:rsid w:val="001F512B"/>
    <w:rsid w:val="001F52B6"/>
    <w:rsid w:val="001F79F4"/>
    <w:rsid w:val="00201DC0"/>
    <w:rsid w:val="0020350D"/>
    <w:rsid w:val="002035D0"/>
    <w:rsid w:val="00205A7F"/>
    <w:rsid w:val="00205CBD"/>
    <w:rsid w:val="00205D15"/>
    <w:rsid w:val="00206A43"/>
    <w:rsid w:val="00206E62"/>
    <w:rsid w:val="002079EC"/>
    <w:rsid w:val="00210CD3"/>
    <w:rsid w:val="002117D3"/>
    <w:rsid w:val="0021271D"/>
    <w:rsid w:val="002141A2"/>
    <w:rsid w:val="00215C42"/>
    <w:rsid w:val="0021737F"/>
    <w:rsid w:val="0021772F"/>
    <w:rsid w:val="002211C6"/>
    <w:rsid w:val="00222098"/>
    <w:rsid w:val="0022223E"/>
    <w:rsid w:val="002227D5"/>
    <w:rsid w:val="00222BE9"/>
    <w:rsid w:val="002243CD"/>
    <w:rsid w:val="00224842"/>
    <w:rsid w:val="00226FEA"/>
    <w:rsid w:val="00227301"/>
    <w:rsid w:val="00227A2D"/>
    <w:rsid w:val="00227A43"/>
    <w:rsid w:val="00230235"/>
    <w:rsid w:val="002310F5"/>
    <w:rsid w:val="00231763"/>
    <w:rsid w:val="002324A0"/>
    <w:rsid w:val="00232AF4"/>
    <w:rsid w:val="002336F0"/>
    <w:rsid w:val="00234517"/>
    <w:rsid w:val="00234CB6"/>
    <w:rsid w:val="0023734B"/>
    <w:rsid w:val="0023759D"/>
    <w:rsid w:val="00237C73"/>
    <w:rsid w:val="002403A4"/>
    <w:rsid w:val="00241529"/>
    <w:rsid w:val="0024425A"/>
    <w:rsid w:val="00244B85"/>
    <w:rsid w:val="00244EE4"/>
    <w:rsid w:val="002453DF"/>
    <w:rsid w:val="00245965"/>
    <w:rsid w:val="002460BE"/>
    <w:rsid w:val="00247D15"/>
    <w:rsid w:val="0025055C"/>
    <w:rsid w:val="0025132F"/>
    <w:rsid w:val="00251F15"/>
    <w:rsid w:val="00252BC9"/>
    <w:rsid w:val="00253874"/>
    <w:rsid w:val="0025569F"/>
    <w:rsid w:val="00255AB4"/>
    <w:rsid w:val="00255F7B"/>
    <w:rsid w:val="002571F8"/>
    <w:rsid w:val="002611A3"/>
    <w:rsid w:val="002619AB"/>
    <w:rsid w:val="00267480"/>
    <w:rsid w:val="0027005A"/>
    <w:rsid w:val="00271A91"/>
    <w:rsid w:val="002725CE"/>
    <w:rsid w:val="00273ABE"/>
    <w:rsid w:val="002754F0"/>
    <w:rsid w:val="002757CC"/>
    <w:rsid w:val="002758E3"/>
    <w:rsid w:val="00276061"/>
    <w:rsid w:val="00277B3B"/>
    <w:rsid w:val="002820FF"/>
    <w:rsid w:val="002828D2"/>
    <w:rsid w:val="00285766"/>
    <w:rsid w:val="0028650C"/>
    <w:rsid w:val="00290B44"/>
    <w:rsid w:val="00291ACF"/>
    <w:rsid w:val="002947EC"/>
    <w:rsid w:val="00296825"/>
    <w:rsid w:val="00297102"/>
    <w:rsid w:val="002A03BF"/>
    <w:rsid w:val="002A080C"/>
    <w:rsid w:val="002A2218"/>
    <w:rsid w:val="002A36B6"/>
    <w:rsid w:val="002A51DF"/>
    <w:rsid w:val="002A68F4"/>
    <w:rsid w:val="002A7772"/>
    <w:rsid w:val="002B061E"/>
    <w:rsid w:val="002B49FD"/>
    <w:rsid w:val="002B50EA"/>
    <w:rsid w:val="002B5995"/>
    <w:rsid w:val="002B5B8E"/>
    <w:rsid w:val="002B5F0F"/>
    <w:rsid w:val="002B5F17"/>
    <w:rsid w:val="002B600C"/>
    <w:rsid w:val="002B6436"/>
    <w:rsid w:val="002B7A9E"/>
    <w:rsid w:val="002C00F9"/>
    <w:rsid w:val="002C1521"/>
    <w:rsid w:val="002C4A1F"/>
    <w:rsid w:val="002C6ED1"/>
    <w:rsid w:val="002D0545"/>
    <w:rsid w:val="002D0789"/>
    <w:rsid w:val="002D095D"/>
    <w:rsid w:val="002D0A8D"/>
    <w:rsid w:val="002D14C7"/>
    <w:rsid w:val="002D1889"/>
    <w:rsid w:val="002D215F"/>
    <w:rsid w:val="002D34A8"/>
    <w:rsid w:val="002D62E3"/>
    <w:rsid w:val="002D7864"/>
    <w:rsid w:val="002D7B14"/>
    <w:rsid w:val="002E0AE6"/>
    <w:rsid w:val="002E0CB0"/>
    <w:rsid w:val="002E2176"/>
    <w:rsid w:val="002E29E9"/>
    <w:rsid w:val="002E2B4C"/>
    <w:rsid w:val="002E3179"/>
    <w:rsid w:val="002E3AF8"/>
    <w:rsid w:val="002E41AC"/>
    <w:rsid w:val="002E5A74"/>
    <w:rsid w:val="002E67C8"/>
    <w:rsid w:val="002E77DD"/>
    <w:rsid w:val="002F02F4"/>
    <w:rsid w:val="002F2F7B"/>
    <w:rsid w:val="002F35B3"/>
    <w:rsid w:val="002F74CF"/>
    <w:rsid w:val="002F7DBF"/>
    <w:rsid w:val="00301406"/>
    <w:rsid w:val="003018A1"/>
    <w:rsid w:val="00301F4C"/>
    <w:rsid w:val="003024B5"/>
    <w:rsid w:val="00302E7F"/>
    <w:rsid w:val="00303664"/>
    <w:rsid w:val="0030587A"/>
    <w:rsid w:val="00305E88"/>
    <w:rsid w:val="0030613E"/>
    <w:rsid w:val="00306A22"/>
    <w:rsid w:val="0030726F"/>
    <w:rsid w:val="00311895"/>
    <w:rsid w:val="003119D6"/>
    <w:rsid w:val="00312DDE"/>
    <w:rsid w:val="00313C39"/>
    <w:rsid w:val="00314E25"/>
    <w:rsid w:val="003162C6"/>
    <w:rsid w:val="00320FC3"/>
    <w:rsid w:val="00322FED"/>
    <w:rsid w:val="00323343"/>
    <w:rsid w:val="00323C91"/>
    <w:rsid w:val="00331A07"/>
    <w:rsid w:val="00333EAC"/>
    <w:rsid w:val="00334137"/>
    <w:rsid w:val="00334E4D"/>
    <w:rsid w:val="00336EBA"/>
    <w:rsid w:val="003430E2"/>
    <w:rsid w:val="00343442"/>
    <w:rsid w:val="00344DAB"/>
    <w:rsid w:val="00345670"/>
    <w:rsid w:val="003471B1"/>
    <w:rsid w:val="00347E34"/>
    <w:rsid w:val="00350F4C"/>
    <w:rsid w:val="0035333C"/>
    <w:rsid w:val="0035384E"/>
    <w:rsid w:val="00354753"/>
    <w:rsid w:val="00354AB0"/>
    <w:rsid w:val="00355217"/>
    <w:rsid w:val="00355F97"/>
    <w:rsid w:val="00356D88"/>
    <w:rsid w:val="00357DC2"/>
    <w:rsid w:val="003614CA"/>
    <w:rsid w:val="00361CC2"/>
    <w:rsid w:val="00361E84"/>
    <w:rsid w:val="00362555"/>
    <w:rsid w:val="003628AC"/>
    <w:rsid w:val="003664CD"/>
    <w:rsid w:val="00372528"/>
    <w:rsid w:val="00372901"/>
    <w:rsid w:val="00373BB7"/>
    <w:rsid w:val="003755E0"/>
    <w:rsid w:val="00375D5B"/>
    <w:rsid w:val="00376615"/>
    <w:rsid w:val="00380987"/>
    <w:rsid w:val="00383130"/>
    <w:rsid w:val="00383223"/>
    <w:rsid w:val="003834C3"/>
    <w:rsid w:val="003836CF"/>
    <w:rsid w:val="00387281"/>
    <w:rsid w:val="00391E0E"/>
    <w:rsid w:val="00392F66"/>
    <w:rsid w:val="0039369C"/>
    <w:rsid w:val="00394D5B"/>
    <w:rsid w:val="003962DE"/>
    <w:rsid w:val="00396771"/>
    <w:rsid w:val="00396805"/>
    <w:rsid w:val="00396EEB"/>
    <w:rsid w:val="003971BC"/>
    <w:rsid w:val="003973F9"/>
    <w:rsid w:val="003A0602"/>
    <w:rsid w:val="003A0811"/>
    <w:rsid w:val="003A1353"/>
    <w:rsid w:val="003A2B6F"/>
    <w:rsid w:val="003A47A9"/>
    <w:rsid w:val="003A5078"/>
    <w:rsid w:val="003A56A1"/>
    <w:rsid w:val="003A67CC"/>
    <w:rsid w:val="003A67F7"/>
    <w:rsid w:val="003A699B"/>
    <w:rsid w:val="003B19BD"/>
    <w:rsid w:val="003B3684"/>
    <w:rsid w:val="003B410F"/>
    <w:rsid w:val="003B54A4"/>
    <w:rsid w:val="003B7439"/>
    <w:rsid w:val="003C00E6"/>
    <w:rsid w:val="003C04E1"/>
    <w:rsid w:val="003C0927"/>
    <w:rsid w:val="003C1458"/>
    <w:rsid w:val="003C2818"/>
    <w:rsid w:val="003C4762"/>
    <w:rsid w:val="003C4927"/>
    <w:rsid w:val="003D090A"/>
    <w:rsid w:val="003D1C72"/>
    <w:rsid w:val="003D2960"/>
    <w:rsid w:val="003D30BD"/>
    <w:rsid w:val="003D3289"/>
    <w:rsid w:val="003D3CAE"/>
    <w:rsid w:val="003D6B03"/>
    <w:rsid w:val="003D6D12"/>
    <w:rsid w:val="003D7E1C"/>
    <w:rsid w:val="003E2789"/>
    <w:rsid w:val="003E3037"/>
    <w:rsid w:val="003E463D"/>
    <w:rsid w:val="003E47E0"/>
    <w:rsid w:val="003E741F"/>
    <w:rsid w:val="003F10D1"/>
    <w:rsid w:val="003F1C6C"/>
    <w:rsid w:val="003F1F44"/>
    <w:rsid w:val="003F1FC4"/>
    <w:rsid w:val="003F2597"/>
    <w:rsid w:val="00402004"/>
    <w:rsid w:val="00402BA2"/>
    <w:rsid w:val="00403BC9"/>
    <w:rsid w:val="00403BFC"/>
    <w:rsid w:val="00403DB5"/>
    <w:rsid w:val="00403F19"/>
    <w:rsid w:val="00405398"/>
    <w:rsid w:val="00407330"/>
    <w:rsid w:val="0040737C"/>
    <w:rsid w:val="004078A9"/>
    <w:rsid w:val="00412493"/>
    <w:rsid w:val="004129A8"/>
    <w:rsid w:val="0041343D"/>
    <w:rsid w:val="004143A7"/>
    <w:rsid w:val="0041518A"/>
    <w:rsid w:val="00416A77"/>
    <w:rsid w:val="0041782D"/>
    <w:rsid w:val="0041786F"/>
    <w:rsid w:val="00417F73"/>
    <w:rsid w:val="00420903"/>
    <w:rsid w:val="00421685"/>
    <w:rsid w:val="0042215E"/>
    <w:rsid w:val="0042266A"/>
    <w:rsid w:val="00423BC4"/>
    <w:rsid w:val="00425DFC"/>
    <w:rsid w:val="00425F03"/>
    <w:rsid w:val="00426E82"/>
    <w:rsid w:val="00430379"/>
    <w:rsid w:val="00430C84"/>
    <w:rsid w:val="004324BF"/>
    <w:rsid w:val="00432977"/>
    <w:rsid w:val="00435B3A"/>
    <w:rsid w:val="00436963"/>
    <w:rsid w:val="00436C01"/>
    <w:rsid w:val="004379C6"/>
    <w:rsid w:val="00440DCD"/>
    <w:rsid w:val="004413AD"/>
    <w:rsid w:val="004426A6"/>
    <w:rsid w:val="00443061"/>
    <w:rsid w:val="00445C63"/>
    <w:rsid w:val="004467C2"/>
    <w:rsid w:val="00452CC9"/>
    <w:rsid w:val="00452E01"/>
    <w:rsid w:val="0045345B"/>
    <w:rsid w:val="00453C95"/>
    <w:rsid w:val="00454987"/>
    <w:rsid w:val="0045606A"/>
    <w:rsid w:val="00456795"/>
    <w:rsid w:val="00456BBA"/>
    <w:rsid w:val="0045708B"/>
    <w:rsid w:val="00457617"/>
    <w:rsid w:val="0046048B"/>
    <w:rsid w:val="00462535"/>
    <w:rsid w:val="0046496A"/>
    <w:rsid w:val="00465726"/>
    <w:rsid w:val="00470954"/>
    <w:rsid w:val="00471DF7"/>
    <w:rsid w:val="0047274B"/>
    <w:rsid w:val="00473585"/>
    <w:rsid w:val="0047536F"/>
    <w:rsid w:val="0047570E"/>
    <w:rsid w:val="004757BB"/>
    <w:rsid w:val="00475E4F"/>
    <w:rsid w:val="0047707F"/>
    <w:rsid w:val="00480788"/>
    <w:rsid w:val="004817F0"/>
    <w:rsid w:val="0048372B"/>
    <w:rsid w:val="00487595"/>
    <w:rsid w:val="004875D8"/>
    <w:rsid w:val="00487E1A"/>
    <w:rsid w:val="00490B54"/>
    <w:rsid w:val="004923F6"/>
    <w:rsid w:val="00492D92"/>
    <w:rsid w:val="004930E5"/>
    <w:rsid w:val="004946AC"/>
    <w:rsid w:val="00495504"/>
    <w:rsid w:val="00495520"/>
    <w:rsid w:val="00495B70"/>
    <w:rsid w:val="00496577"/>
    <w:rsid w:val="004A1463"/>
    <w:rsid w:val="004A330F"/>
    <w:rsid w:val="004A6CDB"/>
    <w:rsid w:val="004A7385"/>
    <w:rsid w:val="004B000F"/>
    <w:rsid w:val="004B14EF"/>
    <w:rsid w:val="004B1CA3"/>
    <w:rsid w:val="004B2A33"/>
    <w:rsid w:val="004B3144"/>
    <w:rsid w:val="004B3A2A"/>
    <w:rsid w:val="004B406B"/>
    <w:rsid w:val="004B47C0"/>
    <w:rsid w:val="004B558C"/>
    <w:rsid w:val="004B7B81"/>
    <w:rsid w:val="004C190A"/>
    <w:rsid w:val="004C198E"/>
    <w:rsid w:val="004C1FF4"/>
    <w:rsid w:val="004C2672"/>
    <w:rsid w:val="004C61C9"/>
    <w:rsid w:val="004C67D3"/>
    <w:rsid w:val="004D0025"/>
    <w:rsid w:val="004D0174"/>
    <w:rsid w:val="004D036F"/>
    <w:rsid w:val="004D1488"/>
    <w:rsid w:val="004D3EF5"/>
    <w:rsid w:val="004D444A"/>
    <w:rsid w:val="004D50F5"/>
    <w:rsid w:val="004D6368"/>
    <w:rsid w:val="004D6492"/>
    <w:rsid w:val="004E163C"/>
    <w:rsid w:val="004E247B"/>
    <w:rsid w:val="004E2F55"/>
    <w:rsid w:val="004E64D6"/>
    <w:rsid w:val="004E6D61"/>
    <w:rsid w:val="004F03B5"/>
    <w:rsid w:val="004F1F09"/>
    <w:rsid w:val="004F3CAF"/>
    <w:rsid w:val="004F458E"/>
    <w:rsid w:val="004F6813"/>
    <w:rsid w:val="004F76E4"/>
    <w:rsid w:val="004F7A63"/>
    <w:rsid w:val="00500768"/>
    <w:rsid w:val="0050285F"/>
    <w:rsid w:val="00502ECA"/>
    <w:rsid w:val="00503973"/>
    <w:rsid w:val="00503CF9"/>
    <w:rsid w:val="005060F4"/>
    <w:rsid w:val="005131B9"/>
    <w:rsid w:val="005142E2"/>
    <w:rsid w:val="0051457F"/>
    <w:rsid w:val="005145EE"/>
    <w:rsid w:val="005158AB"/>
    <w:rsid w:val="005158D2"/>
    <w:rsid w:val="00516ED9"/>
    <w:rsid w:val="00517E4E"/>
    <w:rsid w:val="00520DF7"/>
    <w:rsid w:val="00521252"/>
    <w:rsid w:val="005218BB"/>
    <w:rsid w:val="00521B6C"/>
    <w:rsid w:val="005220AB"/>
    <w:rsid w:val="00523402"/>
    <w:rsid w:val="00523447"/>
    <w:rsid w:val="00525ECD"/>
    <w:rsid w:val="00526D2E"/>
    <w:rsid w:val="00530588"/>
    <w:rsid w:val="00530AAD"/>
    <w:rsid w:val="00530C7B"/>
    <w:rsid w:val="005313BE"/>
    <w:rsid w:val="00533F18"/>
    <w:rsid w:val="005345E4"/>
    <w:rsid w:val="0053461C"/>
    <w:rsid w:val="005357B9"/>
    <w:rsid w:val="00535861"/>
    <w:rsid w:val="005359BA"/>
    <w:rsid w:val="0054315D"/>
    <w:rsid w:val="005442D7"/>
    <w:rsid w:val="0054598F"/>
    <w:rsid w:val="00546EED"/>
    <w:rsid w:val="00547D9E"/>
    <w:rsid w:val="00550819"/>
    <w:rsid w:val="00550930"/>
    <w:rsid w:val="00550A43"/>
    <w:rsid w:val="00552208"/>
    <w:rsid w:val="00553F78"/>
    <w:rsid w:val="00554002"/>
    <w:rsid w:val="00554CF0"/>
    <w:rsid w:val="00554F34"/>
    <w:rsid w:val="00556B18"/>
    <w:rsid w:val="0056236C"/>
    <w:rsid w:val="00562C66"/>
    <w:rsid w:val="00563A39"/>
    <w:rsid w:val="00563DB8"/>
    <w:rsid w:val="005656B9"/>
    <w:rsid w:val="005667DD"/>
    <w:rsid w:val="00566B6E"/>
    <w:rsid w:val="00566CBF"/>
    <w:rsid w:val="00566E8B"/>
    <w:rsid w:val="00567800"/>
    <w:rsid w:val="00567A52"/>
    <w:rsid w:val="00571D2D"/>
    <w:rsid w:val="0057200E"/>
    <w:rsid w:val="00572179"/>
    <w:rsid w:val="00573506"/>
    <w:rsid w:val="00573605"/>
    <w:rsid w:val="00573660"/>
    <w:rsid w:val="00573661"/>
    <w:rsid w:val="00573D51"/>
    <w:rsid w:val="00574309"/>
    <w:rsid w:val="00575B28"/>
    <w:rsid w:val="0057653B"/>
    <w:rsid w:val="005779FF"/>
    <w:rsid w:val="00577E9F"/>
    <w:rsid w:val="00577F37"/>
    <w:rsid w:val="00580458"/>
    <w:rsid w:val="005816E1"/>
    <w:rsid w:val="00581E8B"/>
    <w:rsid w:val="00583030"/>
    <w:rsid w:val="00583BAA"/>
    <w:rsid w:val="0058416D"/>
    <w:rsid w:val="00584707"/>
    <w:rsid w:val="00584E1D"/>
    <w:rsid w:val="0058747A"/>
    <w:rsid w:val="00590341"/>
    <w:rsid w:val="00590DAB"/>
    <w:rsid w:val="00591276"/>
    <w:rsid w:val="005917A9"/>
    <w:rsid w:val="005925D7"/>
    <w:rsid w:val="00592FAE"/>
    <w:rsid w:val="0059345D"/>
    <w:rsid w:val="005938BA"/>
    <w:rsid w:val="00595271"/>
    <w:rsid w:val="0059606A"/>
    <w:rsid w:val="0059680F"/>
    <w:rsid w:val="0059697B"/>
    <w:rsid w:val="005A059F"/>
    <w:rsid w:val="005A0607"/>
    <w:rsid w:val="005A0804"/>
    <w:rsid w:val="005A09A4"/>
    <w:rsid w:val="005A0EC3"/>
    <w:rsid w:val="005A1F00"/>
    <w:rsid w:val="005A4E37"/>
    <w:rsid w:val="005A65A5"/>
    <w:rsid w:val="005A6F41"/>
    <w:rsid w:val="005A7AC7"/>
    <w:rsid w:val="005B0409"/>
    <w:rsid w:val="005B21B9"/>
    <w:rsid w:val="005B3D38"/>
    <w:rsid w:val="005B4281"/>
    <w:rsid w:val="005B466F"/>
    <w:rsid w:val="005B5112"/>
    <w:rsid w:val="005B627D"/>
    <w:rsid w:val="005B64F7"/>
    <w:rsid w:val="005B7DF9"/>
    <w:rsid w:val="005B7E00"/>
    <w:rsid w:val="005C2FE0"/>
    <w:rsid w:val="005C59A2"/>
    <w:rsid w:val="005D0D0A"/>
    <w:rsid w:val="005D2880"/>
    <w:rsid w:val="005D45DF"/>
    <w:rsid w:val="005D52B2"/>
    <w:rsid w:val="005D5D4F"/>
    <w:rsid w:val="005D5E0F"/>
    <w:rsid w:val="005E13D8"/>
    <w:rsid w:val="005E301C"/>
    <w:rsid w:val="005E308B"/>
    <w:rsid w:val="005E322C"/>
    <w:rsid w:val="005E436E"/>
    <w:rsid w:val="005E781F"/>
    <w:rsid w:val="005F332C"/>
    <w:rsid w:val="005F3A7D"/>
    <w:rsid w:val="005F4353"/>
    <w:rsid w:val="005F6770"/>
    <w:rsid w:val="006000F7"/>
    <w:rsid w:val="006004FA"/>
    <w:rsid w:val="00601679"/>
    <w:rsid w:val="0060187C"/>
    <w:rsid w:val="00605944"/>
    <w:rsid w:val="006065EE"/>
    <w:rsid w:val="006067EE"/>
    <w:rsid w:val="00607537"/>
    <w:rsid w:val="00607647"/>
    <w:rsid w:val="00610501"/>
    <w:rsid w:val="0061095B"/>
    <w:rsid w:val="00613D04"/>
    <w:rsid w:val="00613F64"/>
    <w:rsid w:val="00616839"/>
    <w:rsid w:val="00616C23"/>
    <w:rsid w:val="006173CF"/>
    <w:rsid w:val="00617522"/>
    <w:rsid w:val="006202D0"/>
    <w:rsid w:val="0062048D"/>
    <w:rsid w:val="00620968"/>
    <w:rsid w:val="00622114"/>
    <w:rsid w:val="00622C33"/>
    <w:rsid w:val="00623ADE"/>
    <w:rsid w:val="006250F6"/>
    <w:rsid w:val="00626692"/>
    <w:rsid w:val="006269FB"/>
    <w:rsid w:val="00626BBF"/>
    <w:rsid w:val="00627EA4"/>
    <w:rsid w:val="0063123A"/>
    <w:rsid w:val="00632BD9"/>
    <w:rsid w:val="006341B4"/>
    <w:rsid w:val="006347B7"/>
    <w:rsid w:val="00635078"/>
    <w:rsid w:val="006352A5"/>
    <w:rsid w:val="00635993"/>
    <w:rsid w:val="00635D68"/>
    <w:rsid w:val="00636263"/>
    <w:rsid w:val="00637BC8"/>
    <w:rsid w:val="0064023B"/>
    <w:rsid w:val="00640843"/>
    <w:rsid w:val="00641465"/>
    <w:rsid w:val="0064156A"/>
    <w:rsid w:val="00647502"/>
    <w:rsid w:val="00647782"/>
    <w:rsid w:val="00650439"/>
    <w:rsid w:val="00650C4D"/>
    <w:rsid w:val="00651AA6"/>
    <w:rsid w:val="00652B95"/>
    <w:rsid w:val="00653FD1"/>
    <w:rsid w:val="00655B14"/>
    <w:rsid w:val="006568B9"/>
    <w:rsid w:val="006604A5"/>
    <w:rsid w:val="00660E1E"/>
    <w:rsid w:val="006615E9"/>
    <w:rsid w:val="00667040"/>
    <w:rsid w:val="00667F88"/>
    <w:rsid w:val="006702D8"/>
    <w:rsid w:val="00671048"/>
    <w:rsid w:val="006734BD"/>
    <w:rsid w:val="006735F9"/>
    <w:rsid w:val="00674880"/>
    <w:rsid w:val="006748D1"/>
    <w:rsid w:val="00676353"/>
    <w:rsid w:val="0067759C"/>
    <w:rsid w:val="00681E22"/>
    <w:rsid w:val="006829E4"/>
    <w:rsid w:val="00682A7F"/>
    <w:rsid w:val="00682BF3"/>
    <w:rsid w:val="00684453"/>
    <w:rsid w:val="00685171"/>
    <w:rsid w:val="0068615B"/>
    <w:rsid w:val="00686EDF"/>
    <w:rsid w:val="00687A8E"/>
    <w:rsid w:val="00690719"/>
    <w:rsid w:val="0069084D"/>
    <w:rsid w:val="006928AD"/>
    <w:rsid w:val="006933AE"/>
    <w:rsid w:val="00693BFB"/>
    <w:rsid w:val="006943B3"/>
    <w:rsid w:val="00694A7D"/>
    <w:rsid w:val="00694C62"/>
    <w:rsid w:val="00696A2C"/>
    <w:rsid w:val="00697AB0"/>
    <w:rsid w:val="00697C61"/>
    <w:rsid w:val="006A066F"/>
    <w:rsid w:val="006A0A88"/>
    <w:rsid w:val="006A0B3F"/>
    <w:rsid w:val="006A0F7B"/>
    <w:rsid w:val="006A5E9F"/>
    <w:rsid w:val="006A7191"/>
    <w:rsid w:val="006B2F1D"/>
    <w:rsid w:val="006B34CA"/>
    <w:rsid w:val="006B3E73"/>
    <w:rsid w:val="006B66F2"/>
    <w:rsid w:val="006B6AE8"/>
    <w:rsid w:val="006B6D72"/>
    <w:rsid w:val="006B746A"/>
    <w:rsid w:val="006B7ADC"/>
    <w:rsid w:val="006C1602"/>
    <w:rsid w:val="006C24EE"/>
    <w:rsid w:val="006C2A03"/>
    <w:rsid w:val="006C3975"/>
    <w:rsid w:val="006C4165"/>
    <w:rsid w:val="006C52F5"/>
    <w:rsid w:val="006C6053"/>
    <w:rsid w:val="006C66DC"/>
    <w:rsid w:val="006C6AF0"/>
    <w:rsid w:val="006C7DAD"/>
    <w:rsid w:val="006D01AD"/>
    <w:rsid w:val="006D3817"/>
    <w:rsid w:val="006D5E48"/>
    <w:rsid w:val="006D6C59"/>
    <w:rsid w:val="006D6E94"/>
    <w:rsid w:val="006E318D"/>
    <w:rsid w:val="006E3857"/>
    <w:rsid w:val="006E444E"/>
    <w:rsid w:val="006E6387"/>
    <w:rsid w:val="006F0697"/>
    <w:rsid w:val="006F2B4D"/>
    <w:rsid w:val="006F2E8D"/>
    <w:rsid w:val="006F4F2E"/>
    <w:rsid w:val="006F5FA2"/>
    <w:rsid w:val="006F680B"/>
    <w:rsid w:val="00701869"/>
    <w:rsid w:val="00701D94"/>
    <w:rsid w:val="00701E3B"/>
    <w:rsid w:val="00703B13"/>
    <w:rsid w:val="00705E5E"/>
    <w:rsid w:val="00706321"/>
    <w:rsid w:val="00706F26"/>
    <w:rsid w:val="007101E0"/>
    <w:rsid w:val="0071108D"/>
    <w:rsid w:val="00712356"/>
    <w:rsid w:val="00712587"/>
    <w:rsid w:val="00715302"/>
    <w:rsid w:val="00715DE7"/>
    <w:rsid w:val="007209C3"/>
    <w:rsid w:val="007226E5"/>
    <w:rsid w:val="00724C59"/>
    <w:rsid w:val="00725F7D"/>
    <w:rsid w:val="00730651"/>
    <w:rsid w:val="00733402"/>
    <w:rsid w:val="00736916"/>
    <w:rsid w:val="00737C27"/>
    <w:rsid w:val="00740444"/>
    <w:rsid w:val="00740EE4"/>
    <w:rsid w:val="00742EA6"/>
    <w:rsid w:val="00745033"/>
    <w:rsid w:val="00745ED1"/>
    <w:rsid w:val="00750366"/>
    <w:rsid w:val="007509A2"/>
    <w:rsid w:val="00750B54"/>
    <w:rsid w:val="007520DC"/>
    <w:rsid w:val="00753143"/>
    <w:rsid w:val="00753C67"/>
    <w:rsid w:val="00754970"/>
    <w:rsid w:val="00754998"/>
    <w:rsid w:val="00757D16"/>
    <w:rsid w:val="0076071F"/>
    <w:rsid w:val="0076100E"/>
    <w:rsid w:val="007610CB"/>
    <w:rsid w:val="0076278C"/>
    <w:rsid w:val="0076293B"/>
    <w:rsid w:val="00764164"/>
    <w:rsid w:val="007646D1"/>
    <w:rsid w:val="007659C2"/>
    <w:rsid w:val="00766254"/>
    <w:rsid w:val="00766464"/>
    <w:rsid w:val="00770B74"/>
    <w:rsid w:val="00771685"/>
    <w:rsid w:val="0077366D"/>
    <w:rsid w:val="007740B2"/>
    <w:rsid w:val="007744E1"/>
    <w:rsid w:val="007749D8"/>
    <w:rsid w:val="00775171"/>
    <w:rsid w:val="00776415"/>
    <w:rsid w:val="00780CD7"/>
    <w:rsid w:val="00782A04"/>
    <w:rsid w:val="00782D0B"/>
    <w:rsid w:val="00783ED1"/>
    <w:rsid w:val="00783F2D"/>
    <w:rsid w:val="00786BA5"/>
    <w:rsid w:val="007931D7"/>
    <w:rsid w:val="007967F7"/>
    <w:rsid w:val="00797204"/>
    <w:rsid w:val="007A345D"/>
    <w:rsid w:val="007A432C"/>
    <w:rsid w:val="007A5E05"/>
    <w:rsid w:val="007A7ED8"/>
    <w:rsid w:val="007B1A33"/>
    <w:rsid w:val="007B22FE"/>
    <w:rsid w:val="007B4C78"/>
    <w:rsid w:val="007C1829"/>
    <w:rsid w:val="007C39FC"/>
    <w:rsid w:val="007C3F2B"/>
    <w:rsid w:val="007C711B"/>
    <w:rsid w:val="007D219F"/>
    <w:rsid w:val="007D2846"/>
    <w:rsid w:val="007D3BC9"/>
    <w:rsid w:val="007D6265"/>
    <w:rsid w:val="007D7879"/>
    <w:rsid w:val="007E1632"/>
    <w:rsid w:val="007E186B"/>
    <w:rsid w:val="007E2519"/>
    <w:rsid w:val="007E2E4F"/>
    <w:rsid w:val="007E4675"/>
    <w:rsid w:val="007E57CA"/>
    <w:rsid w:val="007E5B45"/>
    <w:rsid w:val="007E61F3"/>
    <w:rsid w:val="007E62B7"/>
    <w:rsid w:val="007E6EAE"/>
    <w:rsid w:val="007E7909"/>
    <w:rsid w:val="007F3860"/>
    <w:rsid w:val="007F500E"/>
    <w:rsid w:val="007F7428"/>
    <w:rsid w:val="00801069"/>
    <w:rsid w:val="0080240C"/>
    <w:rsid w:val="00803008"/>
    <w:rsid w:val="00804BD5"/>
    <w:rsid w:val="0080558B"/>
    <w:rsid w:val="00805B2E"/>
    <w:rsid w:val="00806466"/>
    <w:rsid w:val="0080650C"/>
    <w:rsid w:val="008065AB"/>
    <w:rsid w:val="0080679B"/>
    <w:rsid w:val="008072CC"/>
    <w:rsid w:val="0080763C"/>
    <w:rsid w:val="008132AE"/>
    <w:rsid w:val="008138C4"/>
    <w:rsid w:val="00814C90"/>
    <w:rsid w:val="00816290"/>
    <w:rsid w:val="008177DD"/>
    <w:rsid w:val="008203FB"/>
    <w:rsid w:val="00821C52"/>
    <w:rsid w:val="008221C4"/>
    <w:rsid w:val="0082281A"/>
    <w:rsid w:val="00823C8A"/>
    <w:rsid w:val="00823F45"/>
    <w:rsid w:val="0082429C"/>
    <w:rsid w:val="00826ACA"/>
    <w:rsid w:val="00826D10"/>
    <w:rsid w:val="008272E9"/>
    <w:rsid w:val="00830D15"/>
    <w:rsid w:val="00831433"/>
    <w:rsid w:val="0084057A"/>
    <w:rsid w:val="0084132F"/>
    <w:rsid w:val="008437B3"/>
    <w:rsid w:val="00843F50"/>
    <w:rsid w:val="008445C7"/>
    <w:rsid w:val="00844A09"/>
    <w:rsid w:val="00845BD0"/>
    <w:rsid w:val="00845EE7"/>
    <w:rsid w:val="00847E57"/>
    <w:rsid w:val="008507B5"/>
    <w:rsid w:val="00851770"/>
    <w:rsid w:val="00854CC8"/>
    <w:rsid w:val="00854F6F"/>
    <w:rsid w:val="00855530"/>
    <w:rsid w:val="0085606D"/>
    <w:rsid w:val="00856974"/>
    <w:rsid w:val="00856E6E"/>
    <w:rsid w:val="008576B7"/>
    <w:rsid w:val="008610DB"/>
    <w:rsid w:val="008611F1"/>
    <w:rsid w:val="0086134D"/>
    <w:rsid w:val="00861CAE"/>
    <w:rsid w:val="00862354"/>
    <w:rsid w:val="008631A7"/>
    <w:rsid w:val="00864A34"/>
    <w:rsid w:val="00866848"/>
    <w:rsid w:val="0087104D"/>
    <w:rsid w:val="0087153F"/>
    <w:rsid w:val="00871A88"/>
    <w:rsid w:val="008735B9"/>
    <w:rsid w:val="008736AA"/>
    <w:rsid w:val="00873F1C"/>
    <w:rsid w:val="008741ED"/>
    <w:rsid w:val="00874AF5"/>
    <w:rsid w:val="00874FD3"/>
    <w:rsid w:val="0087531C"/>
    <w:rsid w:val="00875440"/>
    <w:rsid w:val="008775D5"/>
    <w:rsid w:val="00877B6B"/>
    <w:rsid w:val="00880EEB"/>
    <w:rsid w:val="00881317"/>
    <w:rsid w:val="00881A3C"/>
    <w:rsid w:val="00884CA2"/>
    <w:rsid w:val="00885082"/>
    <w:rsid w:val="00885A7A"/>
    <w:rsid w:val="00886B4E"/>
    <w:rsid w:val="008877C2"/>
    <w:rsid w:val="008944B6"/>
    <w:rsid w:val="00897401"/>
    <w:rsid w:val="00897A3F"/>
    <w:rsid w:val="008A1FB1"/>
    <w:rsid w:val="008A2D10"/>
    <w:rsid w:val="008A3774"/>
    <w:rsid w:val="008A4194"/>
    <w:rsid w:val="008A47C7"/>
    <w:rsid w:val="008B082E"/>
    <w:rsid w:val="008B0E61"/>
    <w:rsid w:val="008B27F2"/>
    <w:rsid w:val="008B2BE6"/>
    <w:rsid w:val="008B2EBA"/>
    <w:rsid w:val="008B45AC"/>
    <w:rsid w:val="008B4840"/>
    <w:rsid w:val="008B4AF8"/>
    <w:rsid w:val="008B5B51"/>
    <w:rsid w:val="008B607B"/>
    <w:rsid w:val="008B64C9"/>
    <w:rsid w:val="008B68AE"/>
    <w:rsid w:val="008B6CBA"/>
    <w:rsid w:val="008C003C"/>
    <w:rsid w:val="008C00F8"/>
    <w:rsid w:val="008C0CE2"/>
    <w:rsid w:val="008C1C80"/>
    <w:rsid w:val="008C2306"/>
    <w:rsid w:val="008C2F1C"/>
    <w:rsid w:val="008C350E"/>
    <w:rsid w:val="008C3CE6"/>
    <w:rsid w:val="008C4D7C"/>
    <w:rsid w:val="008D165C"/>
    <w:rsid w:val="008D17DA"/>
    <w:rsid w:val="008D2FE4"/>
    <w:rsid w:val="008D4E84"/>
    <w:rsid w:val="008D5F4C"/>
    <w:rsid w:val="008D6428"/>
    <w:rsid w:val="008D6473"/>
    <w:rsid w:val="008E011A"/>
    <w:rsid w:val="008E0924"/>
    <w:rsid w:val="008E3E19"/>
    <w:rsid w:val="008E4A28"/>
    <w:rsid w:val="008E69EB"/>
    <w:rsid w:val="008E745B"/>
    <w:rsid w:val="008F0927"/>
    <w:rsid w:val="008F1578"/>
    <w:rsid w:val="008F200C"/>
    <w:rsid w:val="008F3393"/>
    <w:rsid w:val="008F5091"/>
    <w:rsid w:val="0090095A"/>
    <w:rsid w:val="00901258"/>
    <w:rsid w:val="00903542"/>
    <w:rsid w:val="00903A95"/>
    <w:rsid w:val="00903E70"/>
    <w:rsid w:val="009050DC"/>
    <w:rsid w:val="00905DD9"/>
    <w:rsid w:val="00906FE6"/>
    <w:rsid w:val="00907157"/>
    <w:rsid w:val="009135D6"/>
    <w:rsid w:val="00913814"/>
    <w:rsid w:val="009140F6"/>
    <w:rsid w:val="0091522E"/>
    <w:rsid w:val="0091666F"/>
    <w:rsid w:val="00917206"/>
    <w:rsid w:val="00917B31"/>
    <w:rsid w:val="00922289"/>
    <w:rsid w:val="0092228E"/>
    <w:rsid w:val="009229C7"/>
    <w:rsid w:val="00923BF6"/>
    <w:rsid w:val="00923D1B"/>
    <w:rsid w:val="00926810"/>
    <w:rsid w:val="009272DC"/>
    <w:rsid w:val="00927792"/>
    <w:rsid w:val="00927E03"/>
    <w:rsid w:val="00931963"/>
    <w:rsid w:val="009334B1"/>
    <w:rsid w:val="00933B97"/>
    <w:rsid w:val="00934923"/>
    <w:rsid w:val="00934D81"/>
    <w:rsid w:val="009360DC"/>
    <w:rsid w:val="0093642D"/>
    <w:rsid w:val="00937183"/>
    <w:rsid w:val="00937CF9"/>
    <w:rsid w:val="0094342B"/>
    <w:rsid w:val="00945406"/>
    <w:rsid w:val="009455CF"/>
    <w:rsid w:val="00945DC9"/>
    <w:rsid w:val="00946E07"/>
    <w:rsid w:val="00946FA8"/>
    <w:rsid w:val="0094755B"/>
    <w:rsid w:val="00954562"/>
    <w:rsid w:val="009552F0"/>
    <w:rsid w:val="0095593C"/>
    <w:rsid w:val="009570AB"/>
    <w:rsid w:val="009572FC"/>
    <w:rsid w:val="00957981"/>
    <w:rsid w:val="00960506"/>
    <w:rsid w:val="009607F7"/>
    <w:rsid w:val="009610DC"/>
    <w:rsid w:val="00961D81"/>
    <w:rsid w:val="00962291"/>
    <w:rsid w:val="00964122"/>
    <w:rsid w:val="00964619"/>
    <w:rsid w:val="00966461"/>
    <w:rsid w:val="00970034"/>
    <w:rsid w:val="00970E62"/>
    <w:rsid w:val="0097119E"/>
    <w:rsid w:val="009729A1"/>
    <w:rsid w:val="00974100"/>
    <w:rsid w:val="00977732"/>
    <w:rsid w:val="00982028"/>
    <w:rsid w:val="0098247D"/>
    <w:rsid w:val="00982D07"/>
    <w:rsid w:val="00982DFB"/>
    <w:rsid w:val="0098366A"/>
    <w:rsid w:val="009843D2"/>
    <w:rsid w:val="0098443C"/>
    <w:rsid w:val="00986407"/>
    <w:rsid w:val="00987DC4"/>
    <w:rsid w:val="009904C7"/>
    <w:rsid w:val="0099159E"/>
    <w:rsid w:val="009918DA"/>
    <w:rsid w:val="00991BBA"/>
    <w:rsid w:val="00992376"/>
    <w:rsid w:val="00995552"/>
    <w:rsid w:val="0099643B"/>
    <w:rsid w:val="00996591"/>
    <w:rsid w:val="009A114B"/>
    <w:rsid w:val="009A1712"/>
    <w:rsid w:val="009A1A16"/>
    <w:rsid w:val="009A1D8A"/>
    <w:rsid w:val="009A1ECF"/>
    <w:rsid w:val="009A2493"/>
    <w:rsid w:val="009A3426"/>
    <w:rsid w:val="009A471A"/>
    <w:rsid w:val="009A5126"/>
    <w:rsid w:val="009A57E6"/>
    <w:rsid w:val="009A5E86"/>
    <w:rsid w:val="009B0AAF"/>
    <w:rsid w:val="009B348C"/>
    <w:rsid w:val="009B4B74"/>
    <w:rsid w:val="009B5E86"/>
    <w:rsid w:val="009C095D"/>
    <w:rsid w:val="009C0967"/>
    <w:rsid w:val="009C0BF3"/>
    <w:rsid w:val="009C2313"/>
    <w:rsid w:val="009C2679"/>
    <w:rsid w:val="009C2A66"/>
    <w:rsid w:val="009C2BDF"/>
    <w:rsid w:val="009C3950"/>
    <w:rsid w:val="009C7572"/>
    <w:rsid w:val="009C767F"/>
    <w:rsid w:val="009D2A1B"/>
    <w:rsid w:val="009D308A"/>
    <w:rsid w:val="009D41B6"/>
    <w:rsid w:val="009D4E96"/>
    <w:rsid w:val="009D5618"/>
    <w:rsid w:val="009D7347"/>
    <w:rsid w:val="009E0DD1"/>
    <w:rsid w:val="009E189E"/>
    <w:rsid w:val="009E3C55"/>
    <w:rsid w:val="009E6256"/>
    <w:rsid w:val="009E6333"/>
    <w:rsid w:val="009E661F"/>
    <w:rsid w:val="009E6C7B"/>
    <w:rsid w:val="009E7794"/>
    <w:rsid w:val="009F1860"/>
    <w:rsid w:val="009F1D7B"/>
    <w:rsid w:val="009F1E41"/>
    <w:rsid w:val="009F246B"/>
    <w:rsid w:val="009F36FD"/>
    <w:rsid w:val="009F640F"/>
    <w:rsid w:val="009F7755"/>
    <w:rsid w:val="00A000AA"/>
    <w:rsid w:val="00A0123B"/>
    <w:rsid w:val="00A051B3"/>
    <w:rsid w:val="00A05284"/>
    <w:rsid w:val="00A113BE"/>
    <w:rsid w:val="00A14D32"/>
    <w:rsid w:val="00A16071"/>
    <w:rsid w:val="00A17045"/>
    <w:rsid w:val="00A17632"/>
    <w:rsid w:val="00A2168B"/>
    <w:rsid w:val="00A22129"/>
    <w:rsid w:val="00A22E34"/>
    <w:rsid w:val="00A23906"/>
    <w:rsid w:val="00A25714"/>
    <w:rsid w:val="00A25B32"/>
    <w:rsid w:val="00A25E16"/>
    <w:rsid w:val="00A25FA8"/>
    <w:rsid w:val="00A313C7"/>
    <w:rsid w:val="00A31CDF"/>
    <w:rsid w:val="00A323C4"/>
    <w:rsid w:val="00A32C17"/>
    <w:rsid w:val="00A340D3"/>
    <w:rsid w:val="00A34760"/>
    <w:rsid w:val="00A358E1"/>
    <w:rsid w:val="00A3610B"/>
    <w:rsid w:val="00A36AAC"/>
    <w:rsid w:val="00A401B9"/>
    <w:rsid w:val="00A404F6"/>
    <w:rsid w:val="00A4102B"/>
    <w:rsid w:val="00A419E5"/>
    <w:rsid w:val="00A42316"/>
    <w:rsid w:val="00A42F03"/>
    <w:rsid w:val="00A43FB3"/>
    <w:rsid w:val="00A440E1"/>
    <w:rsid w:val="00A46EBE"/>
    <w:rsid w:val="00A47559"/>
    <w:rsid w:val="00A5072B"/>
    <w:rsid w:val="00A50E40"/>
    <w:rsid w:val="00A5175D"/>
    <w:rsid w:val="00A51EFC"/>
    <w:rsid w:val="00A5364A"/>
    <w:rsid w:val="00A53818"/>
    <w:rsid w:val="00A53B20"/>
    <w:rsid w:val="00A53E45"/>
    <w:rsid w:val="00A5563F"/>
    <w:rsid w:val="00A6062A"/>
    <w:rsid w:val="00A617E7"/>
    <w:rsid w:val="00A635C8"/>
    <w:rsid w:val="00A64625"/>
    <w:rsid w:val="00A65906"/>
    <w:rsid w:val="00A662F3"/>
    <w:rsid w:val="00A67888"/>
    <w:rsid w:val="00A67909"/>
    <w:rsid w:val="00A67DEE"/>
    <w:rsid w:val="00A70C1D"/>
    <w:rsid w:val="00A71B99"/>
    <w:rsid w:val="00A71E76"/>
    <w:rsid w:val="00A7201F"/>
    <w:rsid w:val="00A7276B"/>
    <w:rsid w:val="00A74FDF"/>
    <w:rsid w:val="00A75492"/>
    <w:rsid w:val="00A76BA6"/>
    <w:rsid w:val="00A772F6"/>
    <w:rsid w:val="00A81204"/>
    <w:rsid w:val="00A859EE"/>
    <w:rsid w:val="00A87299"/>
    <w:rsid w:val="00A90F72"/>
    <w:rsid w:val="00A927DD"/>
    <w:rsid w:val="00A92F4D"/>
    <w:rsid w:val="00A934B6"/>
    <w:rsid w:val="00A951CC"/>
    <w:rsid w:val="00A953E5"/>
    <w:rsid w:val="00A954D1"/>
    <w:rsid w:val="00A95D87"/>
    <w:rsid w:val="00AA2F1E"/>
    <w:rsid w:val="00AA399D"/>
    <w:rsid w:val="00AA5DE2"/>
    <w:rsid w:val="00AB290A"/>
    <w:rsid w:val="00AB2B9C"/>
    <w:rsid w:val="00AB354F"/>
    <w:rsid w:val="00AB3658"/>
    <w:rsid w:val="00AB3A60"/>
    <w:rsid w:val="00AB42DF"/>
    <w:rsid w:val="00AB6DA7"/>
    <w:rsid w:val="00AC0361"/>
    <w:rsid w:val="00AC0E95"/>
    <w:rsid w:val="00AC13E0"/>
    <w:rsid w:val="00AC62EA"/>
    <w:rsid w:val="00AD1507"/>
    <w:rsid w:val="00AD1775"/>
    <w:rsid w:val="00AD3A2F"/>
    <w:rsid w:val="00AD3D9C"/>
    <w:rsid w:val="00AD48CB"/>
    <w:rsid w:val="00AD4DCB"/>
    <w:rsid w:val="00AD5705"/>
    <w:rsid w:val="00AD5748"/>
    <w:rsid w:val="00AD5BAD"/>
    <w:rsid w:val="00AD77D7"/>
    <w:rsid w:val="00AE2AA0"/>
    <w:rsid w:val="00AE2FBB"/>
    <w:rsid w:val="00AE3861"/>
    <w:rsid w:val="00AE72E0"/>
    <w:rsid w:val="00AE785A"/>
    <w:rsid w:val="00AE7D63"/>
    <w:rsid w:val="00AE7DD6"/>
    <w:rsid w:val="00AF1C9F"/>
    <w:rsid w:val="00AF2444"/>
    <w:rsid w:val="00AF2CE7"/>
    <w:rsid w:val="00AF32AD"/>
    <w:rsid w:val="00AF3BE9"/>
    <w:rsid w:val="00AF3E5D"/>
    <w:rsid w:val="00AF4479"/>
    <w:rsid w:val="00AF50C9"/>
    <w:rsid w:val="00AF6323"/>
    <w:rsid w:val="00AF7CE7"/>
    <w:rsid w:val="00B00BA0"/>
    <w:rsid w:val="00B022C6"/>
    <w:rsid w:val="00B02E0F"/>
    <w:rsid w:val="00B04D11"/>
    <w:rsid w:val="00B0751C"/>
    <w:rsid w:val="00B1028D"/>
    <w:rsid w:val="00B10A44"/>
    <w:rsid w:val="00B1178F"/>
    <w:rsid w:val="00B1431E"/>
    <w:rsid w:val="00B14E5A"/>
    <w:rsid w:val="00B14F4A"/>
    <w:rsid w:val="00B15661"/>
    <w:rsid w:val="00B246DC"/>
    <w:rsid w:val="00B261DD"/>
    <w:rsid w:val="00B35EE7"/>
    <w:rsid w:val="00B3749E"/>
    <w:rsid w:val="00B3772E"/>
    <w:rsid w:val="00B37819"/>
    <w:rsid w:val="00B4064C"/>
    <w:rsid w:val="00B40E49"/>
    <w:rsid w:val="00B50919"/>
    <w:rsid w:val="00B50E44"/>
    <w:rsid w:val="00B51CAB"/>
    <w:rsid w:val="00B540C9"/>
    <w:rsid w:val="00B56E7A"/>
    <w:rsid w:val="00B56E8D"/>
    <w:rsid w:val="00B604C5"/>
    <w:rsid w:val="00B6060A"/>
    <w:rsid w:val="00B60B50"/>
    <w:rsid w:val="00B6285F"/>
    <w:rsid w:val="00B630F5"/>
    <w:rsid w:val="00B6459A"/>
    <w:rsid w:val="00B64849"/>
    <w:rsid w:val="00B64854"/>
    <w:rsid w:val="00B65AF6"/>
    <w:rsid w:val="00B66D2D"/>
    <w:rsid w:val="00B66E01"/>
    <w:rsid w:val="00B70C4F"/>
    <w:rsid w:val="00B73C4B"/>
    <w:rsid w:val="00B73FCA"/>
    <w:rsid w:val="00B74FCF"/>
    <w:rsid w:val="00B754DA"/>
    <w:rsid w:val="00B75D6B"/>
    <w:rsid w:val="00B8106F"/>
    <w:rsid w:val="00B8132B"/>
    <w:rsid w:val="00B81FCB"/>
    <w:rsid w:val="00B8243B"/>
    <w:rsid w:val="00B83AAB"/>
    <w:rsid w:val="00B84A11"/>
    <w:rsid w:val="00B8543E"/>
    <w:rsid w:val="00B87C2C"/>
    <w:rsid w:val="00B87E95"/>
    <w:rsid w:val="00B90FC0"/>
    <w:rsid w:val="00B9126B"/>
    <w:rsid w:val="00B91880"/>
    <w:rsid w:val="00B926D0"/>
    <w:rsid w:val="00B92BFA"/>
    <w:rsid w:val="00B92C87"/>
    <w:rsid w:val="00B946E2"/>
    <w:rsid w:val="00B95CF7"/>
    <w:rsid w:val="00B95E85"/>
    <w:rsid w:val="00B9730E"/>
    <w:rsid w:val="00BA073F"/>
    <w:rsid w:val="00BA0925"/>
    <w:rsid w:val="00BA1806"/>
    <w:rsid w:val="00BA1F31"/>
    <w:rsid w:val="00BA28E8"/>
    <w:rsid w:val="00BA352F"/>
    <w:rsid w:val="00BA3FD1"/>
    <w:rsid w:val="00BA495C"/>
    <w:rsid w:val="00BA6646"/>
    <w:rsid w:val="00BB02A5"/>
    <w:rsid w:val="00BB12BF"/>
    <w:rsid w:val="00BB1485"/>
    <w:rsid w:val="00BB27C9"/>
    <w:rsid w:val="00BB2FA8"/>
    <w:rsid w:val="00BB36BF"/>
    <w:rsid w:val="00BB41A2"/>
    <w:rsid w:val="00BB6841"/>
    <w:rsid w:val="00BC0138"/>
    <w:rsid w:val="00BC0E73"/>
    <w:rsid w:val="00BC12E3"/>
    <w:rsid w:val="00BC1396"/>
    <w:rsid w:val="00BC2DA1"/>
    <w:rsid w:val="00BC3CC1"/>
    <w:rsid w:val="00BC4748"/>
    <w:rsid w:val="00BC4A03"/>
    <w:rsid w:val="00BC517B"/>
    <w:rsid w:val="00BC5AC0"/>
    <w:rsid w:val="00BC5E2C"/>
    <w:rsid w:val="00BC666A"/>
    <w:rsid w:val="00BC66E5"/>
    <w:rsid w:val="00BC6714"/>
    <w:rsid w:val="00BC6B50"/>
    <w:rsid w:val="00BC6DAB"/>
    <w:rsid w:val="00BD02DF"/>
    <w:rsid w:val="00BD0305"/>
    <w:rsid w:val="00BD328F"/>
    <w:rsid w:val="00BD4490"/>
    <w:rsid w:val="00BD5274"/>
    <w:rsid w:val="00BD5EAD"/>
    <w:rsid w:val="00BD76C4"/>
    <w:rsid w:val="00BD79FA"/>
    <w:rsid w:val="00BE10C8"/>
    <w:rsid w:val="00BE1200"/>
    <w:rsid w:val="00BE1F14"/>
    <w:rsid w:val="00BE2201"/>
    <w:rsid w:val="00BE2405"/>
    <w:rsid w:val="00BE3E70"/>
    <w:rsid w:val="00BE4F96"/>
    <w:rsid w:val="00BF0172"/>
    <w:rsid w:val="00BF26C5"/>
    <w:rsid w:val="00BF2AB9"/>
    <w:rsid w:val="00BF512E"/>
    <w:rsid w:val="00BF55F8"/>
    <w:rsid w:val="00BF6B78"/>
    <w:rsid w:val="00BF7219"/>
    <w:rsid w:val="00BF7EF7"/>
    <w:rsid w:val="00C04638"/>
    <w:rsid w:val="00C04938"/>
    <w:rsid w:val="00C05FC5"/>
    <w:rsid w:val="00C10608"/>
    <w:rsid w:val="00C12A18"/>
    <w:rsid w:val="00C1380B"/>
    <w:rsid w:val="00C13A8F"/>
    <w:rsid w:val="00C15A41"/>
    <w:rsid w:val="00C15AFF"/>
    <w:rsid w:val="00C15E14"/>
    <w:rsid w:val="00C164B3"/>
    <w:rsid w:val="00C165F0"/>
    <w:rsid w:val="00C16755"/>
    <w:rsid w:val="00C20E0F"/>
    <w:rsid w:val="00C21589"/>
    <w:rsid w:val="00C22553"/>
    <w:rsid w:val="00C2632C"/>
    <w:rsid w:val="00C265FA"/>
    <w:rsid w:val="00C26D97"/>
    <w:rsid w:val="00C27818"/>
    <w:rsid w:val="00C27D47"/>
    <w:rsid w:val="00C30542"/>
    <w:rsid w:val="00C32BFE"/>
    <w:rsid w:val="00C3352B"/>
    <w:rsid w:val="00C36164"/>
    <w:rsid w:val="00C36B55"/>
    <w:rsid w:val="00C36C72"/>
    <w:rsid w:val="00C36CD9"/>
    <w:rsid w:val="00C40C1C"/>
    <w:rsid w:val="00C42B17"/>
    <w:rsid w:val="00C43FA9"/>
    <w:rsid w:val="00C43FF9"/>
    <w:rsid w:val="00C44B50"/>
    <w:rsid w:val="00C44CBC"/>
    <w:rsid w:val="00C46469"/>
    <w:rsid w:val="00C473FF"/>
    <w:rsid w:val="00C47BD6"/>
    <w:rsid w:val="00C54977"/>
    <w:rsid w:val="00C56231"/>
    <w:rsid w:val="00C5641F"/>
    <w:rsid w:val="00C611CF"/>
    <w:rsid w:val="00C62C2B"/>
    <w:rsid w:val="00C63467"/>
    <w:rsid w:val="00C63541"/>
    <w:rsid w:val="00C6464D"/>
    <w:rsid w:val="00C6538C"/>
    <w:rsid w:val="00C657D1"/>
    <w:rsid w:val="00C721B3"/>
    <w:rsid w:val="00C7261C"/>
    <w:rsid w:val="00C7448B"/>
    <w:rsid w:val="00C7451A"/>
    <w:rsid w:val="00C74650"/>
    <w:rsid w:val="00C74708"/>
    <w:rsid w:val="00C76BFF"/>
    <w:rsid w:val="00C76E06"/>
    <w:rsid w:val="00C80D0D"/>
    <w:rsid w:val="00C83058"/>
    <w:rsid w:val="00C84AF7"/>
    <w:rsid w:val="00C857DF"/>
    <w:rsid w:val="00C85CF7"/>
    <w:rsid w:val="00C85D53"/>
    <w:rsid w:val="00C8612E"/>
    <w:rsid w:val="00C86CF7"/>
    <w:rsid w:val="00C87A2D"/>
    <w:rsid w:val="00C87DC5"/>
    <w:rsid w:val="00C90217"/>
    <w:rsid w:val="00C914F6"/>
    <w:rsid w:val="00C93763"/>
    <w:rsid w:val="00C9406F"/>
    <w:rsid w:val="00C9570E"/>
    <w:rsid w:val="00C97561"/>
    <w:rsid w:val="00CA0275"/>
    <w:rsid w:val="00CA0523"/>
    <w:rsid w:val="00CA1E33"/>
    <w:rsid w:val="00CA3669"/>
    <w:rsid w:val="00CA3DD4"/>
    <w:rsid w:val="00CA5356"/>
    <w:rsid w:val="00CA567C"/>
    <w:rsid w:val="00CA58C3"/>
    <w:rsid w:val="00CA761E"/>
    <w:rsid w:val="00CA76FC"/>
    <w:rsid w:val="00CA78B7"/>
    <w:rsid w:val="00CA7F1B"/>
    <w:rsid w:val="00CB22CA"/>
    <w:rsid w:val="00CB2478"/>
    <w:rsid w:val="00CB5191"/>
    <w:rsid w:val="00CB5DD4"/>
    <w:rsid w:val="00CB694B"/>
    <w:rsid w:val="00CC1254"/>
    <w:rsid w:val="00CC244B"/>
    <w:rsid w:val="00CC2A75"/>
    <w:rsid w:val="00CC3AAC"/>
    <w:rsid w:val="00CC51EF"/>
    <w:rsid w:val="00CC5EF2"/>
    <w:rsid w:val="00CC6364"/>
    <w:rsid w:val="00CC7790"/>
    <w:rsid w:val="00CC7DA3"/>
    <w:rsid w:val="00CD01C8"/>
    <w:rsid w:val="00CD0EEA"/>
    <w:rsid w:val="00CD306A"/>
    <w:rsid w:val="00CD57A9"/>
    <w:rsid w:val="00CD588D"/>
    <w:rsid w:val="00CD6672"/>
    <w:rsid w:val="00CD66C0"/>
    <w:rsid w:val="00CE0607"/>
    <w:rsid w:val="00CE0AE2"/>
    <w:rsid w:val="00CE1882"/>
    <w:rsid w:val="00CE209D"/>
    <w:rsid w:val="00CE3478"/>
    <w:rsid w:val="00CE4D9E"/>
    <w:rsid w:val="00CE51AA"/>
    <w:rsid w:val="00CE5ECC"/>
    <w:rsid w:val="00CE7607"/>
    <w:rsid w:val="00CE7824"/>
    <w:rsid w:val="00CE7916"/>
    <w:rsid w:val="00CF2180"/>
    <w:rsid w:val="00CF29DE"/>
    <w:rsid w:val="00CF3290"/>
    <w:rsid w:val="00CF415F"/>
    <w:rsid w:val="00CF44D6"/>
    <w:rsid w:val="00CF4809"/>
    <w:rsid w:val="00CF4A83"/>
    <w:rsid w:val="00CF4F94"/>
    <w:rsid w:val="00CF5430"/>
    <w:rsid w:val="00CF590E"/>
    <w:rsid w:val="00CF64F3"/>
    <w:rsid w:val="00D00130"/>
    <w:rsid w:val="00D03304"/>
    <w:rsid w:val="00D03A8E"/>
    <w:rsid w:val="00D0734F"/>
    <w:rsid w:val="00D07ADA"/>
    <w:rsid w:val="00D109B4"/>
    <w:rsid w:val="00D1340C"/>
    <w:rsid w:val="00D17DAF"/>
    <w:rsid w:val="00D2462C"/>
    <w:rsid w:val="00D24784"/>
    <w:rsid w:val="00D2483D"/>
    <w:rsid w:val="00D250AF"/>
    <w:rsid w:val="00D263A8"/>
    <w:rsid w:val="00D26FF5"/>
    <w:rsid w:val="00D272C8"/>
    <w:rsid w:val="00D311C6"/>
    <w:rsid w:val="00D31B0F"/>
    <w:rsid w:val="00D338F1"/>
    <w:rsid w:val="00D344DE"/>
    <w:rsid w:val="00D353BE"/>
    <w:rsid w:val="00D35A72"/>
    <w:rsid w:val="00D361BB"/>
    <w:rsid w:val="00D3663C"/>
    <w:rsid w:val="00D37952"/>
    <w:rsid w:val="00D4024B"/>
    <w:rsid w:val="00D41742"/>
    <w:rsid w:val="00D435C9"/>
    <w:rsid w:val="00D4512B"/>
    <w:rsid w:val="00D452FF"/>
    <w:rsid w:val="00D47992"/>
    <w:rsid w:val="00D51AA0"/>
    <w:rsid w:val="00D53161"/>
    <w:rsid w:val="00D554FA"/>
    <w:rsid w:val="00D556D5"/>
    <w:rsid w:val="00D5577F"/>
    <w:rsid w:val="00D56EB3"/>
    <w:rsid w:val="00D61091"/>
    <w:rsid w:val="00D62486"/>
    <w:rsid w:val="00D62A98"/>
    <w:rsid w:val="00D640F4"/>
    <w:rsid w:val="00D65DD9"/>
    <w:rsid w:val="00D664DB"/>
    <w:rsid w:val="00D700C2"/>
    <w:rsid w:val="00D74447"/>
    <w:rsid w:val="00D74B5B"/>
    <w:rsid w:val="00D76CC8"/>
    <w:rsid w:val="00D772B1"/>
    <w:rsid w:val="00D7759D"/>
    <w:rsid w:val="00D778C2"/>
    <w:rsid w:val="00D84460"/>
    <w:rsid w:val="00D850E2"/>
    <w:rsid w:val="00D85998"/>
    <w:rsid w:val="00D863AD"/>
    <w:rsid w:val="00D86E77"/>
    <w:rsid w:val="00D86F26"/>
    <w:rsid w:val="00D87A1B"/>
    <w:rsid w:val="00D9244F"/>
    <w:rsid w:val="00D93CE5"/>
    <w:rsid w:val="00D94975"/>
    <w:rsid w:val="00D9522C"/>
    <w:rsid w:val="00D95C46"/>
    <w:rsid w:val="00DA0FEE"/>
    <w:rsid w:val="00DA12AC"/>
    <w:rsid w:val="00DA1397"/>
    <w:rsid w:val="00DA18DB"/>
    <w:rsid w:val="00DA6C23"/>
    <w:rsid w:val="00DB168C"/>
    <w:rsid w:val="00DB185A"/>
    <w:rsid w:val="00DB1E6A"/>
    <w:rsid w:val="00DB37F7"/>
    <w:rsid w:val="00DB3EDE"/>
    <w:rsid w:val="00DB5082"/>
    <w:rsid w:val="00DB6B13"/>
    <w:rsid w:val="00DC063C"/>
    <w:rsid w:val="00DC0819"/>
    <w:rsid w:val="00DC0C11"/>
    <w:rsid w:val="00DC3150"/>
    <w:rsid w:val="00DC3CF1"/>
    <w:rsid w:val="00DC448B"/>
    <w:rsid w:val="00DC6402"/>
    <w:rsid w:val="00DD163E"/>
    <w:rsid w:val="00DD1BC8"/>
    <w:rsid w:val="00DD5148"/>
    <w:rsid w:val="00DD5E77"/>
    <w:rsid w:val="00DD6B38"/>
    <w:rsid w:val="00DD6F28"/>
    <w:rsid w:val="00DD7E90"/>
    <w:rsid w:val="00DE0B29"/>
    <w:rsid w:val="00DE1334"/>
    <w:rsid w:val="00DE3E1F"/>
    <w:rsid w:val="00DE4D57"/>
    <w:rsid w:val="00DE64ED"/>
    <w:rsid w:val="00DE6F29"/>
    <w:rsid w:val="00DF38BE"/>
    <w:rsid w:val="00DF3CB5"/>
    <w:rsid w:val="00DF47D8"/>
    <w:rsid w:val="00DF4907"/>
    <w:rsid w:val="00DF5070"/>
    <w:rsid w:val="00E02324"/>
    <w:rsid w:val="00E13DAC"/>
    <w:rsid w:val="00E147F9"/>
    <w:rsid w:val="00E150DE"/>
    <w:rsid w:val="00E15882"/>
    <w:rsid w:val="00E23067"/>
    <w:rsid w:val="00E2343D"/>
    <w:rsid w:val="00E23471"/>
    <w:rsid w:val="00E24D17"/>
    <w:rsid w:val="00E24E90"/>
    <w:rsid w:val="00E251BE"/>
    <w:rsid w:val="00E255A7"/>
    <w:rsid w:val="00E256BC"/>
    <w:rsid w:val="00E25C1F"/>
    <w:rsid w:val="00E265A9"/>
    <w:rsid w:val="00E26C9F"/>
    <w:rsid w:val="00E26D02"/>
    <w:rsid w:val="00E3116A"/>
    <w:rsid w:val="00E33607"/>
    <w:rsid w:val="00E352D0"/>
    <w:rsid w:val="00E362E8"/>
    <w:rsid w:val="00E36B2B"/>
    <w:rsid w:val="00E36BB0"/>
    <w:rsid w:val="00E406F5"/>
    <w:rsid w:val="00E44C13"/>
    <w:rsid w:val="00E45C49"/>
    <w:rsid w:val="00E45C69"/>
    <w:rsid w:val="00E46AA3"/>
    <w:rsid w:val="00E47555"/>
    <w:rsid w:val="00E50B88"/>
    <w:rsid w:val="00E51A8E"/>
    <w:rsid w:val="00E53A09"/>
    <w:rsid w:val="00E53C46"/>
    <w:rsid w:val="00E57449"/>
    <w:rsid w:val="00E62DAD"/>
    <w:rsid w:val="00E637BD"/>
    <w:rsid w:val="00E6499C"/>
    <w:rsid w:val="00E65138"/>
    <w:rsid w:val="00E65CAB"/>
    <w:rsid w:val="00E66069"/>
    <w:rsid w:val="00E66C50"/>
    <w:rsid w:val="00E66E14"/>
    <w:rsid w:val="00E66EB3"/>
    <w:rsid w:val="00E72BCC"/>
    <w:rsid w:val="00E7505B"/>
    <w:rsid w:val="00E756D5"/>
    <w:rsid w:val="00E75855"/>
    <w:rsid w:val="00E7617D"/>
    <w:rsid w:val="00E76385"/>
    <w:rsid w:val="00E76523"/>
    <w:rsid w:val="00E81389"/>
    <w:rsid w:val="00E8262A"/>
    <w:rsid w:val="00E83E71"/>
    <w:rsid w:val="00E85500"/>
    <w:rsid w:val="00E855A3"/>
    <w:rsid w:val="00E859C0"/>
    <w:rsid w:val="00E87273"/>
    <w:rsid w:val="00E879BF"/>
    <w:rsid w:val="00E903ED"/>
    <w:rsid w:val="00E916DD"/>
    <w:rsid w:val="00E91BBC"/>
    <w:rsid w:val="00E931D3"/>
    <w:rsid w:val="00E93ECF"/>
    <w:rsid w:val="00E95A90"/>
    <w:rsid w:val="00E96377"/>
    <w:rsid w:val="00E971AC"/>
    <w:rsid w:val="00E97BBD"/>
    <w:rsid w:val="00EA0446"/>
    <w:rsid w:val="00EA06CE"/>
    <w:rsid w:val="00EA2961"/>
    <w:rsid w:val="00EA469E"/>
    <w:rsid w:val="00EA6246"/>
    <w:rsid w:val="00EB00E3"/>
    <w:rsid w:val="00EB20DE"/>
    <w:rsid w:val="00EB34CA"/>
    <w:rsid w:val="00EB41DC"/>
    <w:rsid w:val="00EB4415"/>
    <w:rsid w:val="00EB53B6"/>
    <w:rsid w:val="00EB6C78"/>
    <w:rsid w:val="00EB7240"/>
    <w:rsid w:val="00EB788E"/>
    <w:rsid w:val="00EC1D69"/>
    <w:rsid w:val="00EC235A"/>
    <w:rsid w:val="00EC275D"/>
    <w:rsid w:val="00EC4660"/>
    <w:rsid w:val="00ED0A99"/>
    <w:rsid w:val="00ED0E27"/>
    <w:rsid w:val="00ED2697"/>
    <w:rsid w:val="00ED3213"/>
    <w:rsid w:val="00ED4986"/>
    <w:rsid w:val="00ED4EE5"/>
    <w:rsid w:val="00ED6191"/>
    <w:rsid w:val="00EE28CC"/>
    <w:rsid w:val="00EE3815"/>
    <w:rsid w:val="00EE3ED7"/>
    <w:rsid w:val="00EE45DC"/>
    <w:rsid w:val="00EE4A9F"/>
    <w:rsid w:val="00EE51BF"/>
    <w:rsid w:val="00EE6142"/>
    <w:rsid w:val="00EE6F98"/>
    <w:rsid w:val="00EF1184"/>
    <w:rsid w:val="00EF18A2"/>
    <w:rsid w:val="00EF1BC2"/>
    <w:rsid w:val="00EF206B"/>
    <w:rsid w:val="00EF3A71"/>
    <w:rsid w:val="00EF457E"/>
    <w:rsid w:val="00EF4865"/>
    <w:rsid w:val="00EF5775"/>
    <w:rsid w:val="00EF7128"/>
    <w:rsid w:val="00EF7360"/>
    <w:rsid w:val="00F0151E"/>
    <w:rsid w:val="00F03D76"/>
    <w:rsid w:val="00F040F1"/>
    <w:rsid w:val="00F076A8"/>
    <w:rsid w:val="00F07B3D"/>
    <w:rsid w:val="00F10982"/>
    <w:rsid w:val="00F114E4"/>
    <w:rsid w:val="00F16615"/>
    <w:rsid w:val="00F1696D"/>
    <w:rsid w:val="00F20132"/>
    <w:rsid w:val="00F22BF4"/>
    <w:rsid w:val="00F302FA"/>
    <w:rsid w:val="00F3053F"/>
    <w:rsid w:val="00F30620"/>
    <w:rsid w:val="00F33B07"/>
    <w:rsid w:val="00F34601"/>
    <w:rsid w:val="00F3560E"/>
    <w:rsid w:val="00F36733"/>
    <w:rsid w:val="00F3676C"/>
    <w:rsid w:val="00F41B7D"/>
    <w:rsid w:val="00F43215"/>
    <w:rsid w:val="00F43446"/>
    <w:rsid w:val="00F440BF"/>
    <w:rsid w:val="00F45147"/>
    <w:rsid w:val="00F45AE0"/>
    <w:rsid w:val="00F51C13"/>
    <w:rsid w:val="00F549EE"/>
    <w:rsid w:val="00F54F1C"/>
    <w:rsid w:val="00F61A90"/>
    <w:rsid w:val="00F66058"/>
    <w:rsid w:val="00F66844"/>
    <w:rsid w:val="00F67B9D"/>
    <w:rsid w:val="00F704AB"/>
    <w:rsid w:val="00F713AC"/>
    <w:rsid w:val="00F71C44"/>
    <w:rsid w:val="00F733B7"/>
    <w:rsid w:val="00F73CF8"/>
    <w:rsid w:val="00F76808"/>
    <w:rsid w:val="00F80B1A"/>
    <w:rsid w:val="00F812BD"/>
    <w:rsid w:val="00F82650"/>
    <w:rsid w:val="00F839AC"/>
    <w:rsid w:val="00F840AF"/>
    <w:rsid w:val="00F8427A"/>
    <w:rsid w:val="00F84A67"/>
    <w:rsid w:val="00F8530A"/>
    <w:rsid w:val="00F85777"/>
    <w:rsid w:val="00F85B7F"/>
    <w:rsid w:val="00F86C6B"/>
    <w:rsid w:val="00F87037"/>
    <w:rsid w:val="00F90610"/>
    <w:rsid w:val="00F91C49"/>
    <w:rsid w:val="00F923D5"/>
    <w:rsid w:val="00F94EAA"/>
    <w:rsid w:val="00F96F8F"/>
    <w:rsid w:val="00F971F2"/>
    <w:rsid w:val="00FA0932"/>
    <w:rsid w:val="00FA09E4"/>
    <w:rsid w:val="00FA1415"/>
    <w:rsid w:val="00FA1428"/>
    <w:rsid w:val="00FA14FA"/>
    <w:rsid w:val="00FA1C41"/>
    <w:rsid w:val="00FA1D30"/>
    <w:rsid w:val="00FA499A"/>
    <w:rsid w:val="00FA4B84"/>
    <w:rsid w:val="00FA4F47"/>
    <w:rsid w:val="00FA63D4"/>
    <w:rsid w:val="00FB18AA"/>
    <w:rsid w:val="00FB1D44"/>
    <w:rsid w:val="00FB1DD2"/>
    <w:rsid w:val="00FB3F7C"/>
    <w:rsid w:val="00FB4414"/>
    <w:rsid w:val="00FB5D67"/>
    <w:rsid w:val="00FB61CB"/>
    <w:rsid w:val="00FB7418"/>
    <w:rsid w:val="00FC0023"/>
    <w:rsid w:val="00FC0BFA"/>
    <w:rsid w:val="00FC1E05"/>
    <w:rsid w:val="00FC21C0"/>
    <w:rsid w:val="00FC236C"/>
    <w:rsid w:val="00FC3B42"/>
    <w:rsid w:val="00FC41AA"/>
    <w:rsid w:val="00FC7D83"/>
    <w:rsid w:val="00FD2B90"/>
    <w:rsid w:val="00FD2F88"/>
    <w:rsid w:val="00FD326E"/>
    <w:rsid w:val="00FD4DCF"/>
    <w:rsid w:val="00FD5681"/>
    <w:rsid w:val="00FD60A6"/>
    <w:rsid w:val="00FD6398"/>
    <w:rsid w:val="00FD63F0"/>
    <w:rsid w:val="00FE00DA"/>
    <w:rsid w:val="00FE04E9"/>
    <w:rsid w:val="00FE0950"/>
    <w:rsid w:val="00FE0F52"/>
    <w:rsid w:val="00FE2B8B"/>
    <w:rsid w:val="00FE3C7A"/>
    <w:rsid w:val="00FE40CE"/>
    <w:rsid w:val="00FE4E8E"/>
    <w:rsid w:val="00FE59E6"/>
    <w:rsid w:val="00FE5E85"/>
    <w:rsid w:val="00FE6887"/>
    <w:rsid w:val="00FE6AD9"/>
    <w:rsid w:val="00FE7000"/>
    <w:rsid w:val="00FF0DE0"/>
    <w:rsid w:val="00FF1626"/>
    <w:rsid w:val="00FF18FE"/>
    <w:rsid w:val="00FF25FC"/>
    <w:rsid w:val="00FF4F5C"/>
    <w:rsid w:val="00FF5C6E"/>
    <w:rsid w:val="00FF7A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591FE"/>
  <w15:chartTrackingRefBased/>
  <w15:docId w15:val="{D8B132D8-FCE0-E141-A471-241D3891F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191"/>
    <w:pPr>
      <w:spacing w:before="240" w:after="240"/>
    </w:pPr>
    <w:rPr>
      <w:rFonts w:ascii="Baskerville" w:hAnsi="Baskerville"/>
      <w:sz w:val="22"/>
    </w:rPr>
  </w:style>
  <w:style w:type="paragraph" w:styleId="Heading1">
    <w:name w:val="heading 1"/>
    <w:basedOn w:val="Normal"/>
    <w:next w:val="Normal"/>
    <w:link w:val="Heading1Char"/>
    <w:uiPriority w:val="9"/>
    <w:qFormat/>
    <w:rsid w:val="00782D0B"/>
    <w:pPr>
      <w:keepNext/>
      <w:keepLines/>
      <w:spacing w:before="360"/>
      <w:jc w:val="center"/>
      <w:outlineLvl w:val="0"/>
    </w:pPr>
    <w:rPr>
      <w:rFonts w:ascii="Big Caslon Medium" w:eastAsiaTheme="majorEastAsia" w:hAnsi="Big Caslon Medium" w:cstheme="majorBidi"/>
      <w:sz w:val="30"/>
      <w:szCs w:val="32"/>
    </w:rPr>
  </w:style>
  <w:style w:type="paragraph" w:styleId="Heading2">
    <w:name w:val="heading 2"/>
    <w:basedOn w:val="Heading1"/>
    <w:next w:val="Normal"/>
    <w:link w:val="Heading2Char"/>
    <w:uiPriority w:val="9"/>
    <w:unhideWhenUsed/>
    <w:qFormat/>
    <w:rsid w:val="006A7191"/>
    <w:pPr>
      <w:spacing w:before="120"/>
      <w:jc w:val="left"/>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D0B"/>
    <w:rPr>
      <w:rFonts w:ascii="Big Caslon Medium" w:eastAsiaTheme="majorEastAsia" w:hAnsi="Big Caslon Medium" w:cstheme="majorBidi"/>
      <w:sz w:val="30"/>
      <w:szCs w:val="32"/>
    </w:rPr>
  </w:style>
  <w:style w:type="character" w:customStyle="1" w:styleId="Heading2Char">
    <w:name w:val="Heading 2 Char"/>
    <w:basedOn w:val="DefaultParagraphFont"/>
    <w:link w:val="Heading2"/>
    <w:uiPriority w:val="9"/>
    <w:rsid w:val="006A7191"/>
    <w:rPr>
      <w:rFonts w:ascii="Big Caslon Medium" w:eastAsiaTheme="majorEastAsia" w:hAnsi="Big Caslon Medium" w:cstheme="majorBidi"/>
      <w:sz w:val="26"/>
      <w:szCs w:val="26"/>
    </w:rPr>
  </w:style>
  <w:style w:type="paragraph" w:styleId="Footer">
    <w:name w:val="footer"/>
    <w:basedOn w:val="Normal"/>
    <w:link w:val="FooterChar"/>
    <w:uiPriority w:val="99"/>
    <w:unhideWhenUsed/>
    <w:rsid w:val="00782D0B"/>
    <w:pPr>
      <w:tabs>
        <w:tab w:val="center" w:pos="4680"/>
        <w:tab w:val="right" w:pos="9360"/>
      </w:tabs>
      <w:spacing w:before="0" w:after="0"/>
    </w:pPr>
    <w:rPr>
      <w:sz w:val="20"/>
    </w:rPr>
  </w:style>
  <w:style w:type="character" w:customStyle="1" w:styleId="FooterChar">
    <w:name w:val="Footer Char"/>
    <w:basedOn w:val="DefaultParagraphFont"/>
    <w:link w:val="Footer"/>
    <w:uiPriority w:val="99"/>
    <w:rsid w:val="00782D0B"/>
    <w:rPr>
      <w:rFonts w:ascii="Baskerville" w:hAnsi="Baskerville"/>
      <w:sz w:val="20"/>
    </w:rPr>
  </w:style>
  <w:style w:type="character" w:styleId="FootnoteReference">
    <w:name w:val="footnote reference"/>
    <w:basedOn w:val="DefaultParagraphFont"/>
    <w:uiPriority w:val="99"/>
    <w:semiHidden/>
    <w:unhideWhenUsed/>
    <w:rsid w:val="00782D0B"/>
    <w:rPr>
      <w:rFonts w:ascii="Baskerville" w:hAnsi="Baskerville"/>
      <w:sz w:val="20"/>
      <w:vertAlign w:val="superscript"/>
    </w:rPr>
  </w:style>
  <w:style w:type="paragraph" w:styleId="FootnoteText">
    <w:name w:val="footnote text"/>
    <w:basedOn w:val="Normal"/>
    <w:link w:val="FootnoteTextChar"/>
    <w:uiPriority w:val="99"/>
    <w:unhideWhenUsed/>
    <w:rsid w:val="00782D0B"/>
    <w:pPr>
      <w:spacing w:before="0" w:after="0"/>
    </w:pPr>
    <w:rPr>
      <w:sz w:val="20"/>
      <w:szCs w:val="20"/>
    </w:rPr>
  </w:style>
  <w:style w:type="character" w:customStyle="1" w:styleId="FootnoteTextChar">
    <w:name w:val="Footnote Text Char"/>
    <w:basedOn w:val="DefaultParagraphFont"/>
    <w:link w:val="FootnoteText"/>
    <w:uiPriority w:val="99"/>
    <w:rsid w:val="00782D0B"/>
    <w:rPr>
      <w:rFonts w:ascii="Baskerville" w:hAnsi="Baskerville"/>
      <w:sz w:val="20"/>
      <w:szCs w:val="20"/>
    </w:rPr>
  </w:style>
  <w:style w:type="paragraph" w:styleId="Header">
    <w:name w:val="header"/>
    <w:basedOn w:val="Normal"/>
    <w:link w:val="HeaderChar"/>
    <w:uiPriority w:val="99"/>
    <w:unhideWhenUsed/>
    <w:rsid w:val="00782D0B"/>
    <w:pPr>
      <w:tabs>
        <w:tab w:val="center" w:pos="4680"/>
        <w:tab w:val="right" w:pos="9360"/>
      </w:tabs>
      <w:spacing w:before="0" w:after="0"/>
    </w:pPr>
    <w:rPr>
      <w:sz w:val="20"/>
    </w:rPr>
  </w:style>
  <w:style w:type="character" w:customStyle="1" w:styleId="HeaderChar">
    <w:name w:val="Header Char"/>
    <w:basedOn w:val="DefaultParagraphFont"/>
    <w:link w:val="Header"/>
    <w:uiPriority w:val="99"/>
    <w:rsid w:val="00782D0B"/>
    <w:rPr>
      <w:rFonts w:ascii="Baskerville" w:hAnsi="Baskerville"/>
      <w:sz w:val="20"/>
    </w:rPr>
  </w:style>
  <w:style w:type="character" w:styleId="PageNumber">
    <w:name w:val="page number"/>
    <w:basedOn w:val="DefaultParagraphFont"/>
    <w:uiPriority w:val="99"/>
    <w:semiHidden/>
    <w:unhideWhenUsed/>
    <w:rsid w:val="00782D0B"/>
    <w:rPr>
      <w:rFonts w:ascii="Big Caslon Medium" w:hAnsi="Big Caslon Medium"/>
      <w:sz w:val="20"/>
    </w:rPr>
  </w:style>
  <w:style w:type="paragraph" w:styleId="Subtitle">
    <w:name w:val="Subtitle"/>
    <w:basedOn w:val="Normal"/>
    <w:next w:val="Normal"/>
    <w:link w:val="SubtitleChar"/>
    <w:uiPriority w:val="11"/>
    <w:qFormat/>
    <w:rsid w:val="00E756D5"/>
    <w:pPr>
      <w:numPr>
        <w:ilvl w:val="1"/>
      </w:numPr>
      <w:spacing w:after="160"/>
    </w:pPr>
    <w:rPr>
      <w:rFonts w:asciiTheme="minorHAnsi" w:eastAsiaTheme="minorEastAsia" w:hAnsiTheme="minorHAnsi"/>
      <w:color w:val="5A5A5A" w:themeColor="text1" w:themeTint="A5"/>
      <w:spacing w:val="15"/>
      <w:szCs w:val="22"/>
    </w:rPr>
  </w:style>
  <w:style w:type="character" w:customStyle="1" w:styleId="SubtitleChar">
    <w:name w:val="Subtitle Char"/>
    <w:basedOn w:val="DefaultParagraphFont"/>
    <w:link w:val="Subtitle"/>
    <w:uiPriority w:val="11"/>
    <w:rsid w:val="00E756D5"/>
    <w:rPr>
      <w:rFonts w:eastAsiaTheme="minorEastAsia"/>
      <w:color w:val="5A5A5A" w:themeColor="text1" w:themeTint="A5"/>
      <w:spacing w:val="15"/>
      <w:sz w:val="22"/>
      <w:szCs w:val="22"/>
    </w:rPr>
  </w:style>
  <w:style w:type="paragraph" w:styleId="Caption">
    <w:name w:val="caption"/>
    <w:basedOn w:val="Normal"/>
    <w:next w:val="Normal"/>
    <w:uiPriority w:val="35"/>
    <w:unhideWhenUsed/>
    <w:qFormat/>
    <w:rsid w:val="002754F0"/>
    <w:pPr>
      <w:spacing w:before="0" w:after="200"/>
    </w:pPr>
    <w:rPr>
      <w:i/>
      <w:iCs/>
      <w:szCs w:val="18"/>
    </w:rPr>
  </w:style>
  <w:style w:type="table" w:styleId="TableGrid">
    <w:name w:val="Table Grid"/>
    <w:basedOn w:val="TableNormal"/>
    <w:uiPriority w:val="39"/>
    <w:rsid w:val="006943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s">
    <w:name w:val="Captions"/>
    <w:basedOn w:val="Normal"/>
    <w:qFormat/>
    <w:rsid w:val="000914B7"/>
    <w:pPr>
      <w:spacing w:line="360" w:lineRule="auto"/>
    </w:pPr>
    <w:rPr>
      <w:rFonts w:ascii="Palatino" w:hAnsi="Palatino" w:cs="Big Caslon Medium"/>
      <w:i/>
      <w:iCs/>
    </w:rPr>
  </w:style>
  <w:style w:type="paragraph" w:styleId="NormalWeb">
    <w:name w:val="Normal (Web)"/>
    <w:basedOn w:val="Normal"/>
    <w:uiPriority w:val="99"/>
    <w:unhideWhenUsed/>
    <w:rsid w:val="00120691"/>
    <w:pPr>
      <w:spacing w:before="100" w:beforeAutospacing="1" w:after="100" w:afterAutospacing="1"/>
    </w:pPr>
    <w:rPr>
      <w:rFonts w:ascii="Times New Roman" w:eastAsia="Times New Roman" w:hAnsi="Times New Roman" w:cs="Times New Roman"/>
      <w:sz w:val="24"/>
    </w:rPr>
  </w:style>
  <w:style w:type="character" w:styleId="Hyperlink">
    <w:name w:val="Hyperlink"/>
    <w:basedOn w:val="DefaultParagraphFont"/>
    <w:uiPriority w:val="99"/>
    <w:unhideWhenUsed/>
    <w:rsid w:val="00AA2F1E"/>
    <w:rPr>
      <w:color w:val="0563C1" w:themeColor="hyperlink"/>
      <w:u w:val="single"/>
    </w:rPr>
  </w:style>
  <w:style w:type="character" w:styleId="UnresolvedMention">
    <w:name w:val="Unresolved Mention"/>
    <w:basedOn w:val="DefaultParagraphFont"/>
    <w:uiPriority w:val="99"/>
    <w:semiHidden/>
    <w:unhideWhenUsed/>
    <w:rsid w:val="00AA2F1E"/>
    <w:rPr>
      <w:color w:val="605E5C"/>
      <w:shd w:val="clear" w:color="auto" w:fill="E1DFDD"/>
    </w:rPr>
  </w:style>
  <w:style w:type="paragraph" w:customStyle="1" w:styleId="Lists">
    <w:name w:val="Lists"/>
    <w:basedOn w:val="TableofFigures"/>
    <w:qFormat/>
    <w:rsid w:val="00770B74"/>
    <w:pPr>
      <w:tabs>
        <w:tab w:val="right" w:leader="dot" w:pos="9010"/>
      </w:tabs>
      <w:spacing w:line="360" w:lineRule="auto"/>
    </w:pPr>
    <w:rPr>
      <w:noProof/>
    </w:rPr>
  </w:style>
  <w:style w:type="paragraph" w:styleId="TableofFigures">
    <w:name w:val="table of figures"/>
    <w:basedOn w:val="Normal"/>
    <w:next w:val="Normal"/>
    <w:uiPriority w:val="99"/>
    <w:semiHidden/>
    <w:unhideWhenUsed/>
    <w:rsid w:val="00770B7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95394">
      <w:bodyDiv w:val="1"/>
      <w:marLeft w:val="0"/>
      <w:marRight w:val="0"/>
      <w:marTop w:val="0"/>
      <w:marBottom w:val="0"/>
      <w:divBdr>
        <w:top w:val="none" w:sz="0" w:space="0" w:color="auto"/>
        <w:left w:val="none" w:sz="0" w:space="0" w:color="auto"/>
        <w:bottom w:val="none" w:sz="0" w:space="0" w:color="auto"/>
        <w:right w:val="none" w:sz="0" w:space="0" w:color="auto"/>
      </w:divBdr>
    </w:div>
    <w:div w:id="57559284">
      <w:bodyDiv w:val="1"/>
      <w:marLeft w:val="0"/>
      <w:marRight w:val="0"/>
      <w:marTop w:val="0"/>
      <w:marBottom w:val="0"/>
      <w:divBdr>
        <w:top w:val="none" w:sz="0" w:space="0" w:color="auto"/>
        <w:left w:val="none" w:sz="0" w:space="0" w:color="auto"/>
        <w:bottom w:val="none" w:sz="0" w:space="0" w:color="auto"/>
        <w:right w:val="none" w:sz="0" w:space="0" w:color="auto"/>
      </w:divBdr>
    </w:div>
    <w:div w:id="101151073">
      <w:bodyDiv w:val="1"/>
      <w:marLeft w:val="0"/>
      <w:marRight w:val="0"/>
      <w:marTop w:val="0"/>
      <w:marBottom w:val="0"/>
      <w:divBdr>
        <w:top w:val="none" w:sz="0" w:space="0" w:color="auto"/>
        <w:left w:val="none" w:sz="0" w:space="0" w:color="auto"/>
        <w:bottom w:val="none" w:sz="0" w:space="0" w:color="auto"/>
        <w:right w:val="none" w:sz="0" w:space="0" w:color="auto"/>
      </w:divBdr>
    </w:div>
    <w:div w:id="218786014">
      <w:bodyDiv w:val="1"/>
      <w:marLeft w:val="0"/>
      <w:marRight w:val="0"/>
      <w:marTop w:val="0"/>
      <w:marBottom w:val="0"/>
      <w:divBdr>
        <w:top w:val="none" w:sz="0" w:space="0" w:color="auto"/>
        <w:left w:val="none" w:sz="0" w:space="0" w:color="auto"/>
        <w:bottom w:val="none" w:sz="0" w:space="0" w:color="auto"/>
        <w:right w:val="none" w:sz="0" w:space="0" w:color="auto"/>
      </w:divBdr>
    </w:div>
    <w:div w:id="236673917">
      <w:bodyDiv w:val="1"/>
      <w:marLeft w:val="0"/>
      <w:marRight w:val="0"/>
      <w:marTop w:val="0"/>
      <w:marBottom w:val="0"/>
      <w:divBdr>
        <w:top w:val="none" w:sz="0" w:space="0" w:color="auto"/>
        <w:left w:val="none" w:sz="0" w:space="0" w:color="auto"/>
        <w:bottom w:val="none" w:sz="0" w:space="0" w:color="auto"/>
        <w:right w:val="none" w:sz="0" w:space="0" w:color="auto"/>
      </w:divBdr>
    </w:div>
    <w:div w:id="280109093">
      <w:bodyDiv w:val="1"/>
      <w:marLeft w:val="0"/>
      <w:marRight w:val="0"/>
      <w:marTop w:val="0"/>
      <w:marBottom w:val="0"/>
      <w:divBdr>
        <w:top w:val="none" w:sz="0" w:space="0" w:color="auto"/>
        <w:left w:val="none" w:sz="0" w:space="0" w:color="auto"/>
        <w:bottom w:val="none" w:sz="0" w:space="0" w:color="auto"/>
        <w:right w:val="none" w:sz="0" w:space="0" w:color="auto"/>
      </w:divBdr>
    </w:div>
    <w:div w:id="371156754">
      <w:bodyDiv w:val="1"/>
      <w:marLeft w:val="0"/>
      <w:marRight w:val="0"/>
      <w:marTop w:val="0"/>
      <w:marBottom w:val="0"/>
      <w:divBdr>
        <w:top w:val="none" w:sz="0" w:space="0" w:color="auto"/>
        <w:left w:val="none" w:sz="0" w:space="0" w:color="auto"/>
        <w:bottom w:val="none" w:sz="0" w:space="0" w:color="auto"/>
        <w:right w:val="none" w:sz="0" w:space="0" w:color="auto"/>
      </w:divBdr>
    </w:div>
    <w:div w:id="421144284">
      <w:bodyDiv w:val="1"/>
      <w:marLeft w:val="0"/>
      <w:marRight w:val="0"/>
      <w:marTop w:val="0"/>
      <w:marBottom w:val="0"/>
      <w:divBdr>
        <w:top w:val="none" w:sz="0" w:space="0" w:color="auto"/>
        <w:left w:val="none" w:sz="0" w:space="0" w:color="auto"/>
        <w:bottom w:val="none" w:sz="0" w:space="0" w:color="auto"/>
        <w:right w:val="none" w:sz="0" w:space="0" w:color="auto"/>
      </w:divBdr>
    </w:div>
    <w:div w:id="450781422">
      <w:bodyDiv w:val="1"/>
      <w:marLeft w:val="0"/>
      <w:marRight w:val="0"/>
      <w:marTop w:val="0"/>
      <w:marBottom w:val="0"/>
      <w:divBdr>
        <w:top w:val="none" w:sz="0" w:space="0" w:color="auto"/>
        <w:left w:val="none" w:sz="0" w:space="0" w:color="auto"/>
        <w:bottom w:val="none" w:sz="0" w:space="0" w:color="auto"/>
        <w:right w:val="none" w:sz="0" w:space="0" w:color="auto"/>
      </w:divBdr>
    </w:div>
    <w:div w:id="453911718">
      <w:bodyDiv w:val="1"/>
      <w:marLeft w:val="0"/>
      <w:marRight w:val="0"/>
      <w:marTop w:val="0"/>
      <w:marBottom w:val="0"/>
      <w:divBdr>
        <w:top w:val="none" w:sz="0" w:space="0" w:color="auto"/>
        <w:left w:val="none" w:sz="0" w:space="0" w:color="auto"/>
        <w:bottom w:val="none" w:sz="0" w:space="0" w:color="auto"/>
        <w:right w:val="none" w:sz="0" w:space="0" w:color="auto"/>
      </w:divBdr>
    </w:div>
    <w:div w:id="504905730">
      <w:bodyDiv w:val="1"/>
      <w:marLeft w:val="0"/>
      <w:marRight w:val="0"/>
      <w:marTop w:val="0"/>
      <w:marBottom w:val="0"/>
      <w:divBdr>
        <w:top w:val="none" w:sz="0" w:space="0" w:color="auto"/>
        <w:left w:val="none" w:sz="0" w:space="0" w:color="auto"/>
        <w:bottom w:val="none" w:sz="0" w:space="0" w:color="auto"/>
        <w:right w:val="none" w:sz="0" w:space="0" w:color="auto"/>
      </w:divBdr>
    </w:div>
    <w:div w:id="579339866">
      <w:bodyDiv w:val="1"/>
      <w:marLeft w:val="0"/>
      <w:marRight w:val="0"/>
      <w:marTop w:val="0"/>
      <w:marBottom w:val="0"/>
      <w:divBdr>
        <w:top w:val="none" w:sz="0" w:space="0" w:color="auto"/>
        <w:left w:val="none" w:sz="0" w:space="0" w:color="auto"/>
        <w:bottom w:val="none" w:sz="0" w:space="0" w:color="auto"/>
        <w:right w:val="none" w:sz="0" w:space="0" w:color="auto"/>
      </w:divBdr>
    </w:div>
    <w:div w:id="629752436">
      <w:bodyDiv w:val="1"/>
      <w:marLeft w:val="0"/>
      <w:marRight w:val="0"/>
      <w:marTop w:val="0"/>
      <w:marBottom w:val="0"/>
      <w:divBdr>
        <w:top w:val="none" w:sz="0" w:space="0" w:color="auto"/>
        <w:left w:val="none" w:sz="0" w:space="0" w:color="auto"/>
        <w:bottom w:val="none" w:sz="0" w:space="0" w:color="auto"/>
        <w:right w:val="none" w:sz="0" w:space="0" w:color="auto"/>
      </w:divBdr>
    </w:div>
    <w:div w:id="662047476">
      <w:bodyDiv w:val="1"/>
      <w:marLeft w:val="0"/>
      <w:marRight w:val="0"/>
      <w:marTop w:val="0"/>
      <w:marBottom w:val="0"/>
      <w:divBdr>
        <w:top w:val="none" w:sz="0" w:space="0" w:color="auto"/>
        <w:left w:val="none" w:sz="0" w:space="0" w:color="auto"/>
        <w:bottom w:val="none" w:sz="0" w:space="0" w:color="auto"/>
        <w:right w:val="none" w:sz="0" w:space="0" w:color="auto"/>
      </w:divBdr>
    </w:div>
    <w:div w:id="675808389">
      <w:bodyDiv w:val="1"/>
      <w:marLeft w:val="0"/>
      <w:marRight w:val="0"/>
      <w:marTop w:val="0"/>
      <w:marBottom w:val="0"/>
      <w:divBdr>
        <w:top w:val="none" w:sz="0" w:space="0" w:color="auto"/>
        <w:left w:val="none" w:sz="0" w:space="0" w:color="auto"/>
        <w:bottom w:val="none" w:sz="0" w:space="0" w:color="auto"/>
        <w:right w:val="none" w:sz="0" w:space="0" w:color="auto"/>
      </w:divBdr>
    </w:div>
    <w:div w:id="690959374">
      <w:bodyDiv w:val="1"/>
      <w:marLeft w:val="0"/>
      <w:marRight w:val="0"/>
      <w:marTop w:val="0"/>
      <w:marBottom w:val="0"/>
      <w:divBdr>
        <w:top w:val="none" w:sz="0" w:space="0" w:color="auto"/>
        <w:left w:val="none" w:sz="0" w:space="0" w:color="auto"/>
        <w:bottom w:val="none" w:sz="0" w:space="0" w:color="auto"/>
        <w:right w:val="none" w:sz="0" w:space="0" w:color="auto"/>
      </w:divBdr>
    </w:div>
    <w:div w:id="692220833">
      <w:bodyDiv w:val="1"/>
      <w:marLeft w:val="0"/>
      <w:marRight w:val="0"/>
      <w:marTop w:val="0"/>
      <w:marBottom w:val="0"/>
      <w:divBdr>
        <w:top w:val="none" w:sz="0" w:space="0" w:color="auto"/>
        <w:left w:val="none" w:sz="0" w:space="0" w:color="auto"/>
        <w:bottom w:val="none" w:sz="0" w:space="0" w:color="auto"/>
        <w:right w:val="none" w:sz="0" w:space="0" w:color="auto"/>
      </w:divBdr>
    </w:div>
    <w:div w:id="692264941">
      <w:bodyDiv w:val="1"/>
      <w:marLeft w:val="0"/>
      <w:marRight w:val="0"/>
      <w:marTop w:val="0"/>
      <w:marBottom w:val="0"/>
      <w:divBdr>
        <w:top w:val="none" w:sz="0" w:space="0" w:color="auto"/>
        <w:left w:val="none" w:sz="0" w:space="0" w:color="auto"/>
        <w:bottom w:val="none" w:sz="0" w:space="0" w:color="auto"/>
        <w:right w:val="none" w:sz="0" w:space="0" w:color="auto"/>
      </w:divBdr>
    </w:div>
    <w:div w:id="708409778">
      <w:bodyDiv w:val="1"/>
      <w:marLeft w:val="0"/>
      <w:marRight w:val="0"/>
      <w:marTop w:val="0"/>
      <w:marBottom w:val="0"/>
      <w:divBdr>
        <w:top w:val="none" w:sz="0" w:space="0" w:color="auto"/>
        <w:left w:val="none" w:sz="0" w:space="0" w:color="auto"/>
        <w:bottom w:val="none" w:sz="0" w:space="0" w:color="auto"/>
        <w:right w:val="none" w:sz="0" w:space="0" w:color="auto"/>
      </w:divBdr>
    </w:div>
    <w:div w:id="716973226">
      <w:bodyDiv w:val="1"/>
      <w:marLeft w:val="0"/>
      <w:marRight w:val="0"/>
      <w:marTop w:val="0"/>
      <w:marBottom w:val="0"/>
      <w:divBdr>
        <w:top w:val="none" w:sz="0" w:space="0" w:color="auto"/>
        <w:left w:val="none" w:sz="0" w:space="0" w:color="auto"/>
        <w:bottom w:val="none" w:sz="0" w:space="0" w:color="auto"/>
        <w:right w:val="none" w:sz="0" w:space="0" w:color="auto"/>
      </w:divBdr>
    </w:div>
    <w:div w:id="800421133">
      <w:bodyDiv w:val="1"/>
      <w:marLeft w:val="0"/>
      <w:marRight w:val="0"/>
      <w:marTop w:val="0"/>
      <w:marBottom w:val="0"/>
      <w:divBdr>
        <w:top w:val="none" w:sz="0" w:space="0" w:color="auto"/>
        <w:left w:val="none" w:sz="0" w:space="0" w:color="auto"/>
        <w:bottom w:val="none" w:sz="0" w:space="0" w:color="auto"/>
        <w:right w:val="none" w:sz="0" w:space="0" w:color="auto"/>
      </w:divBdr>
    </w:div>
    <w:div w:id="928193025">
      <w:bodyDiv w:val="1"/>
      <w:marLeft w:val="0"/>
      <w:marRight w:val="0"/>
      <w:marTop w:val="0"/>
      <w:marBottom w:val="0"/>
      <w:divBdr>
        <w:top w:val="none" w:sz="0" w:space="0" w:color="auto"/>
        <w:left w:val="none" w:sz="0" w:space="0" w:color="auto"/>
        <w:bottom w:val="none" w:sz="0" w:space="0" w:color="auto"/>
        <w:right w:val="none" w:sz="0" w:space="0" w:color="auto"/>
      </w:divBdr>
    </w:div>
    <w:div w:id="961307078">
      <w:bodyDiv w:val="1"/>
      <w:marLeft w:val="0"/>
      <w:marRight w:val="0"/>
      <w:marTop w:val="0"/>
      <w:marBottom w:val="0"/>
      <w:divBdr>
        <w:top w:val="none" w:sz="0" w:space="0" w:color="auto"/>
        <w:left w:val="none" w:sz="0" w:space="0" w:color="auto"/>
        <w:bottom w:val="none" w:sz="0" w:space="0" w:color="auto"/>
        <w:right w:val="none" w:sz="0" w:space="0" w:color="auto"/>
      </w:divBdr>
    </w:div>
    <w:div w:id="966934408">
      <w:bodyDiv w:val="1"/>
      <w:marLeft w:val="0"/>
      <w:marRight w:val="0"/>
      <w:marTop w:val="0"/>
      <w:marBottom w:val="0"/>
      <w:divBdr>
        <w:top w:val="none" w:sz="0" w:space="0" w:color="auto"/>
        <w:left w:val="none" w:sz="0" w:space="0" w:color="auto"/>
        <w:bottom w:val="none" w:sz="0" w:space="0" w:color="auto"/>
        <w:right w:val="none" w:sz="0" w:space="0" w:color="auto"/>
      </w:divBdr>
    </w:div>
    <w:div w:id="968390752">
      <w:bodyDiv w:val="1"/>
      <w:marLeft w:val="0"/>
      <w:marRight w:val="0"/>
      <w:marTop w:val="0"/>
      <w:marBottom w:val="0"/>
      <w:divBdr>
        <w:top w:val="none" w:sz="0" w:space="0" w:color="auto"/>
        <w:left w:val="none" w:sz="0" w:space="0" w:color="auto"/>
        <w:bottom w:val="none" w:sz="0" w:space="0" w:color="auto"/>
        <w:right w:val="none" w:sz="0" w:space="0" w:color="auto"/>
      </w:divBdr>
    </w:div>
    <w:div w:id="1097945167">
      <w:bodyDiv w:val="1"/>
      <w:marLeft w:val="0"/>
      <w:marRight w:val="0"/>
      <w:marTop w:val="0"/>
      <w:marBottom w:val="0"/>
      <w:divBdr>
        <w:top w:val="none" w:sz="0" w:space="0" w:color="auto"/>
        <w:left w:val="none" w:sz="0" w:space="0" w:color="auto"/>
        <w:bottom w:val="none" w:sz="0" w:space="0" w:color="auto"/>
        <w:right w:val="none" w:sz="0" w:space="0" w:color="auto"/>
      </w:divBdr>
    </w:div>
    <w:div w:id="1110901720">
      <w:bodyDiv w:val="1"/>
      <w:marLeft w:val="0"/>
      <w:marRight w:val="0"/>
      <w:marTop w:val="0"/>
      <w:marBottom w:val="0"/>
      <w:divBdr>
        <w:top w:val="none" w:sz="0" w:space="0" w:color="auto"/>
        <w:left w:val="none" w:sz="0" w:space="0" w:color="auto"/>
        <w:bottom w:val="none" w:sz="0" w:space="0" w:color="auto"/>
        <w:right w:val="none" w:sz="0" w:space="0" w:color="auto"/>
      </w:divBdr>
    </w:div>
    <w:div w:id="1123576351">
      <w:bodyDiv w:val="1"/>
      <w:marLeft w:val="0"/>
      <w:marRight w:val="0"/>
      <w:marTop w:val="0"/>
      <w:marBottom w:val="0"/>
      <w:divBdr>
        <w:top w:val="none" w:sz="0" w:space="0" w:color="auto"/>
        <w:left w:val="none" w:sz="0" w:space="0" w:color="auto"/>
        <w:bottom w:val="none" w:sz="0" w:space="0" w:color="auto"/>
        <w:right w:val="none" w:sz="0" w:space="0" w:color="auto"/>
      </w:divBdr>
    </w:div>
    <w:div w:id="1173451559">
      <w:bodyDiv w:val="1"/>
      <w:marLeft w:val="0"/>
      <w:marRight w:val="0"/>
      <w:marTop w:val="0"/>
      <w:marBottom w:val="0"/>
      <w:divBdr>
        <w:top w:val="none" w:sz="0" w:space="0" w:color="auto"/>
        <w:left w:val="none" w:sz="0" w:space="0" w:color="auto"/>
        <w:bottom w:val="none" w:sz="0" w:space="0" w:color="auto"/>
        <w:right w:val="none" w:sz="0" w:space="0" w:color="auto"/>
      </w:divBdr>
    </w:div>
    <w:div w:id="1226179638">
      <w:bodyDiv w:val="1"/>
      <w:marLeft w:val="0"/>
      <w:marRight w:val="0"/>
      <w:marTop w:val="0"/>
      <w:marBottom w:val="0"/>
      <w:divBdr>
        <w:top w:val="none" w:sz="0" w:space="0" w:color="auto"/>
        <w:left w:val="none" w:sz="0" w:space="0" w:color="auto"/>
        <w:bottom w:val="none" w:sz="0" w:space="0" w:color="auto"/>
        <w:right w:val="none" w:sz="0" w:space="0" w:color="auto"/>
      </w:divBdr>
    </w:div>
    <w:div w:id="1349016830">
      <w:bodyDiv w:val="1"/>
      <w:marLeft w:val="0"/>
      <w:marRight w:val="0"/>
      <w:marTop w:val="0"/>
      <w:marBottom w:val="0"/>
      <w:divBdr>
        <w:top w:val="none" w:sz="0" w:space="0" w:color="auto"/>
        <w:left w:val="none" w:sz="0" w:space="0" w:color="auto"/>
        <w:bottom w:val="none" w:sz="0" w:space="0" w:color="auto"/>
        <w:right w:val="none" w:sz="0" w:space="0" w:color="auto"/>
      </w:divBdr>
    </w:div>
    <w:div w:id="1388070697">
      <w:bodyDiv w:val="1"/>
      <w:marLeft w:val="0"/>
      <w:marRight w:val="0"/>
      <w:marTop w:val="0"/>
      <w:marBottom w:val="0"/>
      <w:divBdr>
        <w:top w:val="none" w:sz="0" w:space="0" w:color="auto"/>
        <w:left w:val="none" w:sz="0" w:space="0" w:color="auto"/>
        <w:bottom w:val="none" w:sz="0" w:space="0" w:color="auto"/>
        <w:right w:val="none" w:sz="0" w:space="0" w:color="auto"/>
      </w:divBdr>
    </w:div>
    <w:div w:id="1596010488">
      <w:bodyDiv w:val="1"/>
      <w:marLeft w:val="0"/>
      <w:marRight w:val="0"/>
      <w:marTop w:val="0"/>
      <w:marBottom w:val="0"/>
      <w:divBdr>
        <w:top w:val="none" w:sz="0" w:space="0" w:color="auto"/>
        <w:left w:val="none" w:sz="0" w:space="0" w:color="auto"/>
        <w:bottom w:val="none" w:sz="0" w:space="0" w:color="auto"/>
        <w:right w:val="none" w:sz="0" w:space="0" w:color="auto"/>
      </w:divBdr>
    </w:div>
    <w:div w:id="1689868940">
      <w:bodyDiv w:val="1"/>
      <w:marLeft w:val="0"/>
      <w:marRight w:val="0"/>
      <w:marTop w:val="0"/>
      <w:marBottom w:val="0"/>
      <w:divBdr>
        <w:top w:val="none" w:sz="0" w:space="0" w:color="auto"/>
        <w:left w:val="none" w:sz="0" w:space="0" w:color="auto"/>
        <w:bottom w:val="none" w:sz="0" w:space="0" w:color="auto"/>
        <w:right w:val="none" w:sz="0" w:space="0" w:color="auto"/>
      </w:divBdr>
    </w:div>
    <w:div w:id="1703243939">
      <w:bodyDiv w:val="1"/>
      <w:marLeft w:val="0"/>
      <w:marRight w:val="0"/>
      <w:marTop w:val="0"/>
      <w:marBottom w:val="0"/>
      <w:divBdr>
        <w:top w:val="none" w:sz="0" w:space="0" w:color="auto"/>
        <w:left w:val="none" w:sz="0" w:space="0" w:color="auto"/>
        <w:bottom w:val="none" w:sz="0" w:space="0" w:color="auto"/>
        <w:right w:val="none" w:sz="0" w:space="0" w:color="auto"/>
      </w:divBdr>
    </w:div>
    <w:div w:id="1723821226">
      <w:bodyDiv w:val="1"/>
      <w:marLeft w:val="0"/>
      <w:marRight w:val="0"/>
      <w:marTop w:val="0"/>
      <w:marBottom w:val="0"/>
      <w:divBdr>
        <w:top w:val="none" w:sz="0" w:space="0" w:color="auto"/>
        <w:left w:val="none" w:sz="0" w:space="0" w:color="auto"/>
        <w:bottom w:val="none" w:sz="0" w:space="0" w:color="auto"/>
        <w:right w:val="none" w:sz="0" w:space="0" w:color="auto"/>
      </w:divBdr>
    </w:div>
    <w:div w:id="1756391412">
      <w:bodyDiv w:val="1"/>
      <w:marLeft w:val="0"/>
      <w:marRight w:val="0"/>
      <w:marTop w:val="0"/>
      <w:marBottom w:val="0"/>
      <w:divBdr>
        <w:top w:val="none" w:sz="0" w:space="0" w:color="auto"/>
        <w:left w:val="none" w:sz="0" w:space="0" w:color="auto"/>
        <w:bottom w:val="none" w:sz="0" w:space="0" w:color="auto"/>
        <w:right w:val="none" w:sz="0" w:space="0" w:color="auto"/>
      </w:divBdr>
    </w:div>
    <w:div w:id="1760056623">
      <w:bodyDiv w:val="1"/>
      <w:marLeft w:val="0"/>
      <w:marRight w:val="0"/>
      <w:marTop w:val="0"/>
      <w:marBottom w:val="0"/>
      <w:divBdr>
        <w:top w:val="none" w:sz="0" w:space="0" w:color="auto"/>
        <w:left w:val="none" w:sz="0" w:space="0" w:color="auto"/>
        <w:bottom w:val="none" w:sz="0" w:space="0" w:color="auto"/>
        <w:right w:val="none" w:sz="0" w:space="0" w:color="auto"/>
      </w:divBdr>
    </w:div>
    <w:div w:id="1834760483">
      <w:bodyDiv w:val="1"/>
      <w:marLeft w:val="0"/>
      <w:marRight w:val="0"/>
      <w:marTop w:val="0"/>
      <w:marBottom w:val="0"/>
      <w:divBdr>
        <w:top w:val="none" w:sz="0" w:space="0" w:color="auto"/>
        <w:left w:val="none" w:sz="0" w:space="0" w:color="auto"/>
        <w:bottom w:val="none" w:sz="0" w:space="0" w:color="auto"/>
        <w:right w:val="none" w:sz="0" w:space="0" w:color="auto"/>
      </w:divBdr>
    </w:div>
    <w:div w:id="1927379095">
      <w:bodyDiv w:val="1"/>
      <w:marLeft w:val="0"/>
      <w:marRight w:val="0"/>
      <w:marTop w:val="0"/>
      <w:marBottom w:val="0"/>
      <w:divBdr>
        <w:top w:val="none" w:sz="0" w:space="0" w:color="auto"/>
        <w:left w:val="none" w:sz="0" w:space="0" w:color="auto"/>
        <w:bottom w:val="none" w:sz="0" w:space="0" w:color="auto"/>
        <w:right w:val="none" w:sz="0" w:space="0" w:color="auto"/>
      </w:divBdr>
    </w:div>
    <w:div w:id="1983264707">
      <w:bodyDiv w:val="1"/>
      <w:marLeft w:val="0"/>
      <w:marRight w:val="0"/>
      <w:marTop w:val="0"/>
      <w:marBottom w:val="0"/>
      <w:divBdr>
        <w:top w:val="none" w:sz="0" w:space="0" w:color="auto"/>
        <w:left w:val="none" w:sz="0" w:space="0" w:color="auto"/>
        <w:bottom w:val="none" w:sz="0" w:space="0" w:color="auto"/>
        <w:right w:val="none" w:sz="0" w:space="0" w:color="auto"/>
      </w:divBdr>
    </w:div>
    <w:div w:id="2017729708">
      <w:bodyDiv w:val="1"/>
      <w:marLeft w:val="0"/>
      <w:marRight w:val="0"/>
      <w:marTop w:val="0"/>
      <w:marBottom w:val="0"/>
      <w:divBdr>
        <w:top w:val="none" w:sz="0" w:space="0" w:color="auto"/>
        <w:left w:val="none" w:sz="0" w:space="0" w:color="auto"/>
        <w:bottom w:val="none" w:sz="0" w:space="0" w:color="auto"/>
        <w:right w:val="none" w:sz="0" w:space="0" w:color="auto"/>
      </w:divBdr>
    </w:div>
    <w:div w:id="2059010202">
      <w:bodyDiv w:val="1"/>
      <w:marLeft w:val="0"/>
      <w:marRight w:val="0"/>
      <w:marTop w:val="0"/>
      <w:marBottom w:val="0"/>
      <w:divBdr>
        <w:top w:val="none" w:sz="0" w:space="0" w:color="auto"/>
        <w:left w:val="none" w:sz="0" w:space="0" w:color="auto"/>
        <w:bottom w:val="none" w:sz="0" w:space="0" w:color="auto"/>
        <w:right w:val="none" w:sz="0" w:space="0" w:color="auto"/>
      </w:divBdr>
    </w:div>
    <w:div w:id="2127386360">
      <w:bodyDiv w:val="1"/>
      <w:marLeft w:val="0"/>
      <w:marRight w:val="0"/>
      <w:marTop w:val="0"/>
      <w:marBottom w:val="0"/>
      <w:divBdr>
        <w:top w:val="none" w:sz="0" w:space="0" w:color="auto"/>
        <w:left w:val="none" w:sz="0" w:space="0" w:color="auto"/>
        <w:bottom w:val="none" w:sz="0" w:space="0" w:color="auto"/>
        <w:right w:val="none" w:sz="0" w:space="0" w:color="auto"/>
      </w:divBdr>
    </w:div>
    <w:div w:id="214723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shua%20ballance/Library/Group%20Containers/UBF8T346G9.Office/User%20Content.localized/Templates.localized/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8131A-518E-B64A-8F15-A57915187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Document.dotx</Template>
  <TotalTime>1728</TotalTime>
  <Pages>5</Pages>
  <Words>2162</Words>
  <Characters>11700</Characters>
  <Application>Microsoft Office Word</Application>
  <DocSecurity>0</DocSecurity>
  <Lines>191</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Joshua Ballance</cp:lastModifiedBy>
  <cp:revision>1908</cp:revision>
  <dcterms:created xsi:type="dcterms:W3CDTF">2020-04-06T17:03:00Z</dcterms:created>
  <dcterms:modified xsi:type="dcterms:W3CDTF">2020-12-22T16:06:00Z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