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9C1115" w14:textId="77777777" w:rsidR="00804537" w:rsidRPr="00804537" w:rsidRDefault="00804537" w:rsidP="00804537">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804537">
        <w:rPr>
          <w:rFonts w:ascii="Times New Roman" w:eastAsia="Times New Roman" w:hAnsi="Times New Roman" w:cs="Times New Roman"/>
          <w:b/>
          <w:bCs/>
          <w:color w:val="2F2F2F"/>
          <w:spacing w:val="3"/>
          <w:kern w:val="36"/>
          <w:sz w:val="35"/>
          <w:szCs w:val="35"/>
          <w:lang w:eastAsia="en-GB"/>
        </w:rPr>
        <w:t>Baer v. Regents of the University, 118 N.M. 685, 884 P.2d 841 (1994)</w:t>
      </w:r>
    </w:p>
    <w:p w14:paraId="3D9C1116" w14:textId="77777777" w:rsidR="00804537" w:rsidRPr="00804537" w:rsidRDefault="00804537" w:rsidP="00804537">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804537">
        <w:rPr>
          <w:rFonts w:ascii="Times New Roman" w:eastAsia="Times New Roman" w:hAnsi="Times New Roman" w:cs="Times New Roman"/>
          <w:color w:val="2F2F2F"/>
          <w:spacing w:val="3"/>
          <w:sz w:val="27"/>
          <w:szCs w:val="27"/>
          <w:lang w:eastAsia="en-GB"/>
        </w:rPr>
        <w:t>Sept. 8, 1994 · Court of Appeals of New Mexico · No. 14774</w:t>
      </w:r>
    </w:p>
    <w:p w14:paraId="3D9C1117" w14:textId="77777777" w:rsidR="00804537" w:rsidRPr="00804537" w:rsidRDefault="00804537" w:rsidP="00804537">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804537">
        <w:rPr>
          <w:rFonts w:ascii="Times New Roman" w:eastAsia="Times New Roman" w:hAnsi="Times New Roman" w:cs="Times New Roman"/>
          <w:color w:val="2F2F2F"/>
          <w:spacing w:val="3"/>
          <w:sz w:val="27"/>
          <w:szCs w:val="27"/>
          <w:lang w:eastAsia="en-GB"/>
        </w:rPr>
        <w:t>118 N.M. 685, 884 P.2d 841</w:t>
      </w:r>
    </w:p>
    <w:p w14:paraId="3D9C1118" w14:textId="77777777" w:rsidR="00804537" w:rsidRPr="00804537" w:rsidRDefault="00804537" w:rsidP="00804537">
      <w:pPr>
        <w:shd w:val="clear" w:color="auto" w:fill="FFFFFF"/>
        <w:spacing w:after="0" w:line="240" w:lineRule="auto"/>
        <w:rPr>
          <w:rFonts w:ascii="Georgia" w:eastAsia="Times New Roman" w:hAnsi="Georgia" w:cs="Arial"/>
          <w:color w:val="2F2F2F"/>
          <w:spacing w:val="3"/>
          <w:sz w:val="30"/>
          <w:szCs w:val="30"/>
          <w:lang w:eastAsia="en-GB"/>
        </w:rPr>
      </w:pPr>
      <w:r w:rsidRPr="00804537">
        <w:rPr>
          <w:rFonts w:ascii="Georgia" w:eastAsia="Times New Roman" w:hAnsi="Georgia" w:cs="Arial"/>
          <w:color w:val="2F2F2F"/>
          <w:spacing w:val="3"/>
          <w:sz w:val="30"/>
          <w:szCs w:val="30"/>
          <w:lang w:eastAsia="en-GB"/>
        </w:rPr>
        <w:t>Jo BAER, Personal Representative of the Estate of Helmut W. Baer, Deceased, Plaintiff-Appellant,</w:t>
      </w:r>
      <w:r w:rsidRPr="00804537">
        <w:rPr>
          <w:rFonts w:ascii="Georgia" w:eastAsia="Times New Roman" w:hAnsi="Georgia" w:cs="Arial"/>
          <w:i/>
          <w:iCs/>
          <w:color w:val="2F2F2F"/>
          <w:spacing w:val="3"/>
          <w:sz w:val="30"/>
          <w:szCs w:val="30"/>
          <w:lang w:eastAsia="en-GB"/>
        </w:rPr>
        <w:t>v.</w:t>
      </w:r>
      <w:r w:rsidRPr="00804537">
        <w:rPr>
          <w:rFonts w:ascii="Georgia" w:eastAsia="Times New Roman" w:hAnsi="Georgia" w:cs="Arial"/>
          <w:color w:val="2F2F2F"/>
          <w:spacing w:val="3"/>
          <w:sz w:val="30"/>
          <w:szCs w:val="30"/>
          <w:lang w:eastAsia="en-GB"/>
        </w:rPr>
        <w:t>REGENTS OF the UNIVERSITY OF CALIFORNIA and Jerry Williams, M.D., Defendants-Appellees</w:t>
      </w:r>
    </w:p>
    <w:p w14:paraId="3D9C1119" w14:textId="77777777" w:rsidR="00804537" w:rsidRPr="00804537" w:rsidRDefault="00804537" w:rsidP="00804537">
      <w:pPr>
        <w:spacing w:before="100" w:beforeAutospacing="1" w:after="100" w:afterAutospacing="1" w:line="240" w:lineRule="auto"/>
        <w:rPr>
          <w:rFonts w:ascii="Georgia" w:eastAsia="Times New Roman" w:hAnsi="Georgia" w:cs="Times New Roman"/>
          <w:sz w:val="24"/>
          <w:szCs w:val="24"/>
          <w:lang w:eastAsia="en-GB"/>
        </w:rPr>
      </w:pPr>
      <w:r w:rsidRPr="00804537">
        <w:rPr>
          <w:rFonts w:ascii="Georgia" w:eastAsia="Times New Roman" w:hAnsi="Georgia" w:cs="Times New Roman"/>
          <w:sz w:val="24"/>
          <w:szCs w:val="24"/>
          <w:lang w:eastAsia="en-GB"/>
        </w:rPr>
        <w:t>884 P.2d 841</w:t>
      </w:r>
    </w:p>
    <w:p w14:paraId="3D9C111A" w14:textId="77777777" w:rsidR="00804537" w:rsidRPr="00804537" w:rsidRDefault="00804537" w:rsidP="00804537">
      <w:pPr>
        <w:spacing w:before="100" w:beforeAutospacing="1" w:after="100" w:afterAutospacing="1" w:line="240" w:lineRule="auto"/>
        <w:rPr>
          <w:rFonts w:ascii="Georgia" w:eastAsia="Times New Roman" w:hAnsi="Georgia" w:cs="Times New Roman"/>
          <w:sz w:val="24"/>
          <w:szCs w:val="24"/>
          <w:lang w:eastAsia="en-GB"/>
        </w:rPr>
      </w:pPr>
      <w:r w:rsidRPr="00804537">
        <w:rPr>
          <w:rFonts w:ascii="Georgia" w:eastAsia="Times New Roman" w:hAnsi="Georgia" w:cs="Times New Roman"/>
          <w:sz w:val="24"/>
          <w:szCs w:val="24"/>
          <w:lang w:eastAsia="en-GB"/>
        </w:rPr>
        <w:t>Court of Appeals of New Mexico.</w:t>
      </w:r>
    </w:p>
    <w:p w14:paraId="3D9C111B" w14:textId="7AF2954E" w:rsidR="00804537" w:rsidRPr="00804537" w:rsidRDefault="00804537" w:rsidP="00804537">
      <w:pPr>
        <w:shd w:val="clear" w:color="auto" w:fill="F7F7F9"/>
        <w:spacing w:before="100" w:beforeAutospacing="1" w:after="0" w:line="240" w:lineRule="auto"/>
        <w:rPr>
          <w:rFonts w:ascii="Georgia" w:eastAsia="Times New Roman" w:hAnsi="Georgia" w:cs="Times New Roman"/>
          <w:sz w:val="24"/>
          <w:szCs w:val="24"/>
          <w:lang w:eastAsia="en-GB"/>
        </w:rPr>
      </w:pPr>
      <w:r w:rsidRPr="00804537">
        <w:rPr>
          <w:rFonts w:ascii="Georgia" w:eastAsia="Times New Roman" w:hAnsi="Georgia" w:cs="Times New Roman"/>
          <w:i/>
          <w:iCs/>
          <w:color w:val="979797"/>
          <w:sz w:val="19"/>
          <w:szCs w:val="19"/>
          <w:lang w:eastAsia="en-GB"/>
        </w:rPr>
        <w:t>*686</w:t>
      </w:r>
      <w:r w:rsidRPr="00804537">
        <w:rPr>
          <w:rFonts w:ascii="Georgia" w:eastAsia="Times New Roman" w:hAnsi="Georgia" w:cs="Times New Roman"/>
          <w:sz w:val="24"/>
          <w:szCs w:val="24"/>
          <w:lang w:eastAsia="en-GB"/>
        </w:rPr>
        <w:t>Ray Tabet, Ray Tabet Law Offices, Albuquerque, for plaintiff-appellant.</w:t>
      </w:r>
    </w:p>
    <w:p w14:paraId="3D9C111C" w14:textId="77777777" w:rsidR="00804537" w:rsidRPr="00804537" w:rsidRDefault="00804537" w:rsidP="00804537">
      <w:pPr>
        <w:shd w:val="clear" w:color="auto" w:fill="F7F7F9"/>
        <w:spacing w:after="0" w:line="240" w:lineRule="auto"/>
        <w:rPr>
          <w:rFonts w:ascii="Georgia" w:eastAsia="Times New Roman" w:hAnsi="Georgia" w:cs="Times New Roman"/>
          <w:sz w:val="24"/>
          <w:szCs w:val="24"/>
          <w:lang w:eastAsia="en-GB"/>
        </w:rPr>
      </w:pPr>
      <w:r w:rsidRPr="00804537">
        <w:rPr>
          <w:rFonts w:ascii="Georgia" w:eastAsia="Times New Roman" w:hAnsi="Georgia" w:cs="Times New Roman"/>
          <w:sz w:val="24"/>
          <w:szCs w:val="24"/>
          <w:lang w:eastAsia="en-GB"/>
        </w:rPr>
        <w:t>Bradford C. Berge, David B. Lawrenz, Campbell, Carr, Berge &amp; Sheridan, P.A., Santa Fe, for defendants-appellees.</w:t>
      </w:r>
    </w:p>
    <w:p w14:paraId="3D9C111D" w14:textId="77777777" w:rsidR="00804537" w:rsidRPr="00804537" w:rsidRDefault="00804537" w:rsidP="00804537">
      <w:pPr>
        <w:spacing w:before="100" w:beforeAutospacing="1" w:after="225" w:line="240" w:lineRule="auto"/>
        <w:rPr>
          <w:rFonts w:ascii="Georgia" w:eastAsia="Times New Roman" w:hAnsi="Georgia" w:cs="Times New Roman"/>
          <w:sz w:val="24"/>
          <w:szCs w:val="24"/>
          <w:lang w:eastAsia="en-GB"/>
        </w:rPr>
      </w:pPr>
      <w:r w:rsidRPr="00804537">
        <w:rPr>
          <w:rFonts w:ascii="Georgia" w:eastAsia="Times New Roman" w:hAnsi="Georgia" w:cs="Times New Roman"/>
          <w:i/>
          <w:iCs/>
          <w:sz w:val="24"/>
          <w:szCs w:val="24"/>
          <w:lang w:eastAsia="en-GB"/>
        </w:rPr>
        <w:t>OPINION</w:t>
      </w:r>
    </w:p>
    <w:p w14:paraId="3D9C111E" w14:textId="77777777" w:rsidR="00804537" w:rsidRPr="00804537" w:rsidRDefault="00804537" w:rsidP="00804537">
      <w:pPr>
        <w:spacing w:before="100" w:beforeAutospacing="1" w:after="225" w:line="240" w:lineRule="auto"/>
        <w:rPr>
          <w:rFonts w:ascii="Georgia" w:eastAsia="Times New Roman" w:hAnsi="Georgia" w:cs="Times New Roman"/>
          <w:color w:val="E878FF"/>
          <w:sz w:val="24"/>
          <w:szCs w:val="24"/>
          <w:lang w:eastAsia="en-GB"/>
        </w:rPr>
      </w:pPr>
      <w:r w:rsidRPr="00804537">
        <w:rPr>
          <w:rFonts w:ascii="Georgia" w:eastAsia="Times New Roman" w:hAnsi="Georgia" w:cs="Times New Roman"/>
          <w:color w:val="E878FF"/>
          <w:sz w:val="24"/>
          <w:szCs w:val="24"/>
          <w:lang w:eastAsia="en-GB"/>
        </w:rPr>
        <w:t>ALARID, Judge.</w:t>
      </w:r>
    </w:p>
    <w:p w14:paraId="3D9C111F" w14:textId="77777777" w:rsidR="00804537" w:rsidRPr="00804537" w:rsidRDefault="00804537" w:rsidP="00804537">
      <w:pPr>
        <w:spacing w:before="100" w:beforeAutospacing="1" w:after="225" w:line="240" w:lineRule="auto"/>
        <w:rPr>
          <w:rFonts w:ascii="Georgia" w:eastAsia="Times New Roman" w:hAnsi="Georgia" w:cs="Times New Roman"/>
          <w:sz w:val="24"/>
          <w:szCs w:val="24"/>
          <w:lang w:eastAsia="en-GB"/>
        </w:rPr>
      </w:pPr>
      <w:r w:rsidRPr="00804537">
        <w:rPr>
          <w:rFonts w:ascii="Georgia" w:eastAsia="Times New Roman" w:hAnsi="Georgia" w:cs="Times New Roman"/>
          <w:sz w:val="24"/>
          <w:szCs w:val="24"/>
          <w:highlight w:val="magenta"/>
          <w:lang w:eastAsia="en-GB"/>
        </w:rPr>
        <w:t xml:space="preserve">This </w:t>
      </w:r>
      <w:r w:rsidRPr="003D206D">
        <w:rPr>
          <w:rFonts w:ascii="Georgia" w:eastAsia="Times New Roman" w:hAnsi="Georgia" w:cs="Times New Roman"/>
          <w:sz w:val="24"/>
          <w:szCs w:val="24"/>
          <w:highlight w:val="magenta"/>
          <w:lang w:eastAsia="en-GB"/>
        </w:rPr>
        <w:t xml:space="preserve">appeal concerns a claim for wrongful death as a result of medical malpractice. The district </w:t>
      </w:r>
      <w:r w:rsidRPr="00804537">
        <w:rPr>
          <w:rFonts w:ascii="Georgia" w:eastAsia="Times New Roman" w:hAnsi="Georgia" w:cs="Times New Roman"/>
          <w:sz w:val="24"/>
          <w:szCs w:val="24"/>
          <w:highlight w:val="magenta"/>
          <w:lang w:eastAsia="en-GB"/>
        </w:rPr>
        <w:t>court granted summary judgment in favor of Defendants, and Plaintiff appeals</w:t>
      </w:r>
      <w:r w:rsidRPr="00804537">
        <w:rPr>
          <w:rFonts w:ascii="Georgia" w:eastAsia="Times New Roman" w:hAnsi="Georgia" w:cs="Times New Roman"/>
          <w:sz w:val="24"/>
          <w:szCs w:val="24"/>
          <w:lang w:eastAsia="en-GB"/>
        </w:rPr>
        <w:t xml:space="preserve">. </w:t>
      </w:r>
      <w:r w:rsidRPr="00FF1963">
        <w:rPr>
          <w:rFonts w:ascii="Georgia" w:eastAsia="Times New Roman" w:hAnsi="Georgia" w:cs="Times New Roman"/>
          <w:sz w:val="24"/>
          <w:szCs w:val="24"/>
          <w:lang w:eastAsia="en-GB"/>
        </w:rPr>
        <w:t>The dispositive issue is whether a legally recognizable duty exists between a health care provider and an examinee in situations in which employees are required to undergo physical examinations as a condition of obtaining or retaining employment.</w:t>
      </w:r>
      <w:r w:rsidRPr="00804537">
        <w:rPr>
          <w:rFonts w:ascii="Georgia" w:eastAsia="Times New Roman" w:hAnsi="Georgia" w:cs="Times New Roman"/>
          <w:sz w:val="24"/>
          <w:szCs w:val="24"/>
          <w:lang w:eastAsia="en-GB"/>
        </w:rPr>
        <w:t xml:space="preserve"> For the reasons explained below, </w:t>
      </w:r>
      <w:r w:rsidRPr="00FF1963">
        <w:rPr>
          <w:rFonts w:ascii="Georgia" w:eastAsia="Times New Roman" w:hAnsi="Georgia" w:cs="Times New Roman"/>
          <w:sz w:val="24"/>
          <w:szCs w:val="24"/>
          <w:lang w:eastAsia="en-GB"/>
        </w:rPr>
        <w:t>we hold such a duty does exist</w:t>
      </w:r>
      <w:r w:rsidRPr="00804537">
        <w:rPr>
          <w:rFonts w:ascii="Georgia" w:eastAsia="Times New Roman" w:hAnsi="Georgia" w:cs="Times New Roman"/>
          <w:sz w:val="24"/>
          <w:szCs w:val="24"/>
          <w:lang w:eastAsia="en-GB"/>
        </w:rPr>
        <w:t xml:space="preserve">. </w:t>
      </w:r>
      <w:r w:rsidRPr="00FF1963">
        <w:rPr>
          <w:rFonts w:ascii="Georgia" w:eastAsia="Times New Roman" w:hAnsi="Georgia" w:cs="Times New Roman"/>
          <w:sz w:val="24"/>
          <w:szCs w:val="24"/>
          <w:highlight w:val="red"/>
          <w:lang w:eastAsia="en-GB"/>
        </w:rPr>
        <w:t>We</w:t>
      </w:r>
      <w:r w:rsidRPr="00804537">
        <w:rPr>
          <w:rFonts w:ascii="Georgia" w:eastAsia="Times New Roman" w:hAnsi="Georgia" w:cs="Times New Roman"/>
          <w:sz w:val="24"/>
          <w:szCs w:val="24"/>
          <w:lang w:eastAsia="en-GB"/>
        </w:rPr>
        <w:t xml:space="preserve"> therefore </w:t>
      </w:r>
      <w:r w:rsidRPr="00804537">
        <w:rPr>
          <w:rFonts w:ascii="Georgia" w:eastAsia="Times New Roman" w:hAnsi="Georgia" w:cs="Times New Roman"/>
          <w:sz w:val="24"/>
          <w:szCs w:val="24"/>
          <w:highlight w:val="red"/>
          <w:lang w:eastAsia="en-GB"/>
        </w:rPr>
        <w:t>reverse the summary judgment granted Defendant Regents of the University of California</w:t>
      </w:r>
      <w:r w:rsidRPr="00804537">
        <w:rPr>
          <w:rFonts w:ascii="Georgia" w:eastAsia="Times New Roman" w:hAnsi="Georgia" w:cs="Times New Roman"/>
          <w:sz w:val="24"/>
          <w:szCs w:val="24"/>
          <w:lang w:eastAsia="en-GB"/>
        </w:rPr>
        <w:t xml:space="preserve"> (Re</w:t>
      </w:r>
      <w:hyperlink r:id="rId4" w:anchor="p687" w:history="1">
        <w:r w:rsidRPr="00804537">
          <w:rPr>
            <w:rFonts w:ascii="Georgia" w:eastAsia="Times New Roman" w:hAnsi="Georgia" w:cs="Times New Roman"/>
            <w:i/>
            <w:iCs/>
            <w:color w:val="979797"/>
            <w:sz w:val="19"/>
            <w:szCs w:val="19"/>
            <w:lang w:eastAsia="en-GB"/>
          </w:rPr>
          <w:t>*687</w:t>
        </w:r>
      </w:hyperlink>
      <w:r w:rsidRPr="00804537">
        <w:rPr>
          <w:rFonts w:ascii="Georgia" w:eastAsia="Times New Roman" w:hAnsi="Georgia" w:cs="Times New Roman"/>
          <w:sz w:val="24"/>
          <w:szCs w:val="24"/>
          <w:lang w:eastAsia="en-GB"/>
        </w:rPr>
        <w:t>gents) as employer of James Pederson (Pederson), the physician’s assistant who examined Plaintiffs decedent</w:t>
      </w:r>
      <w:r w:rsidRPr="001A61E4">
        <w:rPr>
          <w:rFonts w:ascii="Georgia" w:eastAsia="Times New Roman" w:hAnsi="Georgia" w:cs="Times New Roman"/>
          <w:sz w:val="24"/>
          <w:szCs w:val="24"/>
          <w:lang w:eastAsia="en-GB"/>
        </w:rPr>
        <w:t>. However, we affirm the summary judgment granted Defendant Dr. Williams because Plaintiffs cause of action against him is barred by the statute of limitations.</w:t>
      </w:r>
    </w:p>
    <w:p w14:paraId="3D9C1120" w14:textId="77777777" w:rsidR="00804537" w:rsidRPr="00804537" w:rsidRDefault="00804537" w:rsidP="00804537">
      <w:pPr>
        <w:spacing w:before="100" w:beforeAutospacing="1" w:after="225" w:line="240" w:lineRule="auto"/>
        <w:rPr>
          <w:rFonts w:ascii="Georgia" w:eastAsia="Times New Roman" w:hAnsi="Georgia" w:cs="Times New Roman"/>
          <w:sz w:val="24"/>
          <w:szCs w:val="24"/>
          <w:lang w:eastAsia="en-GB"/>
        </w:rPr>
      </w:pPr>
      <w:r w:rsidRPr="00804537">
        <w:rPr>
          <w:rFonts w:ascii="Georgia" w:eastAsia="Times New Roman" w:hAnsi="Georgia" w:cs="Times New Roman"/>
          <w:sz w:val="24"/>
          <w:szCs w:val="24"/>
          <w:lang w:eastAsia="en-GB"/>
        </w:rPr>
        <w:t>BACKGROUND AND FACTS</w:t>
      </w:r>
    </w:p>
    <w:p w14:paraId="3D9C1121" w14:textId="77777777" w:rsidR="00804537" w:rsidRPr="00804537" w:rsidRDefault="00804537" w:rsidP="00804537">
      <w:pPr>
        <w:spacing w:before="100" w:beforeAutospacing="1" w:after="225" w:line="240" w:lineRule="auto"/>
        <w:rPr>
          <w:rFonts w:ascii="Georgia" w:eastAsia="Times New Roman" w:hAnsi="Georgia" w:cs="Times New Roman"/>
          <w:sz w:val="24"/>
          <w:szCs w:val="24"/>
          <w:lang w:eastAsia="en-GB"/>
        </w:rPr>
      </w:pPr>
      <w:r w:rsidRPr="00804537">
        <w:rPr>
          <w:rFonts w:ascii="Georgia" w:eastAsia="Times New Roman" w:hAnsi="Georgia" w:cs="Times New Roman"/>
          <w:sz w:val="24"/>
          <w:szCs w:val="24"/>
          <w:highlight w:val="yellow"/>
          <w:lang w:eastAsia="en-GB"/>
        </w:rPr>
        <w:t>Plaintiffs husband, decedent Helmut W. Baer, was a physicist who worked at Los Alamos National Laboratory from 1978 until his death in 1991.</w:t>
      </w:r>
      <w:r w:rsidRPr="00804537">
        <w:rPr>
          <w:rFonts w:ascii="Georgia" w:eastAsia="Times New Roman" w:hAnsi="Georgia" w:cs="Times New Roman"/>
          <w:sz w:val="24"/>
          <w:szCs w:val="24"/>
          <w:lang w:eastAsia="en-GB"/>
        </w:rPr>
        <w:t xml:space="preserve"> </w:t>
      </w:r>
      <w:r w:rsidRPr="00804537">
        <w:rPr>
          <w:rFonts w:ascii="Georgia" w:eastAsia="Times New Roman" w:hAnsi="Georgia" w:cs="Times New Roman"/>
          <w:sz w:val="24"/>
          <w:szCs w:val="24"/>
          <w:highlight w:val="yellow"/>
          <w:lang w:eastAsia="en-GB"/>
        </w:rPr>
        <w:t>Regents</w:t>
      </w:r>
      <w:r w:rsidRPr="00804537">
        <w:rPr>
          <w:rFonts w:ascii="Georgia" w:eastAsia="Times New Roman" w:hAnsi="Georgia" w:cs="Times New Roman"/>
          <w:sz w:val="24"/>
          <w:szCs w:val="24"/>
          <w:lang w:eastAsia="en-GB"/>
        </w:rPr>
        <w:t xml:space="preserve"> conduct business in New Mexico and </w:t>
      </w:r>
      <w:r w:rsidRPr="00804537">
        <w:rPr>
          <w:rFonts w:ascii="Georgia" w:eastAsia="Times New Roman" w:hAnsi="Georgia" w:cs="Times New Roman"/>
          <w:sz w:val="24"/>
          <w:szCs w:val="24"/>
          <w:highlight w:val="yellow"/>
          <w:lang w:eastAsia="en-GB"/>
        </w:rPr>
        <w:t>operate the Los Alamos National Laboratory (LANL)</w:t>
      </w:r>
      <w:r w:rsidRPr="00804537">
        <w:rPr>
          <w:rFonts w:ascii="Georgia" w:eastAsia="Times New Roman" w:hAnsi="Georgia" w:cs="Times New Roman"/>
          <w:sz w:val="24"/>
          <w:szCs w:val="24"/>
          <w:lang w:eastAsia="en-GB"/>
        </w:rPr>
        <w:t xml:space="preserve"> under contract with the Department of Energy. </w:t>
      </w:r>
      <w:r w:rsidRPr="00804537">
        <w:rPr>
          <w:rFonts w:ascii="Georgia" w:eastAsia="Times New Roman" w:hAnsi="Georgia" w:cs="Times New Roman"/>
          <w:sz w:val="24"/>
          <w:szCs w:val="24"/>
          <w:highlight w:val="yellow"/>
          <w:lang w:eastAsia="en-GB"/>
        </w:rPr>
        <w:t>Dr. Williams was at all times material to this cause of action a physician employed by LANL. As part of the regular employment practice at LANL, Mr. Baer was required to undergo periodic physical examinations.</w:t>
      </w:r>
    </w:p>
    <w:p w14:paraId="3D9C1122" w14:textId="77777777" w:rsidR="00804537" w:rsidRPr="00804537" w:rsidRDefault="00804537" w:rsidP="00804537">
      <w:pPr>
        <w:spacing w:before="100" w:beforeAutospacing="1" w:after="225" w:line="240" w:lineRule="auto"/>
        <w:rPr>
          <w:rFonts w:ascii="Georgia" w:eastAsia="Times New Roman" w:hAnsi="Georgia" w:cs="Times New Roman"/>
          <w:sz w:val="24"/>
          <w:szCs w:val="24"/>
          <w:lang w:eastAsia="en-GB"/>
        </w:rPr>
      </w:pPr>
      <w:r w:rsidRPr="00804537">
        <w:rPr>
          <w:rFonts w:ascii="Georgia" w:eastAsia="Times New Roman" w:hAnsi="Georgia" w:cs="Times New Roman"/>
          <w:sz w:val="24"/>
          <w:szCs w:val="24"/>
          <w:highlight w:val="yellow"/>
          <w:lang w:eastAsia="en-GB"/>
        </w:rPr>
        <w:t xml:space="preserve">During his 1985 examination, chest x-rays revealed an abnormality in the right lung. Dr. Williams discussed the x-ray findings with Mr. Baer and indicated that the abnormal result should be pursued through his private physician. Mr. Baer’s private physician conducted follow-up examinations, supplementary testing, and referred results to a third physician for additional interpretation. A little over one year later, </w:t>
      </w:r>
      <w:r w:rsidRPr="00804537">
        <w:rPr>
          <w:rFonts w:ascii="Georgia" w:eastAsia="Times New Roman" w:hAnsi="Georgia" w:cs="Times New Roman"/>
          <w:sz w:val="24"/>
          <w:szCs w:val="24"/>
          <w:highlight w:val="yellow"/>
          <w:lang w:eastAsia="en-GB"/>
        </w:rPr>
        <w:lastRenderedPageBreak/>
        <w:t>subsequent to a December 1986 follow-up examination, Mr. Baer’s private physician interpreted the lesion as benign, but recommended that it continue to be tracked in one year’s time.</w:t>
      </w:r>
    </w:p>
    <w:p w14:paraId="3D9C1123" w14:textId="77777777" w:rsidR="00804537" w:rsidRPr="00804537" w:rsidRDefault="00804537" w:rsidP="00804537">
      <w:pPr>
        <w:spacing w:before="100" w:beforeAutospacing="1" w:after="225" w:line="240" w:lineRule="auto"/>
        <w:rPr>
          <w:rFonts w:ascii="Georgia" w:eastAsia="Times New Roman" w:hAnsi="Georgia" w:cs="Times New Roman"/>
          <w:sz w:val="24"/>
          <w:szCs w:val="24"/>
          <w:lang w:eastAsia="en-GB"/>
        </w:rPr>
      </w:pPr>
      <w:r w:rsidRPr="00804537">
        <w:rPr>
          <w:rFonts w:ascii="Georgia" w:eastAsia="Times New Roman" w:hAnsi="Georgia" w:cs="Times New Roman"/>
          <w:sz w:val="24"/>
          <w:szCs w:val="24"/>
          <w:lang w:eastAsia="en-GB"/>
        </w:rPr>
        <w:t xml:space="preserve">Apparently </w:t>
      </w:r>
      <w:r w:rsidRPr="00804537">
        <w:rPr>
          <w:rFonts w:ascii="Georgia" w:eastAsia="Times New Roman" w:hAnsi="Georgia" w:cs="Times New Roman"/>
          <w:sz w:val="24"/>
          <w:szCs w:val="24"/>
          <w:highlight w:val="yellow"/>
          <w:lang w:eastAsia="en-GB"/>
        </w:rPr>
        <w:t>Mr. Baer failed to follow this recommendation because he was next examined at LANL by Dr. Williams in March 1988 as part of his regular employment. At that time, additional chest x-rays were taken and Dr. Williams once again recommended that Mr. Baer return to his private physician “for one more follow-up visit at which time comparison can be made between his current and previous x-ray studies.” Mr. Baer did not, however, follow up with his private physician and was next examined at LANL during the course of his regular employment by Pederson, in July 1989.</w:t>
      </w:r>
    </w:p>
    <w:p w14:paraId="3D9C1124" w14:textId="77777777" w:rsidR="00804537" w:rsidRPr="00804537" w:rsidRDefault="00804537" w:rsidP="00804537">
      <w:pPr>
        <w:spacing w:before="100" w:beforeAutospacing="1" w:after="225" w:line="240" w:lineRule="auto"/>
        <w:rPr>
          <w:rFonts w:ascii="Georgia" w:eastAsia="Times New Roman" w:hAnsi="Georgia" w:cs="Times New Roman"/>
          <w:sz w:val="24"/>
          <w:szCs w:val="24"/>
          <w:lang w:eastAsia="en-GB"/>
        </w:rPr>
      </w:pPr>
      <w:r w:rsidRPr="00804537">
        <w:rPr>
          <w:rFonts w:ascii="Georgia" w:eastAsia="Times New Roman" w:hAnsi="Georgia" w:cs="Times New Roman"/>
          <w:sz w:val="24"/>
          <w:szCs w:val="24"/>
          <w:highlight w:val="yellow"/>
          <w:lang w:eastAsia="en-GB"/>
        </w:rPr>
        <w:t>During this examination, no chest x-rays were taken, and conflicting evidence makes uncertain whether Pederson was aware of Mr. Baer’s chest condition. In any event, he was not x-rayed, and in July 1990 Mr. Baer was diagnosed by his private physician as having large cell carcinoma. He died in October 1991 after receiving medical treatment</w:t>
      </w:r>
      <w:r w:rsidRPr="00804537">
        <w:rPr>
          <w:rFonts w:ascii="Georgia" w:eastAsia="Times New Roman" w:hAnsi="Georgia" w:cs="Times New Roman"/>
          <w:sz w:val="24"/>
          <w:szCs w:val="24"/>
          <w:lang w:eastAsia="en-GB"/>
        </w:rPr>
        <w:t xml:space="preserve">. Thereafter, </w:t>
      </w:r>
      <w:r w:rsidRPr="00804537">
        <w:rPr>
          <w:rFonts w:ascii="Georgia" w:eastAsia="Times New Roman" w:hAnsi="Georgia" w:cs="Times New Roman"/>
          <w:sz w:val="24"/>
          <w:szCs w:val="24"/>
          <w:highlight w:val="magenta"/>
          <w:lang w:eastAsia="en-GB"/>
        </w:rPr>
        <w:t>in February 1992, Plaintiff initiated this lawsuit</w:t>
      </w:r>
      <w:r w:rsidRPr="00804537">
        <w:rPr>
          <w:rFonts w:ascii="Georgia" w:eastAsia="Times New Roman" w:hAnsi="Georgia" w:cs="Times New Roman"/>
          <w:sz w:val="24"/>
          <w:szCs w:val="24"/>
          <w:lang w:eastAsia="en-GB"/>
        </w:rPr>
        <w:t xml:space="preserve"> as the personal representative of the estate of Mr. Baer. </w:t>
      </w:r>
      <w:r w:rsidRPr="005661C8">
        <w:rPr>
          <w:rFonts w:ascii="Georgia" w:eastAsia="Times New Roman" w:hAnsi="Georgia" w:cs="Times New Roman"/>
          <w:sz w:val="24"/>
          <w:szCs w:val="24"/>
          <w:lang w:eastAsia="en-GB"/>
        </w:rPr>
        <w:t>Her complaint alleged, among other things, that Mr. Baer’s private physician, as well as Dr. Williams “and other medical personnel at LANL” departed from the standard of knowledge, skill, and care in failing to diagnose a nodule in the lungs of Mr. Baer as being cancerous.</w:t>
      </w:r>
    </w:p>
    <w:p w14:paraId="3D9C1125" w14:textId="77777777" w:rsidR="00804537" w:rsidRPr="00804537" w:rsidRDefault="00804537" w:rsidP="00804537">
      <w:pPr>
        <w:spacing w:before="100" w:beforeAutospacing="1" w:after="225" w:line="240" w:lineRule="auto"/>
        <w:rPr>
          <w:rFonts w:ascii="Georgia" w:eastAsia="Times New Roman" w:hAnsi="Georgia" w:cs="Times New Roman"/>
          <w:sz w:val="24"/>
          <w:szCs w:val="24"/>
          <w:lang w:eastAsia="en-GB"/>
        </w:rPr>
      </w:pPr>
      <w:r w:rsidRPr="00804537">
        <w:rPr>
          <w:rFonts w:ascii="Georgia" w:eastAsia="Times New Roman" w:hAnsi="Georgia" w:cs="Times New Roman"/>
          <w:sz w:val="24"/>
          <w:szCs w:val="24"/>
          <w:lang w:eastAsia="en-GB"/>
        </w:rPr>
        <w:t xml:space="preserve">After </w:t>
      </w:r>
      <w:r w:rsidRPr="00804537">
        <w:rPr>
          <w:rFonts w:ascii="Georgia" w:eastAsia="Times New Roman" w:hAnsi="Georgia" w:cs="Times New Roman"/>
          <w:sz w:val="24"/>
          <w:szCs w:val="24"/>
          <w:highlight w:val="magenta"/>
          <w:lang w:eastAsia="en-GB"/>
        </w:rPr>
        <w:t xml:space="preserve">Mr. Baer’s private physician was granted summary judgment, the remaining </w:t>
      </w:r>
      <w:r w:rsidRPr="005661C8">
        <w:rPr>
          <w:rFonts w:ascii="Georgia" w:eastAsia="Times New Roman" w:hAnsi="Georgia" w:cs="Times New Roman"/>
          <w:sz w:val="24"/>
          <w:szCs w:val="24"/>
          <w:highlight w:val="magenta"/>
          <w:lang w:eastAsia="en-GB"/>
        </w:rPr>
        <w:t xml:space="preserve">defendants responded to Plaintiffs complaint by also moving for summary judgment </w:t>
      </w:r>
      <w:r w:rsidRPr="009E7926">
        <w:rPr>
          <w:rFonts w:ascii="Georgia" w:eastAsia="Times New Roman" w:hAnsi="Georgia" w:cs="Times New Roman"/>
          <w:sz w:val="24"/>
          <w:szCs w:val="24"/>
          <w:highlight w:val="magenta"/>
          <w:lang w:eastAsia="en-GB"/>
        </w:rPr>
        <w:t>on the basis that</w:t>
      </w:r>
      <w:r w:rsidRPr="005661C8">
        <w:rPr>
          <w:rFonts w:ascii="Georgia" w:eastAsia="Times New Roman" w:hAnsi="Georgia" w:cs="Times New Roman"/>
          <w:sz w:val="24"/>
          <w:szCs w:val="24"/>
          <w:lang w:eastAsia="en-GB"/>
        </w:rPr>
        <w:t xml:space="preserve"> the action was time-barred and that </w:t>
      </w:r>
      <w:r w:rsidRPr="009E7926">
        <w:rPr>
          <w:rFonts w:ascii="Georgia" w:eastAsia="Times New Roman" w:hAnsi="Georgia" w:cs="Times New Roman"/>
          <w:sz w:val="24"/>
          <w:szCs w:val="24"/>
          <w:highlight w:val="magenta"/>
          <w:lang w:eastAsia="en-GB"/>
        </w:rPr>
        <w:t xml:space="preserve">no physician-patient relationship existed between Mr. Baer and Dr. Williams or any of the other medical personnel at LANL. The district court initially denied that motion, but later granted it following the filing of a motion for reconsideration. In the memorandum opinion announcing its decision, the </w:t>
      </w:r>
      <w:r w:rsidRPr="00804537">
        <w:rPr>
          <w:rFonts w:ascii="Georgia" w:eastAsia="Times New Roman" w:hAnsi="Georgia" w:cs="Times New Roman"/>
          <w:sz w:val="24"/>
          <w:szCs w:val="24"/>
          <w:highlight w:val="magenta"/>
          <w:lang w:eastAsia="en-GB"/>
        </w:rPr>
        <w:t xml:space="preserve">district court held that the motion for summary judgment was </w:t>
      </w:r>
      <w:r w:rsidRPr="005661C8">
        <w:rPr>
          <w:rFonts w:ascii="Georgia" w:eastAsia="Times New Roman" w:hAnsi="Georgia" w:cs="Times New Roman"/>
          <w:sz w:val="24"/>
          <w:szCs w:val="24"/>
          <w:highlight w:val="magenta"/>
          <w:lang w:eastAsia="en-GB"/>
        </w:rPr>
        <w:t>proper because</w:t>
      </w:r>
      <w:r w:rsidRPr="00804537">
        <w:rPr>
          <w:rFonts w:ascii="Georgia" w:eastAsia="Times New Roman" w:hAnsi="Georgia" w:cs="Times New Roman"/>
          <w:sz w:val="24"/>
          <w:szCs w:val="24"/>
          <w:lang w:eastAsia="en-GB"/>
        </w:rPr>
        <w:t xml:space="preserve"> (1) Plaintiffs complaint had been filed more than three years after the time Dr. Williams last examined Mr. Baer; and </w:t>
      </w:r>
      <w:r w:rsidRPr="005661C8">
        <w:rPr>
          <w:rFonts w:ascii="Georgia" w:eastAsia="Times New Roman" w:hAnsi="Georgia" w:cs="Times New Roman"/>
          <w:sz w:val="24"/>
          <w:szCs w:val="24"/>
          <w:highlight w:val="magenta"/>
          <w:lang w:eastAsia="en-GB"/>
        </w:rPr>
        <w:t>(2) no physician-patient relationship existed between Mr. Baer and Dr. Williams or LANL. Plaintiff appeals that decision to this Court.</w:t>
      </w:r>
    </w:p>
    <w:p w14:paraId="3D9C1126" w14:textId="77777777" w:rsidR="00804537" w:rsidRPr="00804537" w:rsidRDefault="00804537" w:rsidP="00804537">
      <w:pPr>
        <w:spacing w:before="100" w:beforeAutospacing="1" w:after="225" w:line="240" w:lineRule="auto"/>
        <w:rPr>
          <w:rFonts w:ascii="Georgia" w:eastAsia="Times New Roman" w:hAnsi="Georgia" w:cs="Times New Roman"/>
          <w:sz w:val="24"/>
          <w:szCs w:val="24"/>
          <w:lang w:eastAsia="en-GB"/>
        </w:rPr>
      </w:pPr>
      <w:r w:rsidRPr="00804537">
        <w:rPr>
          <w:rFonts w:ascii="Georgia" w:eastAsia="Times New Roman" w:hAnsi="Georgia" w:cs="Times New Roman"/>
          <w:sz w:val="24"/>
          <w:szCs w:val="24"/>
          <w:lang w:eastAsia="en-GB"/>
        </w:rPr>
        <w:t>DISCUSSION</w:t>
      </w:r>
    </w:p>
    <w:p w14:paraId="3D9C1127" w14:textId="77777777" w:rsidR="00804537" w:rsidRPr="00804537" w:rsidRDefault="00804537" w:rsidP="00804537">
      <w:pPr>
        <w:spacing w:before="100" w:beforeAutospacing="1" w:after="225" w:line="240" w:lineRule="auto"/>
        <w:rPr>
          <w:rFonts w:ascii="Georgia" w:eastAsia="Times New Roman" w:hAnsi="Georgia" w:cs="Times New Roman"/>
          <w:sz w:val="24"/>
          <w:szCs w:val="24"/>
          <w:lang w:eastAsia="en-GB"/>
        </w:rPr>
      </w:pPr>
      <w:r w:rsidRPr="00804537">
        <w:rPr>
          <w:rFonts w:ascii="Georgia" w:eastAsia="Times New Roman" w:hAnsi="Georgia" w:cs="Times New Roman"/>
          <w:sz w:val="24"/>
          <w:szCs w:val="24"/>
          <w:lang w:eastAsia="en-GB"/>
        </w:rPr>
        <w:t>Standard of Review</w:t>
      </w:r>
    </w:p>
    <w:p w14:paraId="3D9C1128" w14:textId="6304C19F" w:rsidR="00804537" w:rsidRPr="00804537" w:rsidRDefault="00804537" w:rsidP="00804537">
      <w:pPr>
        <w:spacing w:before="100" w:beforeAutospacing="1" w:after="225" w:line="240" w:lineRule="auto"/>
        <w:rPr>
          <w:rFonts w:ascii="Georgia" w:eastAsia="Times New Roman" w:hAnsi="Georgia" w:cs="Times New Roman"/>
          <w:sz w:val="24"/>
          <w:szCs w:val="24"/>
          <w:lang w:eastAsia="en-GB"/>
        </w:rPr>
      </w:pPr>
      <w:r w:rsidRPr="00804537">
        <w:rPr>
          <w:rFonts w:ascii="Georgia" w:eastAsia="Times New Roman" w:hAnsi="Georgia" w:cs="Times New Roman"/>
          <w:sz w:val="24"/>
          <w:szCs w:val="24"/>
          <w:lang w:eastAsia="en-GB"/>
        </w:rPr>
        <w:t xml:space="preserve">Summary judgment is </w:t>
      </w:r>
      <w:r w:rsidRPr="005661C8">
        <w:rPr>
          <w:rFonts w:ascii="Georgia" w:eastAsia="Times New Roman" w:hAnsi="Georgia" w:cs="Times New Roman"/>
          <w:sz w:val="24"/>
          <w:szCs w:val="24"/>
          <w:lang w:eastAsia="en-GB"/>
        </w:rPr>
        <w:t>proper if there are no genuine issues of material fact and the movant is entitled to judgment as a matter of law. </w:t>
      </w:r>
      <w:r w:rsidRPr="005661C8">
        <w:rPr>
          <w:rFonts w:ascii="Georgia" w:eastAsia="Times New Roman" w:hAnsi="Georgia" w:cs="Times New Roman"/>
          <w:i/>
          <w:iCs/>
          <w:sz w:val="24"/>
          <w:szCs w:val="24"/>
          <w:lang w:eastAsia="en-GB"/>
        </w:rPr>
        <w:t>Koenig v. Perez, </w:t>
      </w:r>
      <w:r w:rsidRPr="005661C8">
        <w:rPr>
          <w:rFonts w:ascii="Georgia" w:eastAsia="Times New Roman" w:hAnsi="Georgia" w:cs="Times New Roman"/>
          <w:color w:val="007BFF"/>
          <w:sz w:val="24"/>
          <w:szCs w:val="24"/>
          <w:lang w:eastAsia="en-GB"/>
        </w:rPr>
        <w:t>104 N.M. 664</w:t>
      </w:r>
      <w:r w:rsidRPr="005661C8">
        <w:rPr>
          <w:rFonts w:ascii="Georgia" w:eastAsia="Times New Roman" w:hAnsi="Georgia" w:cs="Times New Roman"/>
          <w:sz w:val="24"/>
          <w:szCs w:val="24"/>
          <w:lang w:eastAsia="en-GB"/>
        </w:rPr>
        <w:t>, 665, </w:t>
      </w:r>
      <w:hyperlink r:id="rId5" w:history="1">
        <w:r w:rsidRPr="005661C8">
          <w:rPr>
            <w:rFonts w:ascii="Georgia" w:eastAsia="Times New Roman" w:hAnsi="Georgia" w:cs="Times New Roman"/>
            <w:color w:val="007BFF"/>
            <w:sz w:val="24"/>
            <w:szCs w:val="24"/>
            <w:lang w:eastAsia="en-GB"/>
          </w:rPr>
          <w:t>726 P.2d 341</w:t>
        </w:r>
      </w:hyperlink>
      <w:r w:rsidRPr="005661C8">
        <w:rPr>
          <w:rFonts w:ascii="Georgia" w:eastAsia="Times New Roman" w:hAnsi="Georgia" w:cs="Times New Roman"/>
          <w:sz w:val="24"/>
          <w:szCs w:val="24"/>
          <w:lang w:eastAsia="en-GB"/>
        </w:rPr>
        <w:t>, 342 (1986). The initial burden is on the movant to make a prima facie showing of the absence of</w:t>
      </w:r>
      <w:r w:rsidRPr="00804537">
        <w:rPr>
          <w:rFonts w:ascii="Georgia" w:eastAsia="Times New Roman" w:hAnsi="Georgia" w:cs="Times New Roman"/>
          <w:sz w:val="24"/>
          <w:szCs w:val="24"/>
          <w:lang w:eastAsia="en-GB"/>
        </w:rPr>
        <w:t xml:space="preserve"> any genuine material factual issues. </w:t>
      </w:r>
      <w:r w:rsidRPr="00097B04">
        <w:rPr>
          <w:rFonts w:ascii="Georgia" w:eastAsia="Times New Roman" w:hAnsi="Georgia" w:cs="Times New Roman"/>
          <w:i/>
          <w:iCs/>
          <w:sz w:val="24"/>
          <w:szCs w:val="24"/>
          <w:lang w:eastAsia="en-GB"/>
        </w:rPr>
        <w:t>Romero v. Ole Tires, Inc., </w:t>
      </w:r>
      <w:r w:rsidRPr="00097B04">
        <w:rPr>
          <w:rFonts w:ascii="Georgia" w:eastAsia="Times New Roman" w:hAnsi="Georgia" w:cs="Times New Roman"/>
          <w:color w:val="007BFF"/>
          <w:sz w:val="24"/>
          <w:szCs w:val="24"/>
          <w:lang w:eastAsia="en-GB"/>
        </w:rPr>
        <w:t>101 N.M. 759</w:t>
      </w:r>
      <w:r w:rsidRPr="00804537">
        <w:rPr>
          <w:rFonts w:ascii="Georgia" w:eastAsia="Times New Roman" w:hAnsi="Georgia" w:cs="Times New Roman"/>
          <w:sz w:val="24"/>
          <w:szCs w:val="24"/>
          <w:lang w:eastAsia="en-GB"/>
        </w:rPr>
        <w:t>, 761, </w:t>
      </w:r>
      <w:hyperlink r:id="rId6" w:history="1">
        <w:r w:rsidRPr="00097B04">
          <w:rPr>
            <w:rFonts w:ascii="Georgia" w:eastAsia="Times New Roman" w:hAnsi="Georgia" w:cs="Times New Roman"/>
            <w:color w:val="007BFF"/>
            <w:sz w:val="24"/>
            <w:szCs w:val="24"/>
            <w:lang w:eastAsia="en-GB"/>
          </w:rPr>
          <w:t>688 P.2d 1263</w:t>
        </w:r>
      </w:hyperlink>
      <w:r w:rsidRPr="00804537">
        <w:rPr>
          <w:rFonts w:ascii="Georgia" w:eastAsia="Times New Roman" w:hAnsi="Georgia" w:cs="Times New Roman"/>
          <w:sz w:val="24"/>
          <w:szCs w:val="24"/>
          <w:lang w:eastAsia="en-GB"/>
        </w:rPr>
        <w:t>, 1265 (Ct.App.1984). Upon the movant making a prima facie showing, the burden shifts to the party opposing the motion to demonstrate the existence of specific evidentiary facts which would require a trial on the merits. </w:t>
      </w:r>
      <w:r w:rsidRPr="00097B04">
        <w:rPr>
          <w:rFonts w:ascii="Georgia" w:eastAsia="Times New Roman" w:hAnsi="Georgia" w:cs="Times New Roman"/>
          <w:i/>
          <w:iCs/>
          <w:sz w:val="24"/>
          <w:szCs w:val="24"/>
          <w:lang w:eastAsia="en-GB"/>
        </w:rPr>
        <w:t>Dow v. Chilili Coop. Ass’n, </w:t>
      </w:r>
      <w:r w:rsidRPr="00804537">
        <w:rPr>
          <w:rFonts w:ascii="Georgia" w:eastAsia="Times New Roman" w:hAnsi="Georgia" w:cs="Times New Roman"/>
          <w:sz w:val="24"/>
          <w:szCs w:val="24"/>
          <w:lang w:eastAsia="en-GB"/>
        </w:rPr>
        <w:t>105 N.M. </w:t>
      </w:r>
      <w:r w:rsidRPr="00097B04">
        <w:rPr>
          <w:rFonts w:ascii="Georgia" w:eastAsia="Times New Roman" w:hAnsi="Georgia" w:cs="Times New Roman"/>
          <w:i/>
          <w:iCs/>
          <w:color w:val="979797"/>
          <w:sz w:val="19"/>
          <w:szCs w:val="19"/>
          <w:lang w:eastAsia="en-GB"/>
        </w:rPr>
        <w:t>*688</w:t>
      </w:r>
      <w:r w:rsidRPr="00804537">
        <w:rPr>
          <w:rFonts w:ascii="Georgia" w:eastAsia="Times New Roman" w:hAnsi="Georgia" w:cs="Times New Roman"/>
          <w:sz w:val="24"/>
          <w:szCs w:val="24"/>
          <w:lang w:eastAsia="en-GB"/>
        </w:rPr>
        <w:t>52, 54, </w:t>
      </w:r>
      <w:hyperlink r:id="rId7" w:history="1">
        <w:r w:rsidRPr="00097B04">
          <w:rPr>
            <w:rFonts w:ascii="Georgia" w:eastAsia="Times New Roman" w:hAnsi="Georgia" w:cs="Times New Roman"/>
            <w:color w:val="007BFF"/>
            <w:sz w:val="24"/>
            <w:szCs w:val="24"/>
            <w:lang w:eastAsia="en-GB"/>
          </w:rPr>
          <w:t>728 P.2d 462</w:t>
        </w:r>
      </w:hyperlink>
      <w:r w:rsidRPr="00804537">
        <w:rPr>
          <w:rFonts w:ascii="Georgia" w:eastAsia="Times New Roman" w:hAnsi="Georgia" w:cs="Times New Roman"/>
          <w:sz w:val="24"/>
          <w:szCs w:val="24"/>
          <w:lang w:eastAsia="en-GB"/>
        </w:rPr>
        <w:t xml:space="preserve">, 464 (1986). </w:t>
      </w:r>
      <w:r w:rsidRPr="00862E0C">
        <w:rPr>
          <w:rFonts w:ascii="Georgia" w:eastAsia="Times New Roman" w:hAnsi="Georgia" w:cs="Times New Roman"/>
          <w:sz w:val="24"/>
          <w:szCs w:val="24"/>
          <w:lang w:eastAsia="en-GB"/>
        </w:rPr>
        <w:t>“On review, we consider the whole record for evidence that puts a material fact at issue.”</w:t>
      </w:r>
      <w:r w:rsidRPr="00804537">
        <w:rPr>
          <w:rFonts w:ascii="Georgia" w:eastAsia="Times New Roman" w:hAnsi="Georgia" w:cs="Times New Roman"/>
          <w:sz w:val="24"/>
          <w:szCs w:val="24"/>
          <w:lang w:eastAsia="en-GB"/>
        </w:rPr>
        <w:t> </w:t>
      </w:r>
      <w:r w:rsidRPr="00097B04">
        <w:rPr>
          <w:rFonts w:ascii="Georgia" w:eastAsia="Times New Roman" w:hAnsi="Georgia" w:cs="Times New Roman"/>
          <w:i/>
          <w:iCs/>
          <w:sz w:val="24"/>
          <w:szCs w:val="24"/>
          <w:lang w:eastAsia="en-GB"/>
        </w:rPr>
        <w:t>Roth v. Thompson, </w:t>
      </w:r>
      <w:r w:rsidRPr="00097B04">
        <w:rPr>
          <w:rFonts w:ascii="Georgia" w:eastAsia="Times New Roman" w:hAnsi="Georgia" w:cs="Times New Roman"/>
          <w:color w:val="007BFF"/>
          <w:sz w:val="24"/>
          <w:szCs w:val="24"/>
          <w:lang w:eastAsia="en-GB"/>
        </w:rPr>
        <w:t>113 N.M. 331</w:t>
      </w:r>
      <w:r w:rsidRPr="00804537">
        <w:rPr>
          <w:rFonts w:ascii="Georgia" w:eastAsia="Times New Roman" w:hAnsi="Georgia" w:cs="Times New Roman"/>
          <w:sz w:val="24"/>
          <w:szCs w:val="24"/>
          <w:lang w:eastAsia="en-GB"/>
        </w:rPr>
        <w:t>, 335, </w:t>
      </w:r>
      <w:hyperlink r:id="rId8" w:history="1">
        <w:r w:rsidRPr="00097B04">
          <w:rPr>
            <w:rFonts w:ascii="Georgia" w:eastAsia="Times New Roman" w:hAnsi="Georgia" w:cs="Times New Roman"/>
            <w:color w:val="007BFF"/>
            <w:sz w:val="24"/>
            <w:szCs w:val="24"/>
            <w:lang w:eastAsia="en-GB"/>
          </w:rPr>
          <w:t>825 P.2d 1241</w:t>
        </w:r>
      </w:hyperlink>
      <w:r w:rsidRPr="00804537">
        <w:rPr>
          <w:rFonts w:ascii="Georgia" w:eastAsia="Times New Roman" w:hAnsi="Georgia" w:cs="Times New Roman"/>
          <w:sz w:val="24"/>
          <w:szCs w:val="24"/>
          <w:lang w:eastAsia="en-GB"/>
        </w:rPr>
        <w:t xml:space="preserve">, 1245 (1992). </w:t>
      </w:r>
      <w:r w:rsidRPr="00862E0C">
        <w:rPr>
          <w:rFonts w:ascii="Georgia" w:eastAsia="Times New Roman" w:hAnsi="Georgia" w:cs="Times New Roman"/>
          <w:sz w:val="24"/>
          <w:szCs w:val="24"/>
          <w:highlight w:val="magenta"/>
          <w:lang w:eastAsia="en-GB"/>
        </w:rPr>
        <w:t xml:space="preserve">All reasonable inferences that may be drawn from the matters presented to the court </w:t>
      </w:r>
      <w:r w:rsidRPr="00862E0C">
        <w:rPr>
          <w:rFonts w:ascii="Georgia" w:eastAsia="Times New Roman" w:hAnsi="Georgia" w:cs="Times New Roman"/>
          <w:sz w:val="24"/>
          <w:szCs w:val="24"/>
          <w:highlight w:val="magenta"/>
          <w:lang w:eastAsia="en-GB"/>
        </w:rPr>
        <w:lastRenderedPageBreak/>
        <w:t>must be resolved in favor of the party opposing the motion.</w:t>
      </w:r>
      <w:r w:rsidRPr="00804537">
        <w:rPr>
          <w:rFonts w:ascii="Georgia" w:eastAsia="Times New Roman" w:hAnsi="Georgia" w:cs="Times New Roman"/>
          <w:sz w:val="24"/>
          <w:szCs w:val="24"/>
          <w:lang w:eastAsia="en-GB"/>
        </w:rPr>
        <w:t> </w:t>
      </w:r>
      <w:r w:rsidRPr="00097B04">
        <w:rPr>
          <w:rFonts w:ascii="Georgia" w:eastAsia="Times New Roman" w:hAnsi="Georgia" w:cs="Times New Roman"/>
          <w:i/>
          <w:iCs/>
          <w:sz w:val="24"/>
          <w:szCs w:val="24"/>
          <w:lang w:eastAsia="en-GB"/>
        </w:rPr>
        <w:t>Gonzalez v. Gonzalez, </w:t>
      </w:r>
      <w:r w:rsidRPr="00097B04">
        <w:rPr>
          <w:rFonts w:ascii="Georgia" w:eastAsia="Times New Roman" w:hAnsi="Georgia" w:cs="Times New Roman"/>
          <w:color w:val="007BFF"/>
          <w:sz w:val="24"/>
          <w:szCs w:val="24"/>
          <w:lang w:eastAsia="en-GB"/>
        </w:rPr>
        <w:t>103 N.M. 157</w:t>
      </w:r>
      <w:r w:rsidRPr="00804537">
        <w:rPr>
          <w:rFonts w:ascii="Georgia" w:eastAsia="Times New Roman" w:hAnsi="Georgia" w:cs="Times New Roman"/>
          <w:sz w:val="24"/>
          <w:szCs w:val="24"/>
          <w:lang w:eastAsia="en-GB"/>
        </w:rPr>
        <w:t>, 164, </w:t>
      </w:r>
      <w:hyperlink r:id="rId9" w:history="1">
        <w:r w:rsidRPr="00097B04">
          <w:rPr>
            <w:rFonts w:ascii="Georgia" w:eastAsia="Times New Roman" w:hAnsi="Georgia" w:cs="Times New Roman"/>
            <w:color w:val="007BFF"/>
            <w:sz w:val="24"/>
            <w:szCs w:val="24"/>
            <w:lang w:eastAsia="en-GB"/>
          </w:rPr>
          <w:t>703 P.2d 934</w:t>
        </w:r>
      </w:hyperlink>
      <w:r w:rsidRPr="00804537">
        <w:rPr>
          <w:rFonts w:ascii="Georgia" w:eastAsia="Times New Roman" w:hAnsi="Georgia" w:cs="Times New Roman"/>
          <w:sz w:val="24"/>
          <w:szCs w:val="24"/>
          <w:lang w:eastAsia="en-GB"/>
        </w:rPr>
        <w:t>, 941 (Ct.App.1985).</w:t>
      </w:r>
    </w:p>
    <w:p w14:paraId="3D9C1129" w14:textId="77777777" w:rsidR="00804537" w:rsidRPr="005661C8" w:rsidRDefault="00804537" w:rsidP="00804537">
      <w:pPr>
        <w:spacing w:before="100" w:beforeAutospacing="1" w:after="225" w:line="240" w:lineRule="auto"/>
        <w:rPr>
          <w:rFonts w:ascii="Georgia" w:eastAsia="Times New Roman" w:hAnsi="Georgia" w:cs="Times New Roman"/>
          <w:sz w:val="24"/>
          <w:szCs w:val="24"/>
          <w:lang w:eastAsia="en-GB"/>
        </w:rPr>
      </w:pPr>
      <w:r w:rsidRPr="00804537">
        <w:rPr>
          <w:rFonts w:ascii="Georgia" w:eastAsia="Times New Roman" w:hAnsi="Georgia" w:cs="Times New Roman"/>
          <w:sz w:val="24"/>
          <w:szCs w:val="24"/>
          <w:lang w:eastAsia="en-GB"/>
        </w:rPr>
        <w:t xml:space="preserve">The Medical </w:t>
      </w:r>
      <w:r w:rsidRPr="005661C8">
        <w:rPr>
          <w:rFonts w:ascii="Georgia" w:eastAsia="Times New Roman" w:hAnsi="Georgia" w:cs="Times New Roman"/>
          <w:sz w:val="24"/>
          <w:szCs w:val="24"/>
          <w:lang w:eastAsia="en-GB"/>
        </w:rPr>
        <w:t>Malpractice Act Statute of Limitations</w:t>
      </w:r>
    </w:p>
    <w:p w14:paraId="3D9C112A" w14:textId="29CD6293" w:rsidR="00804537" w:rsidRPr="00804537" w:rsidRDefault="00804537" w:rsidP="00804537">
      <w:pPr>
        <w:spacing w:before="100" w:beforeAutospacing="1" w:after="225" w:line="240" w:lineRule="auto"/>
        <w:rPr>
          <w:rFonts w:ascii="Georgia" w:eastAsia="Times New Roman" w:hAnsi="Georgia" w:cs="Times New Roman"/>
          <w:sz w:val="24"/>
          <w:szCs w:val="24"/>
          <w:lang w:eastAsia="en-GB"/>
        </w:rPr>
      </w:pPr>
      <w:r w:rsidRPr="005661C8">
        <w:rPr>
          <w:rFonts w:ascii="Georgia" w:eastAsia="Times New Roman" w:hAnsi="Georgia" w:cs="Times New Roman"/>
          <w:sz w:val="24"/>
          <w:szCs w:val="24"/>
          <w:lang w:eastAsia="en-GB"/>
        </w:rPr>
        <w:t>As an initial matter, we consider the impact of the Medical Malpractice Act statute of limitations on this appeal. </w:t>
      </w:r>
      <w:r w:rsidRPr="005661C8">
        <w:rPr>
          <w:rFonts w:ascii="Georgia" w:eastAsia="Times New Roman" w:hAnsi="Georgia" w:cs="Times New Roman"/>
          <w:i/>
          <w:iCs/>
          <w:sz w:val="24"/>
          <w:szCs w:val="24"/>
          <w:lang w:eastAsia="en-GB"/>
        </w:rPr>
        <w:t>See </w:t>
      </w:r>
      <w:r w:rsidRPr="005661C8">
        <w:rPr>
          <w:rFonts w:ascii="Georgia" w:eastAsia="Times New Roman" w:hAnsi="Georgia" w:cs="Times New Roman"/>
          <w:sz w:val="24"/>
          <w:szCs w:val="24"/>
          <w:lang w:eastAsia="en-GB"/>
        </w:rPr>
        <w:t>NMSA 1978, § 41-5-13 (Repl.Pamp.1989). As explained in </w:t>
      </w:r>
      <w:r w:rsidRPr="005661C8">
        <w:rPr>
          <w:rFonts w:ascii="Georgia" w:eastAsia="Times New Roman" w:hAnsi="Georgia" w:cs="Times New Roman"/>
          <w:i/>
          <w:iCs/>
          <w:sz w:val="24"/>
          <w:szCs w:val="24"/>
          <w:lang w:eastAsia="en-GB"/>
        </w:rPr>
        <w:t>Roberts v. Southwest Community Health Services, </w:t>
      </w:r>
      <w:r w:rsidRPr="005661C8">
        <w:rPr>
          <w:rFonts w:ascii="Georgia" w:eastAsia="Times New Roman" w:hAnsi="Georgia" w:cs="Times New Roman"/>
          <w:color w:val="007BFF"/>
          <w:sz w:val="24"/>
          <w:szCs w:val="24"/>
          <w:lang w:eastAsia="en-GB"/>
        </w:rPr>
        <w:t>114 N.M. 2</w:t>
      </w:r>
      <w:r w:rsidRPr="005661C8">
        <w:rPr>
          <w:rFonts w:ascii="Georgia" w:eastAsia="Times New Roman" w:hAnsi="Georgia" w:cs="Times New Roman"/>
          <w:sz w:val="24"/>
          <w:szCs w:val="24"/>
          <w:lang w:eastAsia="en-GB"/>
        </w:rPr>
        <w:t>48, 250, </w:t>
      </w:r>
      <w:hyperlink r:id="rId10" w:history="1">
        <w:r w:rsidRPr="005661C8">
          <w:rPr>
            <w:rFonts w:ascii="Georgia" w:eastAsia="Times New Roman" w:hAnsi="Georgia" w:cs="Times New Roman"/>
            <w:color w:val="007BFF"/>
            <w:sz w:val="24"/>
            <w:szCs w:val="24"/>
            <w:lang w:eastAsia="en-GB"/>
          </w:rPr>
          <w:t>837 P.2d 442</w:t>
        </w:r>
      </w:hyperlink>
      <w:r w:rsidRPr="005661C8">
        <w:rPr>
          <w:rFonts w:ascii="Georgia" w:eastAsia="Times New Roman" w:hAnsi="Georgia" w:cs="Times New Roman"/>
          <w:sz w:val="24"/>
          <w:szCs w:val="24"/>
          <w:lang w:eastAsia="en-GB"/>
        </w:rPr>
        <w:t>, 444 (1992), “the statute of limitations begins to run on the date that the malpractice occurred and expires three years from that date.” Plaintiff concedes that Dr. Williams last examined Mr. Baer in March 1988, more than three years before the filing of the complaint. Nonetheless, Plaintiff argues that her complaint against Dr. Williams is not time-barred because Dr. Williams had a continuing duty to</w:t>
      </w:r>
      <w:r w:rsidRPr="00804537">
        <w:rPr>
          <w:rFonts w:ascii="Georgia" w:eastAsia="Times New Roman" w:hAnsi="Georgia" w:cs="Times New Roman"/>
          <w:sz w:val="24"/>
          <w:szCs w:val="24"/>
          <w:lang w:eastAsia="en-GB"/>
        </w:rPr>
        <w:t xml:space="preserve"> provide follow-up care which extended the statute of limitations period. As support, Plaintiff lists expert witness testimony and evidence contained in an affidavit.</w:t>
      </w:r>
    </w:p>
    <w:p w14:paraId="3D9C112B" w14:textId="5B54CEED" w:rsidR="00804537" w:rsidRPr="005661C8" w:rsidRDefault="00804537" w:rsidP="00804537">
      <w:pPr>
        <w:spacing w:before="100" w:beforeAutospacing="1" w:after="225" w:line="240" w:lineRule="auto"/>
        <w:rPr>
          <w:rFonts w:ascii="Georgia" w:eastAsia="Times New Roman" w:hAnsi="Georgia" w:cs="Times New Roman"/>
          <w:sz w:val="24"/>
          <w:szCs w:val="24"/>
          <w:lang w:eastAsia="en-GB"/>
        </w:rPr>
      </w:pPr>
      <w:r w:rsidRPr="005661C8">
        <w:rPr>
          <w:rFonts w:ascii="Georgia" w:eastAsia="Times New Roman" w:hAnsi="Georgia" w:cs="Times New Roman"/>
          <w:sz w:val="24"/>
          <w:szCs w:val="24"/>
          <w:lang w:eastAsia="en-GB"/>
        </w:rPr>
        <w:t>However, Plaintiff recognizes that Dr. Williams was not Mr. Baer’s private physician. Thus, the duty Plaintiff asserts Dr. Williams breached is created as a result of Dr. Williams’ position as an employee of LANL. Therefore, Plaintiffs cause of action is ultimately against Regents as the employer or master, and not against Dr. Williams. Given the Medical Malpractice Act’s statute of limitations period, we have little trouble setting aside Plaintiffs continuous duty argument and affirming the district court’s summary judgment in favor of Dr. Williams. Dr. Williams’ last examination of Mr. Baer was well outside of, and therefore, was barred by, the statute of limitations. Except for the recognized tolling exceptions to the statute of limitations rule, we decline to extend the aberrations in the period of time in which to file medical malpractice causes of action. </w:t>
      </w:r>
      <w:r w:rsidRPr="005661C8">
        <w:rPr>
          <w:rFonts w:ascii="Georgia" w:eastAsia="Times New Roman" w:hAnsi="Georgia" w:cs="Times New Roman"/>
          <w:i/>
          <w:iCs/>
          <w:sz w:val="24"/>
          <w:szCs w:val="24"/>
          <w:lang w:eastAsia="en-GB"/>
        </w:rPr>
        <w:t>See </w:t>
      </w:r>
      <w:r w:rsidRPr="005661C8">
        <w:rPr>
          <w:rFonts w:ascii="Georgia" w:eastAsia="Times New Roman" w:hAnsi="Georgia" w:cs="Times New Roman"/>
          <w:sz w:val="24"/>
          <w:szCs w:val="24"/>
          <w:lang w:eastAsia="en-GB"/>
        </w:rPr>
        <w:t>§ 41-5-13 (“a minor under the full age of six years shall have until his ninth birthday in which to file”); NMSA 1978, § 41-5-22 (Repl.Pamp.1989) (the running of the statute of limitations shall be tolled upon submission of the case to the medical review commission); </w:t>
      </w:r>
      <w:r w:rsidRPr="005661C8">
        <w:rPr>
          <w:rFonts w:ascii="Georgia" w:eastAsia="Times New Roman" w:hAnsi="Georgia" w:cs="Times New Roman"/>
          <w:i/>
          <w:iCs/>
          <w:sz w:val="24"/>
          <w:szCs w:val="24"/>
          <w:lang w:eastAsia="en-GB"/>
        </w:rPr>
        <w:t>see also Keithley v. St. Joseph’s Hosp., </w:t>
      </w:r>
      <w:r w:rsidRPr="005661C8">
        <w:rPr>
          <w:rFonts w:ascii="Georgia" w:eastAsia="Times New Roman" w:hAnsi="Georgia" w:cs="Times New Roman"/>
          <w:color w:val="007BFF"/>
          <w:sz w:val="24"/>
          <w:szCs w:val="24"/>
          <w:lang w:eastAsia="en-GB"/>
        </w:rPr>
        <w:t>102 N.M. 565</w:t>
      </w:r>
      <w:r w:rsidRPr="005661C8">
        <w:rPr>
          <w:rFonts w:ascii="Georgia" w:eastAsia="Times New Roman" w:hAnsi="Georgia" w:cs="Times New Roman"/>
          <w:sz w:val="24"/>
          <w:szCs w:val="24"/>
          <w:lang w:eastAsia="en-GB"/>
        </w:rPr>
        <w:t>, 569, </w:t>
      </w:r>
      <w:hyperlink r:id="rId11" w:history="1">
        <w:r w:rsidRPr="005661C8">
          <w:rPr>
            <w:rFonts w:ascii="Georgia" w:eastAsia="Times New Roman" w:hAnsi="Georgia" w:cs="Times New Roman"/>
            <w:color w:val="007BFF"/>
            <w:sz w:val="24"/>
            <w:szCs w:val="24"/>
            <w:lang w:eastAsia="en-GB"/>
          </w:rPr>
          <w:t>698 P.2d 435</w:t>
        </w:r>
      </w:hyperlink>
      <w:r w:rsidRPr="005661C8">
        <w:rPr>
          <w:rFonts w:ascii="Georgia" w:eastAsia="Times New Roman" w:hAnsi="Georgia" w:cs="Times New Roman"/>
          <w:sz w:val="24"/>
          <w:szCs w:val="24"/>
          <w:lang w:eastAsia="en-GB"/>
        </w:rPr>
        <w:t>, 439 (Ct.App.1984) (“the statute of limitations may be tolled where a physician has knowledge of facts relating to medical malpractice and fails to disclose such facts”), </w:t>
      </w:r>
      <w:r w:rsidRPr="005661C8">
        <w:rPr>
          <w:rFonts w:ascii="Georgia" w:eastAsia="Times New Roman" w:hAnsi="Georgia" w:cs="Times New Roman"/>
          <w:i/>
          <w:iCs/>
          <w:sz w:val="24"/>
          <w:szCs w:val="24"/>
          <w:lang w:eastAsia="en-GB"/>
        </w:rPr>
        <w:t>certs. quashed, </w:t>
      </w:r>
      <w:r w:rsidRPr="005661C8">
        <w:rPr>
          <w:rFonts w:ascii="Georgia" w:eastAsia="Times New Roman" w:hAnsi="Georgia" w:cs="Times New Roman"/>
          <w:color w:val="007BFF"/>
          <w:sz w:val="24"/>
          <w:szCs w:val="24"/>
          <w:lang w:eastAsia="en-GB"/>
        </w:rPr>
        <w:t>102 N.M. 565</w:t>
      </w:r>
      <w:r w:rsidRPr="005661C8">
        <w:rPr>
          <w:rFonts w:ascii="Georgia" w:eastAsia="Times New Roman" w:hAnsi="Georgia" w:cs="Times New Roman"/>
          <w:sz w:val="24"/>
          <w:szCs w:val="24"/>
          <w:lang w:eastAsia="en-GB"/>
        </w:rPr>
        <w:t>, </w:t>
      </w:r>
      <w:hyperlink r:id="rId12" w:history="1">
        <w:r w:rsidRPr="005661C8">
          <w:rPr>
            <w:rFonts w:ascii="Georgia" w:eastAsia="Times New Roman" w:hAnsi="Georgia" w:cs="Times New Roman"/>
            <w:color w:val="007BFF"/>
            <w:sz w:val="24"/>
            <w:szCs w:val="24"/>
            <w:lang w:eastAsia="en-GB"/>
          </w:rPr>
          <w:t>698 P.2d 435</w:t>
        </w:r>
      </w:hyperlink>
      <w:r w:rsidRPr="005661C8">
        <w:rPr>
          <w:rFonts w:ascii="Georgia" w:eastAsia="Times New Roman" w:hAnsi="Georgia" w:cs="Times New Roman"/>
          <w:sz w:val="24"/>
          <w:szCs w:val="24"/>
          <w:lang w:eastAsia="en-GB"/>
        </w:rPr>
        <w:t> (1985).</w:t>
      </w:r>
    </w:p>
    <w:p w14:paraId="3D9C112C" w14:textId="77777777" w:rsidR="00804537" w:rsidRPr="00804537" w:rsidRDefault="00804537" w:rsidP="00804537">
      <w:pPr>
        <w:spacing w:before="100" w:beforeAutospacing="1" w:after="225" w:line="240" w:lineRule="auto"/>
        <w:rPr>
          <w:rFonts w:ascii="Georgia" w:eastAsia="Times New Roman" w:hAnsi="Georgia" w:cs="Times New Roman"/>
          <w:sz w:val="24"/>
          <w:szCs w:val="24"/>
          <w:lang w:eastAsia="en-GB"/>
        </w:rPr>
      </w:pPr>
      <w:r w:rsidRPr="005661C8">
        <w:rPr>
          <w:rFonts w:ascii="Georgia" w:eastAsia="Times New Roman" w:hAnsi="Georgia" w:cs="Times New Roman"/>
          <w:sz w:val="24"/>
          <w:szCs w:val="24"/>
          <w:lang w:eastAsia="en-GB"/>
        </w:rPr>
        <w:t>Plaintiffs remaining claim is, therefore, against Pederson as an employee of LANL. As all parties concede, Pederson’s July 1989 examination of Mr. Baer occurred within the period of time allowed for by the statute of limitations in relation to the filing of the complaint. It is the legal consequences of this remaining issue which we must now consider and which</w:t>
      </w:r>
      <w:r w:rsidRPr="00804537">
        <w:rPr>
          <w:rFonts w:ascii="Georgia" w:eastAsia="Times New Roman" w:hAnsi="Georgia" w:cs="Times New Roman"/>
          <w:sz w:val="24"/>
          <w:szCs w:val="24"/>
          <w:lang w:eastAsia="en-GB"/>
        </w:rPr>
        <w:t xml:space="preserve"> controls the outcome of this action. On appeal, the issue can be phrased as: Did Pederson owe Mr. Baer a duty recognized by law when performing the periodic physical examination on behalf of Regents?</w:t>
      </w:r>
    </w:p>
    <w:p w14:paraId="3D9C112D" w14:textId="77777777" w:rsidR="00804537" w:rsidRPr="00804537" w:rsidRDefault="00804537" w:rsidP="00804537">
      <w:pPr>
        <w:spacing w:before="100" w:beforeAutospacing="1" w:after="225" w:line="240" w:lineRule="auto"/>
        <w:rPr>
          <w:rFonts w:ascii="Georgia" w:eastAsia="Times New Roman" w:hAnsi="Georgia" w:cs="Times New Roman"/>
          <w:sz w:val="24"/>
          <w:szCs w:val="24"/>
          <w:lang w:eastAsia="en-GB"/>
        </w:rPr>
      </w:pPr>
      <w:r w:rsidRPr="00804537">
        <w:rPr>
          <w:rFonts w:ascii="Georgia" w:eastAsia="Times New Roman" w:hAnsi="Georgia" w:cs="Times New Roman"/>
          <w:sz w:val="24"/>
          <w:szCs w:val="24"/>
          <w:lang w:eastAsia="en-GB"/>
        </w:rPr>
        <w:t>Question of Duty</w:t>
      </w:r>
    </w:p>
    <w:p w14:paraId="3D9C112E" w14:textId="77777777" w:rsidR="00804537" w:rsidRPr="00804537" w:rsidRDefault="00804537" w:rsidP="00804537">
      <w:pPr>
        <w:spacing w:before="100" w:beforeAutospacing="1" w:after="225" w:line="240" w:lineRule="auto"/>
        <w:rPr>
          <w:rFonts w:ascii="Georgia" w:eastAsia="Times New Roman" w:hAnsi="Georgia" w:cs="Times New Roman"/>
          <w:sz w:val="24"/>
          <w:szCs w:val="24"/>
          <w:lang w:eastAsia="en-GB"/>
        </w:rPr>
      </w:pPr>
      <w:r w:rsidRPr="00804537">
        <w:rPr>
          <w:rFonts w:ascii="Georgia" w:eastAsia="Times New Roman" w:hAnsi="Georgia" w:cs="Times New Roman"/>
          <w:sz w:val="24"/>
          <w:szCs w:val="24"/>
          <w:lang w:eastAsia="en-GB"/>
        </w:rPr>
        <w:t>It is well established in New Mexico that:</w:t>
      </w:r>
    </w:p>
    <w:p w14:paraId="3D9C112F" w14:textId="77777777" w:rsidR="00804537" w:rsidRPr="00862E0C" w:rsidRDefault="00804537" w:rsidP="00804537">
      <w:pPr>
        <w:spacing w:after="100" w:line="240" w:lineRule="auto"/>
        <w:rPr>
          <w:rFonts w:ascii="Georgia" w:eastAsia="Times New Roman" w:hAnsi="Georgia" w:cs="Times New Roman"/>
          <w:sz w:val="24"/>
          <w:szCs w:val="24"/>
          <w:lang w:eastAsia="en-GB"/>
        </w:rPr>
      </w:pPr>
      <w:r w:rsidRPr="00862E0C">
        <w:rPr>
          <w:rFonts w:ascii="Georgia" w:eastAsia="Times New Roman" w:hAnsi="Georgia" w:cs="Times New Roman"/>
          <w:sz w:val="24"/>
          <w:szCs w:val="24"/>
          <w:lang w:eastAsia="en-GB"/>
        </w:rPr>
        <w:t>In order to prove medical malpractice, a plaintiff has the burden of showing that (1) the defendant owed the plaintiff a duty recognized by law; (2) the defendant breached the duty by departing from the proper standard of medical practice recognized in the community; and (3) the acts or omissions complained of proximately caused the plaintiffs injuries.</w:t>
      </w:r>
    </w:p>
    <w:p w14:paraId="3D9C1130" w14:textId="0C11F6AD" w:rsidR="00804537" w:rsidRPr="00804537" w:rsidRDefault="00804537" w:rsidP="00804537">
      <w:pPr>
        <w:spacing w:before="100" w:beforeAutospacing="1" w:after="225" w:line="240" w:lineRule="auto"/>
        <w:rPr>
          <w:rFonts w:ascii="Georgia" w:eastAsia="Times New Roman" w:hAnsi="Georgia" w:cs="Times New Roman"/>
          <w:sz w:val="24"/>
          <w:szCs w:val="24"/>
          <w:lang w:eastAsia="en-GB"/>
        </w:rPr>
      </w:pPr>
      <w:r w:rsidRPr="008B7BBF">
        <w:rPr>
          <w:rFonts w:ascii="Georgia" w:eastAsia="Times New Roman" w:hAnsi="Georgia" w:cs="Times New Roman"/>
          <w:i/>
          <w:iCs/>
          <w:sz w:val="24"/>
          <w:szCs w:val="24"/>
          <w:highlight w:val="cyan"/>
          <w:lang w:eastAsia="en-GB"/>
        </w:rPr>
        <w:t>Blauwkamp v. University of N.M. Hosp., </w:t>
      </w:r>
      <w:r w:rsidRPr="008B7BBF">
        <w:rPr>
          <w:rFonts w:ascii="Georgia" w:eastAsia="Times New Roman" w:hAnsi="Georgia" w:cs="Times New Roman"/>
          <w:color w:val="007BFF"/>
          <w:sz w:val="24"/>
          <w:szCs w:val="24"/>
          <w:highlight w:val="cyan"/>
          <w:lang w:eastAsia="en-GB"/>
        </w:rPr>
        <w:t>114 N.M. 2</w:t>
      </w:r>
      <w:r w:rsidRPr="008B7BBF">
        <w:rPr>
          <w:rFonts w:ascii="Georgia" w:eastAsia="Times New Roman" w:hAnsi="Georgia" w:cs="Times New Roman"/>
          <w:sz w:val="24"/>
          <w:szCs w:val="24"/>
          <w:highlight w:val="cyan"/>
          <w:lang w:eastAsia="en-GB"/>
        </w:rPr>
        <w:t>28, 231, </w:t>
      </w:r>
      <w:hyperlink r:id="rId13" w:history="1">
        <w:r w:rsidRPr="008B7BBF">
          <w:rPr>
            <w:rFonts w:ascii="Georgia" w:eastAsia="Times New Roman" w:hAnsi="Georgia" w:cs="Times New Roman"/>
            <w:color w:val="007BFF"/>
            <w:sz w:val="24"/>
            <w:szCs w:val="24"/>
            <w:highlight w:val="cyan"/>
            <w:lang w:eastAsia="en-GB"/>
          </w:rPr>
          <w:t>836 P.2d 1249</w:t>
        </w:r>
      </w:hyperlink>
      <w:r w:rsidRPr="008B7BBF">
        <w:rPr>
          <w:rFonts w:ascii="Georgia" w:eastAsia="Times New Roman" w:hAnsi="Georgia" w:cs="Times New Roman"/>
          <w:sz w:val="24"/>
          <w:szCs w:val="24"/>
          <w:highlight w:val="cyan"/>
          <w:lang w:eastAsia="en-GB"/>
        </w:rPr>
        <w:t>, 1252 (Ct.App.), </w:t>
      </w:r>
      <w:r w:rsidRPr="008B7BBF">
        <w:rPr>
          <w:rFonts w:ascii="Georgia" w:eastAsia="Times New Roman" w:hAnsi="Georgia" w:cs="Times New Roman"/>
          <w:i/>
          <w:iCs/>
          <w:sz w:val="24"/>
          <w:szCs w:val="24"/>
          <w:highlight w:val="cyan"/>
          <w:lang w:eastAsia="en-GB"/>
        </w:rPr>
        <w:t>cert. denied, </w:t>
      </w:r>
      <w:r w:rsidRPr="008B7BBF">
        <w:rPr>
          <w:rFonts w:ascii="Georgia" w:eastAsia="Times New Roman" w:hAnsi="Georgia" w:cs="Times New Roman"/>
          <w:color w:val="007BFF"/>
          <w:sz w:val="24"/>
          <w:szCs w:val="24"/>
          <w:highlight w:val="cyan"/>
          <w:lang w:eastAsia="en-GB"/>
        </w:rPr>
        <w:t>114 N.M. 82</w:t>
      </w:r>
      <w:r w:rsidRPr="008B7BBF">
        <w:rPr>
          <w:rFonts w:ascii="Georgia" w:eastAsia="Times New Roman" w:hAnsi="Georgia" w:cs="Times New Roman"/>
          <w:sz w:val="24"/>
          <w:szCs w:val="24"/>
          <w:highlight w:val="cyan"/>
          <w:lang w:eastAsia="en-GB"/>
        </w:rPr>
        <w:t>, </w:t>
      </w:r>
      <w:hyperlink r:id="rId14" w:history="1">
        <w:r w:rsidRPr="008B7BBF">
          <w:rPr>
            <w:rFonts w:ascii="Georgia" w:eastAsia="Times New Roman" w:hAnsi="Georgia" w:cs="Times New Roman"/>
            <w:color w:val="007BFF"/>
            <w:sz w:val="24"/>
            <w:szCs w:val="24"/>
            <w:highlight w:val="cyan"/>
            <w:lang w:eastAsia="en-GB"/>
          </w:rPr>
          <w:t>835 P.2d 80</w:t>
        </w:r>
      </w:hyperlink>
      <w:r w:rsidRPr="008B7BBF">
        <w:rPr>
          <w:rFonts w:ascii="Georgia" w:eastAsia="Times New Roman" w:hAnsi="Georgia" w:cs="Times New Roman"/>
          <w:sz w:val="24"/>
          <w:szCs w:val="24"/>
          <w:highlight w:val="cyan"/>
          <w:lang w:eastAsia="en-GB"/>
        </w:rPr>
        <w:t> (1992)</w:t>
      </w:r>
      <w:r w:rsidRPr="00804537">
        <w:rPr>
          <w:rFonts w:ascii="Georgia" w:eastAsia="Times New Roman" w:hAnsi="Georgia" w:cs="Times New Roman"/>
          <w:sz w:val="24"/>
          <w:szCs w:val="24"/>
          <w:lang w:eastAsia="en-GB"/>
        </w:rPr>
        <w:t>; </w:t>
      </w:r>
      <w:r w:rsidRPr="00097B04">
        <w:rPr>
          <w:rFonts w:ascii="Georgia" w:eastAsia="Times New Roman" w:hAnsi="Georgia" w:cs="Times New Roman"/>
          <w:i/>
          <w:iCs/>
          <w:sz w:val="24"/>
          <w:szCs w:val="24"/>
          <w:lang w:eastAsia="en-GB"/>
        </w:rPr>
        <w:t>see </w:t>
      </w:r>
      <w:r w:rsidRPr="008B7BBF">
        <w:rPr>
          <w:rFonts w:ascii="Georgia" w:eastAsia="Times New Roman" w:hAnsi="Georgia" w:cs="Times New Roman"/>
          <w:sz w:val="24"/>
          <w:szCs w:val="24"/>
          <w:highlight w:val="cyan"/>
          <w:lang w:eastAsia="en-GB"/>
        </w:rPr>
        <w:t>SCRA 1986, 13-1101 (Repl.1991)</w:t>
      </w:r>
      <w:r w:rsidRPr="00804537">
        <w:rPr>
          <w:rFonts w:ascii="Georgia" w:eastAsia="Times New Roman" w:hAnsi="Georgia" w:cs="Times New Roman"/>
          <w:sz w:val="24"/>
          <w:szCs w:val="24"/>
          <w:lang w:eastAsia="en-GB"/>
        </w:rPr>
        <w:t>; </w:t>
      </w:r>
      <w:r w:rsidRPr="00097B04">
        <w:rPr>
          <w:rFonts w:ascii="Georgia" w:eastAsia="Times New Roman" w:hAnsi="Georgia" w:cs="Times New Roman"/>
          <w:i/>
          <w:iCs/>
          <w:sz w:val="24"/>
          <w:szCs w:val="24"/>
          <w:lang w:eastAsia="en-GB"/>
        </w:rPr>
        <w:t xml:space="preserve">see also </w:t>
      </w:r>
      <w:r w:rsidRPr="008B7BBF">
        <w:rPr>
          <w:rFonts w:ascii="Georgia" w:eastAsia="Times New Roman" w:hAnsi="Georgia" w:cs="Times New Roman"/>
          <w:i/>
          <w:iCs/>
          <w:sz w:val="24"/>
          <w:szCs w:val="24"/>
          <w:highlight w:val="cyan"/>
          <w:lang w:eastAsia="en-GB"/>
        </w:rPr>
        <w:t>Schmidt v. St. Joseph’s Hosp., </w:t>
      </w:r>
      <w:r w:rsidRPr="008B7BBF">
        <w:rPr>
          <w:rFonts w:ascii="Georgia" w:eastAsia="Times New Roman" w:hAnsi="Georgia" w:cs="Times New Roman"/>
          <w:color w:val="007BFF"/>
          <w:sz w:val="24"/>
          <w:szCs w:val="24"/>
          <w:highlight w:val="cyan"/>
          <w:lang w:eastAsia="en-GB"/>
        </w:rPr>
        <w:t>105 N.M. 681</w:t>
      </w:r>
      <w:r w:rsidRPr="008B7BBF">
        <w:rPr>
          <w:rFonts w:ascii="Georgia" w:eastAsia="Times New Roman" w:hAnsi="Georgia" w:cs="Times New Roman"/>
          <w:sz w:val="24"/>
          <w:szCs w:val="24"/>
          <w:highlight w:val="cyan"/>
          <w:lang w:eastAsia="en-GB"/>
        </w:rPr>
        <w:t>, 683, </w:t>
      </w:r>
      <w:hyperlink r:id="rId15" w:history="1">
        <w:r w:rsidRPr="008B7BBF">
          <w:rPr>
            <w:rFonts w:ascii="Georgia" w:eastAsia="Times New Roman" w:hAnsi="Georgia" w:cs="Times New Roman"/>
            <w:color w:val="007BFF"/>
            <w:sz w:val="24"/>
            <w:szCs w:val="24"/>
            <w:highlight w:val="cyan"/>
            <w:lang w:eastAsia="en-GB"/>
          </w:rPr>
          <w:t>736 P.2d 135</w:t>
        </w:r>
      </w:hyperlink>
      <w:r w:rsidRPr="00804537">
        <w:rPr>
          <w:rFonts w:ascii="Georgia" w:eastAsia="Times New Roman" w:hAnsi="Georgia" w:cs="Times New Roman"/>
          <w:sz w:val="24"/>
          <w:szCs w:val="24"/>
          <w:lang w:eastAsia="en-GB"/>
        </w:rPr>
        <w:t xml:space="preserve">, </w:t>
      </w:r>
      <w:r w:rsidRPr="008B7BBF">
        <w:rPr>
          <w:rFonts w:ascii="Georgia" w:eastAsia="Times New Roman" w:hAnsi="Georgia" w:cs="Times New Roman"/>
          <w:sz w:val="24"/>
          <w:szCs w:val="24"/>
          <w:highlight w:val="cyan"/>
          <w:lang w:eastAsia="en-GB"/>
        </w:rPr>
        <w:t>137 (Ct.App.1987)</w:t>
      </w:r>
      <w:r w:rsidRPr="00804537">
        <w:rPr>
          <w:rFonts w:ascii="Georgia" w:eastAsia="Times New Roman" w:hAnsi="Georgia" w:cs="Times New Roman"/>
          <w:sz w:val="24"/>
          <w:szCs w:val="24"/>
          <w:lang w:eastAsia="en-GB"/>
        </w:rPr>
        <w:t>; </w:t>
      </w:r>
      <w:r w:rsidRPr="008B7BBF">
        <w:rPr>
          <w:rFonts w:ascii="Georgia" w:eastAsia="Times New Roman" w:hAnsi="Georgia" w:cs="Times New Roman"/>
          <w:i/>
          <w:iCs/>
          <w:sz w:val="24"/>
          <w:szCs w:val="24"/>
          <w:highlight w:val="cyan"/>
          <w:lang w:eastAsia="en-GB"/>
        </w:rPr>
        <w:t>Smith v. Klebanoff, </w:t>
      </w:r>
      <w:r w:rsidRPr="008B7BBF">
        <w:rPr>
          <w:rFonts w:ascii="Georgia" w:eastAsia="Times New Roman" w:hAnsi="Georgia" w:cs="Times New Roman"/>
          <w:color w:val="007BFF"/>
          <w:sz w:val="24"/>
          <w:szCs w:val="24"/>
          <w:highlight w:val="cyan"/>
          <w:lang w:eastAsia="en-GB"/>
        </w:rPr>
        <w:t>84 N.M. 50</w:t>
      </w:r>
      <w:r w:rsidRPr="008B7BBF">
        <w:rPr>
          <w:rFonts w:ascii="Georgia" w:eastAsia="Times New Roman" w:hAnsi="Georgia" w:cs="Times New Roman"/>
          <w:sz w:val="24"/>
          <w:szCs w:val="24"/>
          <w:highlight w:val="cyan"/>
          <w:lang w:eastAsia="en-GB"/>
        </w:rPr>
        <w:t>, 53-54, </w:t>
      </w:r>
      <w:hyperlink r:id="rId16" w:history="1">
        <w:r w:rsidRPr="008B7BBF">
          <w:rPr>
            <w:rFonts w:ascii="Georgia" w:eastAsia="Times New Roman" w:hAnsi="Georgia" w:cs="Times New Roman"/>
            <w:color w:val="007BFF"/>
            <w:sz w:val="24"/>
            <w:szCs w:val="24"/>
            <w:highlight w:val="cyan"/>
            <w:lang w:eastAsia="en-GB"/>
          </w:rPr>
          <w:t>499 P.2d 368</w:t>
        </w:r>
      </w:hyperlink>
      <w:r w:rsidRPr="008B7BBF">
        <w:rPr>
          <w:rFonts w:ascii="Georgia" w:eastAsia="Times New Roman" w:hAnsi="Georgia" w:cs="Times New Roman"/>
          <w:sz w:val="24"/>
          <w:szCs w:val="24"/>
          <w:highlight w:val="cyan"/>
          <w:lang w:eastAsia="en-GB"/>
        </w:rPr>
        <w:t>, 371-72 (Ct.App.), </w:t>
      </w:r>
      <w:r w:rsidRPr="008B7BBF">
        <w:rPr>
          <w:rFonts w:ascii="Georgia" w:eastAsia="Times New Roman" w:hAnsi="Georgia" w:cs="Times New Roman"/>
          <w:i/>
          <w:iCs/>
          <w:sz w:val="24"/>
          <w:szCs w:val="24"/>
          <w:highlight w:val="cyan"/>
          <w:lang w:eastAsia="en-GB"/>
        </w:rPr>
        <w:t>cert. denied, </w:t>
      </w:r>
      <w:r w:rsidRPr="008B7BBF">
        <w:rPr>
          <w:rFonts w:ascii="Georgia" w:eastAsia="Times New Roman" w:hAnsi="Georgia" w:cs="Times New Roman"/>
          <w:color w:val="007BFF"/>
          <w:sz w:val="24"/>
          <w:szCs w:val="24"/>
          <w:highlight w:val="cyan"/>
          <w:lang w:eastAsia="en-GB"/>
        </w:rPr>
        <w:t>84 N.M. 37</w:t>
      </w:r>
      <w:r w:rsidRPr="008B7BBF">
        <w:rPr>
          <w:rFonts w:ascii="Georgia" w:eastAsia="Times New Roman" w:hAnsi="Georgia" w:cs="Times New Roman"/>
          <w:sz w:val="24"/>
          <w:szCs w:val="24"/>
          <w:highlight w:val="cyan"/>
          <w:lang w:eastAsia="en-GB"/>
        </w:rPr>
        <w:t>, </w:t>
      </w:r>
      <w:hyperlink r:id="rId17" w:history="1">
        <w:r w:rsidRPr="008B7BBF">
          <w:rPr>
            <w:rFonts w:ascii="Georgia" w:eastAsia="Times New Roman" w:hAnsi="Georgia" w:cs="Times New Roman"/>
            <w:color w:val="007BFF"/>
            <w:sz w:val="24"/>
            <w:szCs w:val="24"/>
            <w:highlight w:val="cyan"/>
            <w:lang w:eastAsia="en-GB"/>
          </w:rPr>
          <w:t>499 P.2d 355</w:t>
        </w:r>
      </w:hyperlink>
      <w:r w:rsidRPr="008B7BBF">
        <w:rPr>
          <w:rFonts w:ascii="Georgia" w:eastAsia="Times New Roman" w:hAnsi="Georgia" w:cs="Times New Roman"/>
          <w:sz w:val="24"/>
          <w:szCs w:val="24"/>
          <w:highlight w:val="cyan"/>
          <w:lang w:eastAsia="en-GB"/>
        </w:rPr>
        <w:t> (1972)</w:t>
      </w:r>
      <w:r w:rsidRPr="00804537">
        <w:rPr>
          <w:rFonts w:ascii="Georgia" w:eastAsia="Times New Roman" w:hAnsi="Georgia" w:cs="Times New Roman"/>
          <w:sz w:val="24"/>
          <w:szCs w:val="24"/>
          <w:lang w:eastAsia="en-GB"/>
        </w:rPr>
        <w:t>. “A defendant seeking summary judgment in a medical malpractice action bears the initial burden of </w:t>
      </w:r>
      <w:r w:rsidRPr="00097B04">
        <w:rPr>
          <w:rFonts w:ascii="Georgia" w:eastAsia="Times New Roman" w:hAnsi="Georgia" w:cs="Times New Roman"/>
          <w:i/>
          <w:iCs/>
          <w:color w:val="979797"/>
          <w:sz w:val="19"/>
          <w:szCs w:val="19"/>
          <w:lang w:eastAsia="en-GB"/>
        </w:rPr>
        <w:t>*689</w:t>
      </w:r>
      <w:r w:rsidRPr="00804537">
        <w:rPr>
          <w:rFonts w:ascii="Georgia" w:eastAsia="Times New Roman" w:hAnsi="Georgia" w:cs="Times New Roman"/>
          <w:sz w:val="24"/>
          <w:szCs w:val="24"/>
          <w:lang w:eastAsia="en-GB"/>
        </w:rPr>
        <w:t>negating at least one of the essential elements upon which the plaintiffs claims are grounded.” </w:t>
      </w:r>
      <w:r w:rsidRPr="005661C8">
        <w:rPr>
          <w:rFonts w:ascii="Georgia" w:eastAsia="Times New Roman" w:hAnsi="Georgia" w:cs="Times New Roman"/>
          <w:i/>
          <w:iCs/>
          <w:sz w:val="24"/>
          <w:szCs w:val="24"/>
          <w:highlight w:val="cyan"/>
          <w:lang w:eastAsia="en-GB"/>
        </w:rPr>
        <w:t>Blauwkamp, 114 </w:t>
      </w:r>
      <w:r w:rsidRPr="005661C8">
        <w:rPr>
          <w:rFonts w:ascii="Georgia" w:eastAsia="Times New Roman" w:hAnsi="Georgia" w:cs="Times New Roman"/>
          <w:sz w:val="24"/>
          <w:szCs w:val="24"/>
          <w:highlight w:val="cyan"/>
          <w:lang w:eastAsia="en-GB"/>
        </w:rPr>
        <w:t>N.M. at 231, 836 P.2d at 1252</w:t>
      </w:r>
      <w:r w:rsidRPr="00804537">
        <w:rPr>
          <w:rFonts w:ascii="Georgia" w:eastAsia="Times New Roman" w:hAnsi="Georgia" w:cs="Times New Roman"/>
          <w:sz w:val="24"/>
          <w:szCs w:val="24"/>
          <w:lang w:eastAsia="en-GB"/>
        </w:rPr>
        <w:t>.</w:t>
      </w:r>
    </w:p>
    <w:p w14:paraId="3D9C1131" w14:textId="5E571AC3" w:rsidR="00804537" w:rsidRPr="00804537" w:rsidRDefault="00804537" w:rsidP="00804537">
      <w:pPr>
        <w:spacing w:before="100" w:beforeAutospacing="1" w:after="225" w:line="240" w:lineRule="auto"/>
        <w:rPr>
          <w:rFonts w:ascii="Georgia" w:eastAsia="Times New Roman" w:hAnsi="Georgia" w:cs="Times New Roman"/>
          <w:sz w:val="24"/>
          <w:szCs w:val="24"/>
          <w:lang w:eastAsia="en-GB"/>
        </w:rPr>
      </w:pPr>
      <w:r w:rsidRPr="00804537">
        <w:rPr>
          <w:rFonts w:ascii="Georgia" w:eastAsia="Times New Roman" w:hAnsi="Georgia" w:cs="Times New Roman"/>
          <w:sz w:val="24"/>
          <w:szCs w:val="24"/>
          <w:lang w:eastAsia="en-GB"/>
        </w:rPr>
        <w:t>Defendants explain that the lack of a physician-patient relationship requires affirming the district court’s granting of summary judgment in favor of Regents. However, to be more precise, the essence of Defendants’ argument is actually whether periodic examinations conducted and paid for by an employer, whose purpose does not include treatment of the examinee, create a legally recognizable duty of care. As support, Defendants cite case law from other jurisdictions. </w:t>
      </w:r>
      <w:r w:rsidRPr="00804537">
        <w:rPr>
          <w:rFonts w:ascii="Georgia" w:eastAsia="Times New Roman" w:hAnsi="Georgia" w:cs="Times New Roman"/>
          <w:i/>
          <w:iCs/>
          <w:sz w:val="24"/>
          <w:szCs w:val="24"/>
          <w:lang w:eastAsia="en-GB"/>
        </w:rPr>
        <w:t>See Murphy v. Blum, </w:t>
      </w:r>
      <w:hyperlink r:id="rId18" w:history="1">
        <w:r w:rsidRPr="00804537">
          <w:rPr>
            <w:rFonts w:ascii="Georgia" w:eastAsia="Times New Roman" w:hAnsi="Georgia" w:cs="Times New Roman"/>
            <w:color w:val="007BFF"/>
            <w:sz w:val="24"/>
            <w:szCs w:val="24"/>
            <w:lang w:eastAsia="en-GB"/>
          </w:rPr>
          <w:t>160 A.D.2d 914</w:t>
        </w:r>
      </w:hyperlink>
      <w:r w:rsidRPr="00804537">
        <w:rPr>
          <w:rFonts w:ascii="Georgia" w:eastAsia="Times New Roman" w:hAnsi="Georgia" w:cs="Times New Roman"/>
          <w:sz w:val="24"/>
          <w:szCs w:val="24"/>
          <w:lang w:eastAsia="en-GB"/>
        </w:rPr>
        <w:t>, </w:t>
      </w:r>
      <w:r w:rsidRPr="00804537">
        <w:rPr>
          <w:rFonts w:ascii="Georgia" w:eastAsia="Times New Roman" w:hAnsi="Georgia" w:cs="Times New Roman"/>
          <w:color w:val="007BFF"/>
          <w:sz w:val="24"/>
          <w:szCs w:val="24"/>
          <w:lang w:eastAsia="en-GB"/>
        </w:rPr>
        <w:t>554 N.Y.S.2d 640</w:t>
      </w:r>
      <w:r w:rsidRPr="00804537">
        <w:rPr>
          <w:rFonts w:ascii="Georgia" w:eastAsia="Times New Roman" w:hAnsi="Georgia" w:cs="Times New Roman"/>
          <w:sz w:val="24"/>
          <w:szCs w:val="24"/>
          <w:lang w:eastAsia="en-GB"/>
        </w:rPr>
        <w:t>, 641 (1990) (“No duty exists concerning treatment or the giving of expert opinions if the doctor was retained solely to examine the plaintiff.”); </w:t>
      </w:r>
      <w:r w:rsidRPr="00804537">
        <w:rPr>
          <w:rFonts w:ascii="Georgia" w:eastAsia="Times New Roman" w:hAnsi="Georgia" w:cs="Times New Roman"/>
          <w:i/>
          <w:iCs/>
          <w:sz w:val="24"/>
          <w:szCs w:val="24"/>
          <w:lang w:eastAsia="en-GB"/>
        </w:rPr>
        <w:t xml:space="preserve">but see </w:t>
      </w:r>
      <w:r w:rsidRPr="005661C8">
        <w:rPr>
          <w:rFonts w:ascii="Georgia" w:eastAsia="Times New Roman" w:hAnsi="Georgia" w:cs="Times New Roman"/>
          <w:i/>
          <w:iCs/>
          <w:sz w:val="24"/>
          <w:szCs w:val="24"/>
          <w:highlight w:val="cyan"/>
          <w:lang w:eastAsia="en-GB"/>
        </w:rPr>
        <w:t>Cleghorn v. Hess, </w:t>
      </w:r>
      <w:hyperlink r:id="rId19" w:history="1">
        <w:r w:rsidRPr="005661C8">
          <w:rPr>
            <w:rFonts w:ascii="Georgia" w:eastAsia="Times New Roman" w:hAnsi="Georgia" w:cs="Times New Roman"/>
            <w:color w:val="007BFF"/>
            <w:sz w:val="24"/>
            <w:szCs w:val="24"/>
            <w:highlight w:val="cyan"/>
            <w:lang w:eastAsia="en-GB"/>
          </w:rPr>
          <w:t>109 Nev. 544</w:t>
        </w:r>
      </w:hyperlink>
      <w:r w:rsidRPr="005661C8">
        <w:rPr>
          <w:rFonts w:ascii="Georgia" w:eastAsia="Times New Roman" w:hAnsi="Georgia" w:cs="Times New Roman"/>
          <w:sz w:val="24"/>
          <w:szCs w:val="24"/>
          <w:highlight w:val="cyan"/>
          <w:lang w:eastAsia="en-GB"/>
        </w:rPr>
        <w:t>, </w:t>
      </w:r>
      <w:r w:rsidRPr="005661C8">
        <w:rPr>
          <w:rFonts w:ascii="Georgia" w:eastAsia="Times New Roman" w:hAnsi="Georgia" w:cs="Times New Roman"/>
          <w:color w:val="007BFF"/>
          <w:sz w:val="24"/>
          <w:szCs w:val="24"/>
          <w:highlight w:val="cyan"/>
          <w:lang w:eastAsia="en-GB"/>
        </w:rPr>
        <w:t>853 P.2d 1260</w:t>
      </w:r>
      <w:r w:rsidRPr="005661C8">
        <w:rPr>
          <w:rFonts w:ascii="Georgia" w:eastAsia="Times New Roman" w:hAnsi="Georgia" w:cs="Times New Roman"/>
          <w:sz w:val="24"/>
          <w:szCs w:val="24"/>
          <w:highlight w:val="cyan"/>
          <w:lang w:eastAsia="en-GB"/>
        </w:rPr>
        <w:t>, 1263 (1993)</w:t>
      </w:r>
      <w:r w:rsidRPr="00804537">
        <w:rPr>
          <w:rFonts w:ascii="Georgia" w:eastAsia="Times New Roman" w:hAnsi="Georgia" w:cs="Times New Roman"/>
          <w:sz w:val="24"/>
          <w:szCs w:val="24"/>
          <w:lang w:eastAsia="en-GB"/>
        </w:rPr>
        <w:t xml:space="preserve"> (“When an employee is required, as a condition of employment, to submit to a medical examination, that examination creates a relationship between the examining physician and the examinee, at least to the extent of the tests conducted.”); </w:t>
      </w:r>
      <w:r w:rsidRPr="008E4CD0">
        <w:rPr>
          <w:rFonts w:ascii="Georgia" w:eastAsia="Times New Roman" w:hAnsi="Georgia" w:cs="Times New Roman"/>
          <w:i/>
          <w:iCs/>
          <w:sz w:val="24"/>
          <w:szCs w:val="24"/>
          <w:highlight w:val="cyan"/>
          <w:lang w:eastAsia="en-GB"/>
        </w:rPr>
        <w:t>Green v. Walker, </w:t>
      </w:r>
      <w:hyperlink r:id="rId20" w:history="1">
        <w:r w:rsidRPr="008E4CD0">
          <w:rPr>
            <w:rFonts w:ascii="Georgia" w:eastAsia="Times New Roman" w:hAnsi="Georgia" w:cs="Times New Roman"/>
            <w:color w:val="007BFF"/>
            <w:sz w:val="24"/>
            <w:szCs w:val="24"/>
            <w:highlight w:val="cyan"/>
            <w:lang w:eastAsia="en-GB"/>
          </w:rPr>
          <w:t>910 F.2d 291</w:t>
        </w:r>
      </w:hyperlink>
      <w:r w:rsidRPr="00804537">
        <w:rPr>
          <w:rFonts w:ascii="Georgia" w:eastAsia="Times New Roman" w:hAnsi="Georgia" w:cs="Times New Roman"/>
          <w:sz w:val="24"/>
          <w:szCs w:val="24"/>
          <w:highlight w:val="cyan"/>
          <w:lang w:eastAsia="en-GB"/>
        </w:rPr>
        <w:t>, 296 (5th Cir.1990)</w:t>
      </w:r>
      <w:r w:rsidRPr="00804537">
        <w:rPr>
          <w:rFonts w:ascii="Georgia" w:eastAsia="Times New Roman" w:hAnsi="Georgia" w:cs="Times New Roman"/>
          <w:sz w:val="24"/>
          <w:szCs w:val="24"/>
          <w:lang w:eastAsia="en-GB"/>
        </w:rPr>
        <w:t xml:space="preserve"> (physician who conducts medical examination of employee pursuant to contract with employer, and pursuant to employment policy requiring employee to submit to such examination as condition of future or continued employment, has duty to conduct requested tests and diagnose results thereof, and to take reasonable steps to make information available timely to employee of any finding that poses imminent danger to employee’s physical or mental well-being). We are persuaded by the reasoning in Green as well as the evidence of legislative intent contained in the </w:t>
      </w:r>
      <w:r w:rsidRPr="00804537">
        <w:rPr>
          <w:rFonts w:ascii="Georgia" w:eastAsia="Times New Roman" w:hAnsi="Georgia" w:cs="Times New Roman"/>
          <w:sz w:val="24"/>
          <w:szCs w:val="24"/>
          <w:highlight w:val="cyan"/>
          <w:lang w:eastAsia="en-GB"/>
        </w:rPr>
        <w:t>Medical Malpractice Act</w:t>
      </w:r>
      <w:r w:rsidRPr="00804537">
        <w:rPr>
          <w:rFonts w:ascii="Georgia" w:eastAsia="Times New Roman" w:hAnsi="Georgia" w:cs="Times New Roman"/>
          <w:sz w:val="24"/>
          <w:szCs w:val="24"/>
          <w:lang w:eastAsia="en-GB"/>
        </w:rPr>
        <w:t>.</w:t>
      </w:r>
    </w:p>
    <w:p w14:paraId="3D9C1132" w14:textId="77777777" w:rsidR="00804537" w:rsidRPr="00804537" w:rsidRDefault="00804537" w:rsidP="00804537">
      <w:pPr>
        <w:spacing w:before="100" w:beforeAutospacing="1" w:after="225" w:line="240" w:lineRule="auto"/>
        <w:rPr>
          <w:rFonts w:ascii="Georgia" w:eastAsia="Times New Roman" w:hAnsi="Georgia" w:cs="Times New Roman"/>
          <w:sz w:val="24"/>
          <w:szCs w:val="24"/>
          <w:lang w:eastAsia="en-GB"/>
        </w:rPr>
      </w:pPr>
      <w:r w:rsidRPr="00804537">
        <w:rPr>
          <w:rFonts w:ascii="Georgia" w:eastAsia="Times New Roman" w:hAnsi="Georgia" w:cs="Times New Roman"/>
          <w:sz w:val="24"/>
          <w:szCs w:val="24"/>
          <w:highlight w:val="cyan"/>
          <w:lang w:eastAsia="en-GB"/>
        </w:rPr>
        <w:t>NMSA 1978, Section 41-5-3(0 (Repl.Pamp.1989)</w:t>
      </w:r>
      <w:r w:rsidRPr="00804537">
        <w:rPr>
          <w:rFonts w:ascii="Georgia" w:eastAsia="Times New Roman" w:hAnsi="Georgia" w:cs="Times New Roman"/>
          <w:sz w:val="24"/>
          <w:szCs w:val="24"/>
          <w:lang w:eastAsia="en-GB"/>
        </w:rPr>
        <w:t>, explains that a malpractice claim “includes any cause of action arising in this state against a health care </w:t>
      </w:r>
      <w:r w:rsidRPr="008E4CD0">
        <w:rPr>
          <w:rFonts w:ascii="Georgia" w:eastAsia="Times New Roman" w:hAnsi="Georgia" w:cs="Times New Roman"/>
          <w:i/>
          <w:iCs/>
          <w:sz w:val="24"/>
          <w:szCs w:val="24"/>
          <w:lang w:eastAsia="en-GB"/>
        </w:rPr>
        <w:t>provider </w:t>
      </w:r>
      <w:r w:rsidRPr="00804537">
        <w:rPr>
          <w:rFonts w:ascii="Georgia" w:eastAsia="Times New Roman" w:hAnsi="Georgia" w:cs="Times New Roman"/>
          <w:sz w:val="24"/>
          <w:szCs w:val="24"/>
          <w:lang w:eastAsia="en-GB"/>
        </w:rPr>
        <w:t>for medical treatment, lack of medical treatment or other claimed departure from accepted standards of health care which proximately results in injury to the patient.” (Emphasis added.) The key phrase is “health care provider.” Subsection (A) of that same statute defines “health care provider” to include, among others, “a person, corporation, organization, facility or institution licensed or certified by this state to provide health care or professional services as a ... hospital, outpatient health care facility, ... nurse anesthetist or physician’s assistant.” None of these listed providers are physicians, and therefore they cannot form a physician-patient relationship, yet the legislature apparently believed all faced potential medical malpractice liability.</w:t>
      </w:r>
    </w:p>
    <w:p w14:paraId="3D9C1133" w14:textId="189ACD42" w:rsidR="00804537" w:rsidRPr="00804537" w:rsidRDefault="00804537" w:rsidP="00804537">
      <w:pPr>
        <w:spacing w:before="100" w:beforeAutospacing="1" w:after="225" w:line="240" w:lineRule="auto"/>
        <w:rPr>
          <w:rFonts w:ascii="Georgia" w:eastAsia="Times New Roman" w:hAnsi="Georgia" w:cs="Times New Roman"/>
          <w:sz w:val="24"/>
          <w:szCs w:val="24"/>
          <w:lang w:eastAsia="en-GB"/>
        </w:rPr>
      </w:pPr>
      <w:r w:rsidRPr="00804537">
        <w:rPr>
          <w:rFonts w:ascii="Georgia" w:eastAsia="Times New Roman" w:hAnsi="Georgia" w:cs="Times New Roman"/>
          <w:sz w:val="24"/>
          <w:szCs w:val="24"/>
          <w:lang w:eastAsia="en-GB"/>
        </w:rPr>
        <w:t>Accordingly</w:t>
      </w:r>
      <w:r w:rsidRPr="00862E0C">
        <w:rPr>
          <w:rFonts w:ascii="Georgia" w:eastAsia="Times New Roman" w:hAnsi="Georgia" w:cs="Times New Roman"/>
          <w:sz w:val="24"/>
          <w:szCs w:val="24"/>
          <w:lang w:eastAsia="en-GB"/>
        </w:rPr>
        <w:t>, we believe the statute’s broad definition of potential defendants provides significant evidence of the legislature’s intent to impose liability beyond the context of a physician-patient relationship.</w:t>
      </w:r>
      <w:r w:rsidRPr="00804537">
        <w:rPr>
          <w:rFonts w:ascii="Georgia" w:eastAsia="Times New Roman" w:hAnsi="Georgia" w:cs="Times New Roman"/>
          <w:sz w:val="24"/>
          <w:szCs w:val="24"/>
          <w:lang w:eastAsia="en-GB"/>
        </w:rPr>
        <w:t xml:space="preserve"> As further support for our decision, we note numerous medical malpractice cases decided by New Mexico courts in which defendants other than only physicians are parties. </w:t>
      </w:r>
      <w:r w:rsidRPr="00804537">
        <w:rPr>
          <w:rFonts w:ascii="Georgia" w:eastAsia="Times New Roman" w:hAnsi="Georgia" w:cs="Times New Roman"/>
          <w:i/>
          <w:iCs/>
          <w:sz w:val="24"/>
          <w:szCs w:val="24"/>
          <w:lang w:eastAsia="en-GB"/>
        </w:rPr>
        <w:t xml:space="preserve">See </w:t>
      </w:r>
      <w:r w:rsidRPr="008E4CD0">
        <w:rPr>
          <w:rFonts w:ascii="Georgia" w:eastAsia="Times New Roman" w:hAnsi="Georgia" w:cs="Times New Roman"/>
          <w:i/>
          <w:iCs/>
          <w:sz w:val="24"/>
          <w:szCs w:val="24"/>
          <w:highlight w:val="cyan"/>
          <w:lang w:eastAsia="en-GB"/>
        </w:rPr>
        <w:t>Roberts, </w:t>
      </w:r>
      <w:r w:rsidRPr="00804537">
        <w:rPr>
          <w:rFonts w:ascii="Georgia" w:eastAsia="Times New Roman" w:hAnsi="Georgia" w:cs="Times New Roman"/>
          <w:sz w:val="24"/>
          <w:szCs w:val="24"/>
          <w:highlight w:val="cyan"/>
          <w:lang w:eastAsia="en-GB"/>
        </w:rPr>
        <w:t>114 N.M. at 249, 837 P.2d at 443</w:t>
      </w:r>
      <w:r w:rsidRPr="00804537">
        <w:rPr>
          <w:rFonts w:ascii="Georgia" w:eastAsia="Times New Roman" w:hAnsi="Georgia" w:cs="Times New Roman"/>
          <w:sz w:val="24"/>
          <w:szCs w:val="24"/>
          <w:lang w:eastAsia="en-GB"/>
        </w:rPr>
        <w:t>; </w:t>
      </w:r>
      <w:r w:rsidRPr="008E4CD0">
        <w:rPr>
          <w:rFonts w:ascii="Georgia" w:eastAsia="Times New Roman" w:hAnsi="Georgia" w:cs="Times New Roman"/>
          <w:i/>
          <w:iCs/>
          <w:sz w:val="24"/>
          <w:szCs w:val="24"/>
          <w:highlight w:val="cyan"/>
          <w:lang w:eastAsia="en-GB"/>
        </w:rPr>
        <w:t>Blauwkamp, </w:t>
      </w:r>
      <w:r w:rsidRPr="00804537">
        <w:rPr>
          <w:rFonts w:ascii="Georgia" w:eastAsia="Times New Roman" w:hAnsi="Georgia" w:cs="Times New Roman"/>
          <w:sz w:val="24"/>
          <w:szCs w:val="24"/>
          <w:highlight w:val="cyan"/>
          <w:lang w:eastAsia="en-GB"/>
        </w:rPr>
        <w:t>114 N.M. at 230, 836 P.2d at 1251</w:t>
      </w:r>
      <w:r w:rsidRPr="00804537">
        <w:rPr>
          <w:rFonts w:ascii="Georgia" w:eastAsia="Times New Roman" w:hAnsi="Georgia" w:cs="Times New Roman"/>
          <w:sz w:val="24"/>
          <w:szCs w:val="24"/>
          <w:lang w:eastAsia="en-GB"/>
        </w:rPr>
        <w:t>; </w:t>
      </w:r>
      <w:r w:rsidRPr="008E4CD0">
        <w:rPr>
          <w:rFonts w:ascii="Georgia" w:eastAsia="Times New Roman" w:hAnsi="Georgia" w:cs="Times New Roman"/>
          <w:i/>
          <w:iCs/>
          <w:sz w:val="24"/>
          <w:szCs w:val="24"/>
          <w:highlight w:val="cyan"/>
          <w:lang w:eastAsia="en-GB"/>
        </w:rPr>
        <w:t>Lopez v. Southwest Community Health Servs., </w:t>
      </w:r>
      <w:r w:rsidRPr="008E4CD0">
        <w:rPr>
          <w:rFonts w:ascii="Georgia" w:eastAsia="Times New Roman" w:hAnsi="Georgia" w:cs="Times New Roman"/>
          <w:color w:val="007BFF"/>
          <w:sz w:val="24"/>
          <w:szCs w:val="24"/>
          <w:highlight w:val="cyan"/>
          <w:lang w:eastAsia="en-GB"/>
        </w:rPr>
        <w:t>114 N.M. 2</w:t>
      </w:r>
      <w:r w:rsidRPr="00804537">
        <w:rPr>
          <w:rFonts w:ascii="Georgia" w:eastAsia="Times New Roman" w:hAnsi="Georgia" w:cs="Times New Roman"/>
          <w:sz w:val="24"/>
          <w:szCs w:val="24"/>
          <w:highlight w:val="cyan"/>
          <w:lang w:eastAsia="en-GB"/>
        </w:rPr>
        <w:t>, 4, </w:t>
      </w:r>
      <w:hyperlink r:id="rId21" w:history="1">
        <w:r w:rsidRPr="008E4CD0">
          <w:rPr>
            <w:rFonts w:ascii="Georgia" w:eastAsia="Times New Roman" w:hAnsi="Georgia" w:cs="Times New Roman"/>
            <w:color w:val="007BFF"/>
            <w:sz w:val="24"/>
            <w:szCs w:val="24"/>
            <w:highlight w:val="cyan"/>
            <w:lang w:eastAsia="en-GB"/>
          </w:rPr>
          <w:t>833 P.2d 1183</w:t>
        </w:r>
      </w:hyperlink>
      <w:r w:rsidRPr="00804537">
        <w:rPr>
          <w:rFonts w:ascii="Georgia" w:eastAsia="Times New Roman" w:hAnsi="Georgia" w:cs="Times New Roman"/>
          <w:sz w:val="24"/>
          <w:szCs w:val="24"/>
          <w:highlight w:val="cyan"/>
          <w:lang w:eastAsia="en-GB"/>
        </w:rPr>
        <w:t>, 1185 (Ct.App.), </w:t>
      </w:r>
      <w:r w:rsidRPr="008E4CD0">
        <w:rPr>
          <w:rFonts w:ascii="Georgia" w:eastAsia="Times New Roman" w:hAnsi="Georgia" w:cs="Times New Roman"/>
          <w:i/>
          <w:iCs/>
          <w:sz w:val="24"/>
          <w:szCs w:val="24"/>
          <w:highlight w:val="cyan"/>
          <w:lang w:eastAsia="en-GB"/>
        </w:rPr>
        <w:t>cert. denied, </w:t>
      </w:r>
      <w:r w:rsidRPr="008E4CD0">
        <w:rPr>
          <w:rFonts w:ascii="Georgia" w:eastAsia="Times New Roman" w:hAnsi="Georgia" w:cs="Times New Roman"/>
          <w:color w:val="007BFF"/>
          <w:sz w:val="24"/>
          <w:szCs w:val="24"/>
          <w:highlight w:val="cyan"/>
          <w:lang w:eastAsia="en-GB"/>
        </w:rPr>
        <w:t>113 N.M. 690</w:t>
      </w:r>
      <w:r w:rsidRPr="00804537">
        <w:rPr>
          <w:rFonts w:ascii="Georgia" w:eastAsia="Times New Roman" w:hAnsi="Georgia" w:cs="Times New Roman"/>
          <w:sz w:val="24"/>
          <w:szCs w:val="24"/>
          <w:highlight w:val="cyan"/>
          <w:lang w:eastAsia="en-GB"/>
        </w:rPr>
        <w:t>, </w:t>
      </w:r>
      <w:hyperlink r:id="rId22" w:history="1">
        <w:r w:rsidRPr="008E4CD0">
          <w:rPr>
            <w:rFonts w:ascii="Georgia" w:eastAsia="Times New Roman" w:hAnsi="Georgia" w:cs="Times New Roman"/>
            <w:color w:val="007BFF"/>
            <w:sz w:val="24"/>
            <w:szCs w:val="24"/>
            <w:highlight w:val="cyan"/>
            <w:lang w:eastAsia="en-GB"/>
          </w:rPr>
          <w:t>831 P.2d 989</w:t>
        </w:r>
      </w:hyperlink>
      <w:r w:rsidRPr="00804537">
        <w:rPr>
          <w:rFonts w:ascii="Georgia" w:eastAsia="Times New Roman" w:hAnsi="Georgia" w:cs="Times New Roman"/>
          <w:sz w:val="24"/>
          <w:szCs w:val="24"/>
          <w:highlight w:val="cyan"/>
          <w:lang w:eastAsia="en-GB"/>
        </w:rPr>
        <w:t> (1992)</w:t>
      </w:r>
      <w:r w:rsidRPr="00804537">
        <w:rPr>
          <w:rFonts w:ascii="Georgia" w:eastAsia="Times New Roman" w:hAnsi="Georgia" w:cs="Times New Roman"/>
          <w:sz w:val="24"/>
          <w:szCs w:val="24"/>
          <w:lang w:eastAsia="en-GB"/>
        </w:rPr>
        <w:t>; </w:t>
      </w:r>
      <w:r w:rsidRPr="008E4CD0">
        <w:rPr>
          <w:rFonts w:ascii="Georgia" w:eastAsia="Times New Roman" w:hAnsi="Georgia" w:cs="Times New Roman"/>
          <w:i/>
          <w:iCs/>
          <w:sz w:val="24"/>
          <w:szCs w:val="24"/>
          <w:highlight w:val="cyan"/>
          <w:lang w:eastAsia="en-GB"/>
        </w:rPr>
        <w:t>Lovelace Medical Ctr. v. Mendez, 111 N.M. </w:t>
      </w:r>
      <w:r w:rsidRPr="00804537">
        <w:rPr>
          <w:rFonts w:ascii="Georgia" w:eastAsia="Times New Roman" w:hAnsi="Georgia" w:cs="Times New Roman"/>
          <w:sz w:val="24"/>
          <w:szCs w:val="24"/>
          <w:highlight w:val="cyan"/>
          <w:lang w:eastAsia="en-GB"/>
        </w:rPr>
        <w:t>336, 337, </w:t>
      </w:r>
      <w:r w:rsidRPr="008E4CD0">
        <w:rPr>
          <w:rFonts w:ascii="Georgia" w:eastAsia="Times New Roman" w:hAnsi="Georgia" w:cs="Times New Roman"/>
          <w:color w:val="007BFF"/>
          <w:sz w:val="24"/>
          <w:szCs w:val="24"/>
          <w:highlight w:val="cyan"/>
          <w:lang w:eastAsia="en-GB"/>
        </w:rPr>
        <w:t>805 P.2d 603</w:t>
      </w:r>
      <w:r w:rsidRPr="00804537">
        <w:rPr>
          <w:rFonts w:ascii="Georgia" w:eastAsia="Times New Roman" w:hAnsi="Georgia" w:cs="Times New Roman"/>
          <w:sz w:val="24"/>
          <w:szCs w:val="24"/>
          <w:highlight w:val="cyan"/>
          <w:lang w:eastAsia="en-GB"/>
        </w:rPr>
        <w:t>, 604 (1991)</w:t>
      </w:r>
      <w:r w:rsidRPr="00804537">
        <w:rPr>
          <w:rFonts w:ascii="Georgia" w:eastAsia="Times New Roman" w:hAnsi="Georgia" w:cs="Times New Roman"/>
          <w:sz w:val="24"/>
          <w:szCs w:val="24"/>
          <w:lang w:eastAsia="en-GB"/>
        </w:rPr>
        <w:t xml:space="preserve">. These </w:t>
      </w:r>
      <w:r w:rsidRPr="005661C8">
        <w:rPr>
          <w:rFonts w:ascii="Georgia" w:eastAsia="Times New Roman" w:hAnsi="Georgia" w:cs="Times New Roman"/>
          <w:sz w:val="24"/>
          <w:szCs w:val="24"/>
          <w:lang w:eastAsia="en-GB"/>
        </w:rPr>
        <w:t xml:space="preserve">decisions clearly reveal that </w:t>
      </w:r>
      <w:r w:rsidRPr="00862E0C">
        <w:rPr>
          <w:rFonts w:ascii="Georgia" w:eastAsia="Times New Roman" w:hAnsi="Georgia" w:cs="Times New Roman"/>
          <w:sz w:val="24"/>
          <w:szCs w:val="24"/>
          <w:lang w:eastAsia="en-GB"/>
        </w:rPr>
        <w:t xml:space="preserve">New Mexico courts recognize that a legal duty exists in medical malpractice actions against defendants other than physicians. Because </w:t>
      </w:r>
      <w:r w:rsidRPr="00862E0C">
        <w:rPr>
          <w:rFonts w:ascii="Georgia" w:eastAsia="Times New Roman" w:hAnsi="Georgia" w:cs="Times New Roman"/>
          <w:sz w:val="24"/>
          <w:szCs w:val="24"/>
          <w:highlight w:val="yellow"/>
          <w:lang w:eastAsia="en-GB"/>
        </w:rPr>
        <w:t>Defendants did not exclude the possibility of liability for Pederson’s actions</w:t>
      </w:r>
      <w:r w:rsidRPr="00862E0C">
        <w:rPr>
          <w:rFonts w:ascii="Georgia" w:eastAsia="Times New Roman" w:hAnsi="Georgia" w:cs="Times New Roman"/>
          <w:sz w:val="24"/>
          <w:szCs w:val="24"/>
          <w:lang w:eastAsia="en-GB"/>
        </w:rPr>
        <w:t xml:space="preserve">, the </w:t>
      </w:r>
      <w:r w:rsidRPr="00862E0C">
        <w:rPr>
          <w:rFonts w:ascii="Georgia" w:eastAsia="Times New Roman" w:hAnsi="Georgia" w:cs="Times New Roman"/>
          <w:sz w:val="24"/>
          <w:szCs w:val="24"/>
          <w:highlight w:val="red"/>
          <w:lang w:eastAsia="en-GB"/>
        </w:rPr>
        <w:t>summary judgment granted to Regents is reversed.</w:t>
      </w:r>
    </w:p>
    <w:p w14:paraId="3D9C1134" w14:textId="77777777" w:rsidR="00804537" w:rsidRPr="00804537" w:rsidRDefault="00804537" w:rsidP="00804537">
      <w:pPr>
        <w:spacing w:before="100" w:beforeAutospacing="1" w:after="225" w:line="240" w:lineRule="auto"/>
        <w:rPr>
          <w:rFonts w:ascii="Georgia" w:eastAsia="Times New Roman" w:hAnsi="Georgia" w:cs="Times New Roman"/>
          <w:sz w:val="24"/>
          <w:szCs w:val="24"/>
          <w:lang w:eastAsia="en-GB"/>
        </w:rPr>
      </w:pPr>
      <w:r w:rsidRPr="00804537">
        <w:rPr>
          <w:rFonts w:ascii="Georgia" w:eastAsia="Times New Roman" w:hAnsi="Georgia" w:cs="Times New Roman"/>
          <w:sz w:val="24"/>
          <w:szCs w:val="24"/>
          <w:lang w:eastAsia="en-GB"/>
        </w:rPr>
        <w:t>A recent decision dealing with this exact issue notes that “[w]e live in an age in which the drive for an increasingly productive workforce has led employers increasingly to require that employees subject their bodies (and minds) to inspection in order to obtain or maintain employment.” </w:t>
      </w:r>
      <w:r w:rsidRPr="008E4CD0">
        <w:rPr>
          <w:rFonts w:ascii="Georgia" w:eastAsia="Times New Roman" w:hAnsi="Georgia" w:cs="Times New Roman"/>
          <w:i/>
          <w:iCs/>
          <w:sz w:val="24"/>
          <w:szCs w:val="24"/>
          <w:highlight w:val="cyan"/>
          <w:lang w:eastAsia="en-GB"/>
        </w:rPr>
        <w:t>Green, </w:t>
      </w:r>
      <w:r w:rsidRPr="00804537">
        <w:rPr>
          <w:rFonts w:ascii="Georgia" w:eastAsia="Times New Roman" w:hAnsi="Georgia" w:cs="Times New Roman"/>
          <w:sz w:val="24"/>
          <w:szCs w:val="24"/>
          <w:highlight w:val="cyan"/>
          <w:lang w:eastAsia="en-GB"/>
        </w:rPr>
        <w:t>910 F.2d </w:t>
      </w:r>
      <w:r w:rsidRPr="008E4CD0">
        <w:rPr>
          <w:rFonts w:ascii="Georgia" w:eastAsia="Times New Roman" w:hAnsi="Georgia" w:cs="Times New Roman"/>
          <w:i/>
          <w:iCs/>
          <w:sz w:val="24"/>
          <w:szCs w:val="24"/>
          <w:highlight w:val="cyan"/>
          <w:lang w:eastAsia="en-GB"/>
        </w:rPr>
        <w:t>at </w:t>
      </w:r>
      <w:r w:rsidRPr="00804537">
        <w:rPr>
          <w:rFonts w:ascii="Georgia" w:eastAsia="Times New Roman" w:hAnsi="Georgia" w:cs="Times New Roman"/>
          <w:sz w:val="24"/>
          <w:szCs w:val="24"/>
          <w:highlight w:val="cyan"/>
          <w:lang w:eastAsia="en-GB"/>
        </w:rPr>
        <w:t>295</w:t>
      </w:r>
      <w:r w:rsidRPr="00804537">
        <w:rPr>
          <w:rFonts w:ascii="Georgia" w:eastAsia="Times New Roman" w:hAnsi="Georgia" w:cs="Times New Roman"/>
          <w:sz w:val="24"/>
          <w:szCs w:val="24"/>
          <w:lang w:eastAsia="en-GB"/>
        </w:rPr>
        <w:t xml:space="preserve">. This reality requires us to recognize that </w:t>
      </w:r>
      <w:r w:rsidRPr="005661C8">
        <w:rPr>
          <w:rFonts w:ascii="Georgia" w:eastAsia="Times New Roman" w:hAnsi="Georgia" w:cs="Times New Roman"/>
          <w:sz w:val="24"/>
          <w:szCs w:val="24"/>
          <w:highlight w:val="green"/>
          <w:lang w:eastAsia="en-GB"/>
        </w:rPr>
        <w:t>when an individual is obliged, as a condition of future or continued employment, to submit to a medical examination, that examination creates a duty between the examining health care provider and the examinee.</w:t>
      </w:r>
      <w:r w:rsidRPr="00804537">
        <w:rPr>
          <w:rFonts w:ascii="Georgia" w:eastAsia="Times New Roman" w:hAnsi="Georgia" w:cs="Times New Roman"/>
          <w:sz w:val="24"/>
          <w:szCs w:val="24"/>
          <w:lang w:eastAsia="en-GB"/>
        </w:rPr>
        <w:t xml:space="preserve"> Fortunately, we are not required to outline the exact contours of such a duty at this time, only to decide whether a duty of law exists.</w:t>
      </w:r>
    </w:p>
    <w:p w14:paraId="3D9C1135" w14:textId="77777777" w:rsidR="00804537" w:rsidRPr="00804537" w:rsidRDefault="00436286" w:rsidP="00804537">
      <w:pPr>
        <w:spacing w:before="100" w:beforeAutospacing="1" w:after="225" w:line="240" w:lineRule="auto"/>
        <w:rPr>
          <w:rFonts w:ascii="Georgia" w:eastAsia="Times New Roman" w:hAnsi="Georgia" w:cs="Times New Roman"/>
          <w:sz w:val="24"/>
          <w:szCs w:val="24"/>
          <w:lang w:eastAsia="en-GB"/>
        </w:rPr>
      </w:pPr>
      <w:hyperlink r:id="rId23" w:anchor="p690" w:history="1">
        <w:r w:rsidR="00804537" w:rsidRPr="00804537">
          <w:rPr>
            <w:rFonts w:ascii="Georgia" w:eastAsia="Times New Roman" w:hAnsi="Georgia" w:cs="Times New Roman"/>
            <w:i/>
            <w:iCs/>
            <w:color w:val="979797"/>
            <w:sz w:val="19"/>
            <w:szCs w:val="19"/>
            <w:lang w:eastAsia="en-GB"/>
          </w:rPr>
          <w:t>*690</w:t>
        </w:r>
      </w:hyperlink>
      <w:r w:rsidR="00804537" w:rsidRPr="00FF1963">
        <w:rPr>
          <w:rFonts w:ascii="Georgia" w:eastAsia="Times New Roman" w:hAnsi="Georgia" w:cs="Times New Roman"/>
          <w:sz w:val="24"/>
          <w:szCs w:val="24"/>
          <w:highlight w:val="green"/>
          <w:lang w:eastAsia="en-GB"/>
        </w:rPr>
        <w:t>Under the facts of this case, we believe</w:t>
      </w:r>
      <w:r w:rsidR="00804537" w:rsidRPr="003C0299">
        <w:rPr>
          <w:rFonts w:ascii="Georgia" w:eastAsia="Times New Roman" w:hAnsi="Georgia" w:cs="Times New Roman"/>
          <w:sz w:val="24"/>
          <w:szCs w:val="24"/>
          <w:lang w:eastAsia="en-GB"/>
        </w:rPr>
        <w:t xml:space="preserve"> the district court erred by holding no </w:t>
      </w:r>
      <w:r w:rsidR="00804537" w:rsidRPr="003C0299">
        <w:rPr>
          <w:rFonts w:ascii="Georgia" w:eastAsia="Times New Roman" w:hAnsi="Georgia" w:cs="Times New Roman"/>
          <w:sz w:val="24"/>
          <w:szCs w:val="24"/>
          <w:highlight w:val="green"/>
          <w:lang w:eastAsia="en-GB"/>
        </w:rPr>
        <w:t>such duty exists</w:t>
      </w:r>
      <w:r w:rsidR="00804537" w:rsidRPr="005661C8">
        <w:rPr>
          <w:rFonts w:ascii="Georgia" w:eastAsia="Times New Roman" w:hAnsi="Georgia" w:cs="Times New Roman"/>
          <w:sz w:val="24"/>
          <w:szCs w:val="24"/>
          <w:highlight w:val="green"/>
          <w:lang w:eastAsia="en-GB"/>
        </w:rPr>
        <w:t>. Plaintiff properly presented a question for the jury concerning whether LANL’s peri</w:t>
      </w:r>
      <w:r w:rsidR="00804537" w:rsidRPr="00804537">
        <w:rPr>
          <w:rFonts w:ascii="Georgia" w:eastAsia="Times New Roman" w:hAnsi="Georgia" w:cs="Times New Roman"/>
          <w:sz w:val="24"/>
          <w:szCs w:val="24"/>
          <w:highlight w:val="green"/>
          <w:lang w:eastAsia="en-GB"/>
        </w:rPr>
        <w:t>odic examinations resulted in Mr. Baer’s reliance upon the x-rays which were taken during those physicals as a means by which the condition in his chest was intermittently reviewed</w:t>
      </w:r>
      <w:r w:rsidR="00804537" w:rsidRPr="00581D29">
        <w:rPr>
          <w:rFonts w:ascii="Georgia" w:eastAsia="Times New Roman" w:hAnsi="Georgia" w:cs="Times New Roman"/>
          <w:sz w:val="24"/>
          <w:szCs w:val="24"/>
          <w:lang w:eastAsia="en-GB"/>
        </w:rPr>
        <w:t xml:space="preserve">. </w:t>
      </w:r>
      <w:r w:rsidR="00804537" w:rsidRPr="005661C8">
        <w:rPr>
          <w:rFonts w:ascii="Georgia" w:eastAsia="Times New Roman" w:hAnsi="Georgia" w:cs="Times New Roman"/>
          <w:sz w:val="24"/>
          <w:szCs w:val="24"/>
          <w:lang w:eastAsia="en-GB"/>
        </w:rPr>
        <w:t xml:space="preserve">Among the numerous factual issues raised by this appeal and disputed by the parties, </w:t>
      </w:r>
      <w:r w:rsidR="00804537" w:rsidRPr="005661C8">
        <w:rPr>
          <w:rFonts w:ascii="Georgia" w:eastAsia="Times New Roman" w:hAnsi="Georgia" w:cs="Times New Roman"/>
          <w:sz w:val="24"/>
          <w:szCs w:val="24"/>
          <w:highlight w:val="green"/>
          <w:lang w:eastAsia="en-GB"/>
        </w:rPr>
        <w:t>one critical jury question would be whether the duty owed to Mr. Baer was discharged in light of Defendants’ referral of Mr. Baer to his private physician. Another might be whether the duty owed Mr. Baer by Regents’ health care providers to use reasonable care during its examination was breached because</w:t>
      </w:r>
      <w:r w:rsidR="00804537" w:rsidRPr="005661C8">
        <w:rPr>
          <w:rFonts w:ascii="Georgia" w:eastAsia="Times New Roman" w:hAnsi="Georgia" w:cs="Times New Roman"/>
          <w:sz w:val="24"/>
          <w:szCs w:val="24"/>
          <w:lang w:eastAsia="en-GB"/>
        </w:rPr>
        <w:t xml:space="preserve">, as reported by Defendants, </w:t>
      </w:r>
      <w:r w:rsidR="00804537" w:rsidRPr="005661C8">
        <w:rPr>
          <w:rFonts w:ascii="Georgia" w:eastAsia="Times New Roman" w:hAnsi="Georgia" w:cs="Times New Roman"/>
          <w:sz w:val="24"/>
          <w:szCs w:val="24"/>
          <w:highlight w:val="green"/>
          <w:lang w:eastAsia="en-GB"/>
        </w:rPr>
        <w:t>“changes in federal funding, and new concerns about excessive radiation had caused the Occupational Medicine Group to delete chest x-rays from the battery of tests normally performed at physicals.”</w:t>
      </w:r>
    </w:p>
    <w:p w14:paraId="3D9C1136" w14:textId="77777777" w:rsidR="00804537" w:rsidRPr="00804537" w:rsidRDefault="00804537" w:rsidP="00804537">
      <w:pPr>
        <w:spacing w:before="100" w:beforeAutospacing="1" w:after="225" w:line="240" w:lineRule="auto"/>
        <w:rPr>
          <w:rFonts w:ascii="Georgia" w:eastAsia="Times New Roman" w:hAnsi="Georgia" w:cs="Times New Roman"/>
          <w:sz w:val="24"/>
          <w:szCs w:val="24"/>
          <w:lang w:eastAsia="en-GB"/>
        </w:rPr>
      </w:pPr>
      <w:r w:rsidRPr="00804537">
        <w:rPr>
          <w:rFonts w:ascii="Georgia" w:eastAsia="Times New Roman" w:hAnsi="Georgia" w:cs="Times New Roman"/>
          <w:sz w:val="24"/>
          <w:szCs w:val="24"/>
          <w:lang w:eastAsia="en-GB"/>
        </w:rPr>
        <w:t>Given our holding and the vicarious liability issue raised by the facts of this ease, a final issue must still be addressed as to whether Defendant Regents can potentially be held liable for the actions of Pederson.</w:t>
      </w:r>
    </w:p>
    <w:p w14:paraId="3D9C1137" w14:textId="77777777" w:rsidR="00804537" w:rsidRPr="00FF1963" w:rsidRDefault="00804537" w:rsidP="00804537">
      <w:pPr>
        <w:spacing w:before="100" w:beforeAutospacing="1" w:after="225" w:line="240" w:lineRule="auto"/>
        <w:rPr>
          <w:rFonts w:ascii="Georgia" w:eastAsia="Times New Roman" w:hAnsi="Georgia" w:cs="Times New Roman"/>
          <w:sz w:val="24"/>
          <w:szCs w:val="24"/>
          <w:lang w:eastAsia="en-GB"/>
        </w:rPr>
      </w:pPr>
      <w:r w:rsidRPr="00FF1963">
        <w:rPr>
          <w:rFonts w:ascii="Georgia" w:eastAsia="Times New Roman" w:hAnsi="Georgia" w:cs="Times New Roman"/>
          <w:sz w:val="24"/>
          <w:szCs w:val="24"/>
          <w:lang w:eastAsia="en-GB"/>
        </w:rPr>
        <w:t>Vicarious Liability</w:t>
      </w:r>
    </w:p>
    <w:p w14:paraId="3D9C1138" w14:textId="5C9DCCEC" w:rsidR="00804537" w:rsidRPr="00FF1963" w:rsidRDefault="00804537" w:rsidP="00804537">
      <w:pPr>
        <w:spacing w:before="100" w:beforeAutospacing="1" w:after="225" w:line="240" w:lineRule="auto"/>
        <w:rPr>
          <w:rFonts w:ascii="Georgia" w:eastAsia="Times New Roman" w:hAnsi="Georgia" w:cs="Times New Roman"/>
          <w:sz w:val="24"/>
          <w:szCs w:val="24"/>
          <w:lang w:eastAsia="en-GB"/>
        </w:rPr>
      </w:pPr>
      <w:r w:rsidRPr="00FF1963">
        <w:rPr>
          <w:rFonts w:ascii="Georgia" w:eastAsia="Times New Roman" w:hAnsi="Georgia" w:cs="Times New Roman"/>
          <w:sz w:val="24"/>
          <w:szCs w:val="24"/>
          <w:lang w:eastAsia="en-GB"/>
        </w:rPr>
        <w:t>The law in New Mexico is well settled that, under the doctrine of respondeat superior, an employer can be held vicariously liable for the negligent acts of an employee when committed during the course and scope of the employee’s employment. </w:t>
      </w:r>
      <w:r w:rsidRPr="00FF1963">
        <w:rPr>
          <w:rFonts w:ascii="Georgia" w:eastAsia="Times New Roman" w:hAnsi="Georgia" w:cs="Times New Roman"/>
          <w:i/>
          <w:iCs/>
          <w:sz w:val="24"/>
          <w:szCs w:val="24"/>
          <w:lang w:eastAsia="en-GB"/>
        </w:rPr>
        <w:t>See Monett v. Dona Ana County Sheriff’s Posse, </w:t>
      </w:r>
      <w:r w:rsidRPr="00FF1963">
        <w:rPr>
          <w:rFonts w:ascii="Georgia" w:eastAsia="Times New Roman" w:hAnsi="Georgia" w:cs="Times New Roman"/>
          <w:sz w:val="24"/>
          <w:szCs w:val="24"/>
          <w:lang w:eastAsia="en-GB"/>
        </w:rPr>
        <w:t>114 N.M. 452, 456, </w:t>
      </w:r>
      <w:hyperlink r:id="rId24" w:history="1">
        <w:r w:rsidRPr="00FF1963">
          <w:rPr>
            <w:rFonts w:ascii="Georgia" w:eastAsia="Times New Roman" w:hAnsi="Georgia" w:cs="Times New Roman"/>
            <w:sz w:val="24"/>
            <w:szCs w:val="24"/>
            <w:lang w:eastAsia="en-GB"/>
          </w:rPr>
          <w:t>840 P.2d 599</w:t>
        </w:r>
      </w:hyperlink>
      <w:r w:rsidRPr="00FF1963">
        <w:rPr>
          <w:rFonts w:ascii="Georgia" w:eastAsia="Times New Roman" w:hAnsi="Georgia" w:cs="Times New Roman"/>
          <w:sz w:val="24"/>
          <w:szCs w:val="24"/>
          <w:lang w:eastAsia="en-GB"/>
        </w:rPr>
        <w:t>, 603 (Ct.App.1992). However, Defendants claim that because Plaintiff did not name the employee as a named defendant in the underlying cause of action, the doctrine of respondeat superior cannot apply to the ease. We disagree.</w:t>
      </w:r>
    </w:p>
    <w:p w14:paraId="3D9C1139" w14:textId="77777777" w:rsidR="00804537" w:rsidRPr="00FF1963" w:rsidRDefault="00804537" w:rsidP="00804537">
      <w:pPr>
        <w:spacing w:before="100" w:beforeAutospacing="1" w:after="225" w:line="240" w:lineRule="auto"/>
        <w:rPr>
          <w:rFonts w:ascii="Georgia" w:eastAsia="Times New Roman" w:hAnsi="Georgia" w:cs="Times New Roman"/>
          <w:sz w:val="24"/>
          <w:szCs w:val="24"/>
          <w:lang w:eastAsia="en-GB"/>
        </w:rPr>
      </w:pPr>
      <w:r w:rsidRPr="00FF1963">
        <w:rPr>
          <w:rFonts w:ascii="Georgia" w:eastAsia="Times New Roman" w:hAnsi="Georgia" w:cs="Times New Roman"/>
          <w:sz w:val="24"/>
          <w:szCs w:val="24"/>
          <w:lang w:eastAsia="en-GB"/>
        </w:rPr>
        <w:t>We believe it significant that Defendants have not sought dismissal of this claim for failure to join an indispensable party. </w:t>
      </w:r>
      <w:r w:rsidRPr="00FF1963">
        <w:rPr>
          <w:rFonts w:ascii="Georgia" w:eastAsia="Times New Roman" w:hAnsi="Georgia" w:cs="Times New Roman"/>
          <w:i/>
          <w:iCs/>
          <w:sz w:val="24"/>
          <w:szCs w:val="24"/>
          <w:lang w:eastAsia="en-GB"/>
        </w:rPr>
        <w:t>See </w:t>
      </w:r>
      <w:r w:rsidRPr="00FF1963">
        <w:rPr>
          <w:rFonts w:ascii="Georgia" w:eastAsia="Times New Roman" w:hAnsi="Georgia" w:cs="Times New Roman"/>
          <w:sz w:val="24"/>
          <w:szCs w:val="24"/>
          <w:lang w:eastAsia="en-GB"/>
        </w:rPr>
        <w:t>SCRA 1986, 1-019 (Repl.1992) (joinder of persons needed for just adjudication). Defendants merely assert, incorrectly, that this issue was not presented below. It is absolutely clear from the record that, after Plaintiff raised this issue, Defendants and the district court judge considered this theory of recovery in the proceedings below. This fact is especially obvious after considering the recording of the telephone conference call related to the filing of the amended order granting summary judgment.</w:t>
      </w:r>
    </w:p>
    <w:p w14:paraId="3D9C113A" w14:textId="4A1C9D77" w:rsidR="00804537" w:rsidRPr="00FF1963" w:rsidRDefault="00804537" w:rsidP="00804537">
      <w:pPr>
        <w:spacing w:before="100" w:beforeAutospacing="1" w:after="225" w:line="240" w:lineRule="auto"/>
        <w:rPr>
          <w:rFonts w:ascii="Georgia" w:eastAsia="Times New Roman" w:hAnsi="Georgia" w:cs="Times New Roman"/>
          <w:sz w:val="24"/>
          <w:szCs w:val="24"/>
          <w:lang w:eastAsia="en-GB"/>
        </w:rPr>
      </w:pPr>
      <w:r w:rsidRPr="00FF1963">
        <w:rPr>
          <w:rFonts w:ascii="Georgia" w:eastAsia="Times New Roman" w:hAnsi="Georgia" w:cs="Times New Roman"/>
          <w:sz w:val="24"/>
          <w:szCs w:val="24"/>
          <w:lang w:eastAsia="en-GB"/>
        </w:rPr>
        <w:t>In addition, although Plaintiff’s underlying complaint does not mention physician’s assistant Pederson by name or the theory of respondeat superior, it does clearly identify Defendant Regents based on their status of doing business in New Mexico and as operators of LANL. Moreover, the complaint clearly identifies that the alleged negligence was reportedly committed by Mr. Baer’s private physician, as well as Dr. Williams and “other medical personnel at LANL.” Although less than sweeping, these pleadings give adequate notice that one of Plaintiff’s theories of the ease against Defendant Regents is vicarious liability. </w:t>
      </w:r>
      <w:r w:rsidRPr="00FF1963">
        <w:rPr>
          <w:rFonts w:ascii="Georgia" w:eastAsia="Times New Roman" w:hAnsi="Georgia" w:cs="Times New Roman"/>
          <w:i/>
          <w:iCs/>
          <w:sz w:val="24"/>
          <w:szCs w:val="24"/>
          <w:lang w:eastAsia="en-GB"/>
        </w:rPr>
        <w:t>See Hall v. Budagher, </w:t>
      </w:r>
      <w:r w:rsidRPr="00FF1963">
        <w:rPr>
          <w:rFonts w:ascii="Georgia" w:eastAsia="Times New Roman" w:hAnsi="Georgia" w:cs="Times New Roman"/>
          <w:sz w:val="24"/>
          <w:szCs w:val="24"/>
          <w:lang w:eastAsia="en-GB"/>
        </w:rPr>
        <w:t>76 N.M. 591, 592, </w:t>
      </w:r>
      <w:hyperlink r:id="rId25" w:history="1">
        <w:r w:rsidRPr="00FF1963">
          <w:rPr>
            <w:rFonts w:ascii="Georgia" w:eastAsia="Times New Roman" w:hAnsi="Georgia" w:cs="Times New Roman"/>
            <w:sz w:val="24"/>
            <w:szCs w:val="24"/>
            <w:lang w:eastAsia="en-GB"/>
          </w:rPr>
          <w:t>417 P.2d 71</w:t>
        </w:r>
      </w:hyperlink>
      <w:r w:rsidRPr="00FF1963">
        <w:rPr>
          <w:rFonts w:ascii="Georgia" w:eastAsia="Times New Roman" w:hAnsi="Georgia" w:cs="Times New Roman"/>
          <w:sz w:val="24"/>
          <w:szCs w:val="24"/>
          <w:lang w:eastAsia="en-GB"/>
        </w:rPr>
        <w:t>, 72 (1966) (“In considering whether a complaint states a claim upon which relief can be granted^] we assume as true all facts well pleaded.”), </w:t>
      </w:r>
      <w:r w:rsidRPr="00FF1963">
        <w:rPr>
          <w:rFonts w:ascii="Georgia" w:eastAsia="Times New Roman" w:hAnsi="Georgia" w:cs="Times New Roman"/>
          <w:i/>
          <w:iCs/>
          <w:sz w:val="24"/>
          <w:szCs w:val="24"/>
          <w:lang w:eastAsia="en-GB"/>
        </w:rPr>
        <w:t>overruled on other grounds by Lopez v. Maez, </w:t>
      </w:r>
      <w:r w:rsidRPr="00FF1963">
        <w:rPr>
          <w:rFonts w:ascii="Georgia" w:eastAsia="Times New Roman" w:hAnsi="Georgia" w:cs="Times New Roman"/>
          <w:sz w:val="24"/>
          <w:szCs w:val="24"/>
          <w:lang w:eastAsia="en-GB"/>
        </w:rPr>
        <w:t>98 N.M. 625, 627, </w:t>
      </w:r>
      <w:hyperlink r:id="rId26" w:history="1">
        <w:r w:rsidRPr="00FF1963">
          <w:rPr>
            <w:rFonts w:ascii="Georgia" w:eastAsia="Times New Roman" w:hAnsi="Georgia" w:cs="Times New Roman"/>
            <w:sz w:val="24"/>
            <w:szCs w:val="24"/>
            <w:lang w:eastAsia="en-GB"/>
          </w:rPr>
          <w:t>651 P.2d 1269</w:t>
        </w:r>
      </w:hyperlink>
      <w:r w:rsidRPr="00FF1963">
        <w:rPr>
          <w:rFonts w:ascii="Georgia" w:eastAsia="Times New Roman" w:hAnsi="Georgia" w:cs="Times New Roman"/>
          <w:sz w:val="24"/>
          <w:szCs w:val="24"/>
          <w:lang w:eastAsia="en-GB"/>
        </w:rPr>
        <w:t>, 1271 (1982); </w:t>
      </w:r>
      <w:r w:rsidRPr="00FF1963">
        <w:rPr>
          <w:rFonts w:ascii="Georgia" w:eastAsia="Times New Roman" w:hAnsi="Georgia" w:cs="Times New Roman"/>
          <w:i/>
          <w:iCs/>
          <w:sz w:val="24"/>
          <w:szCs w:val="24"/>
          <w:lang w:eastAsia="en-GB"/>
        </w:rPr>
        <w:t>see also Phifer v. Herbert, </w:t>
      </w:r>
      <w:r w:rsidRPr="00FF1963">
        <w:rPr>
          <w:rFonts w:ascii="Georgia" w:eastAsia="Times New Roman" w:hAnsi="Georgia" w:cs="Times New Roman"/>
          <w:sz w:val="24"/>
          <w:szCs w:val="24"/>
          <w:lang w:eastAsia="en-GB"/>
        </w:rPr>
        <w:t>115 N.M. 135, 138, </w:t>
      </w:r>
      <w:hyperlink r:id="rId27" w:history="1">
        <w:r w:rsidRPr="00FF1963">
          <w:rPr>
            <w:rFonts w:ascii="Georgia" w:eastAsia="Times New Roman" w:hAnsi="Georgia" w:cs="Times New Roman"/>
            <w:sz w:val="24"/>
            <w:szCs w:val="24"/>
            <w:lang w:eastAsia="en-GB"/>
          </w:rPr>
          <w:t>848 P.2d 5</w:t>
        </w:r>
      </w:hyperlink>
      <w:r w:rsidRPr="00FF1963">
        <w:rPr>
          <w:rFonts w:ascii="Georgia" w:eastAsia="Times New Roman" w:hAnsi="Georgia" w:cs="Times New Roman"/>
          <w:sz w:val="24"/>
          <w:szCs w:val="24"/>
          <w:lang w:eastAsia="en-GB"/>
        </w:rPr>
        <w:t>, 8 (Ct.App.1993) (“[W]e consider all of [pjlaintiffs arguments concerning the facts she alleges she will be able to prove under the claim.”). And finally, Defendants have not pointed out, and we know of no authority for the proposition that, in order to prove agency, the agent must be joined as a party to the action. </w:t>
      </w:r>
      <w:r w:rsidRPr="00FF1963">
        <w:rPr>
          <w:rFonts w:ascii="Georgia" w:eastAsia="Times New Roman" w:hAnsi="Georgia" w:cs="Times New Roman"/>
          <w:i/>
          <w:iCs/>
          <w:sz w:val="24"/>
          <w:szCs w:val="24"/>
          <w:lang w:eastAsia="en-GB"/>
        </w:rPr>
        <w:t>See DeBaca, Inc. v. Montoya, </w:t>
      </w:r>
      <w:r w:rsidRPr="00FF1963">
        <w:rPr>
          <w:rFonts w:ascii="Georgia" w:eastAsia="Times New Roman" w:hAnsi="Georgia" w:cs="Times New Roman"/>
          <w:sz w:val="24"/>
          <w:szCs w:val="24"/>
          <w:lang w:eastAsia="en-GB"/>
        </w:rPr>
        <w:t>91 N.M. 419, 420, </w:t>
      </w:r>
      <w:hyperlink r:id="rId28" w:history="1">
        <w:r w:rsidRPr="00FF1963">
          <w:rPr>
            <w:rFonts w:ascii="Georgia" w:eastAsia="Times New Roman" w:hAnsi="Georgia" w:cs="Times New Roman"/>
            <w:sz w:val="24"/>
            <w:szCs w:val="24"/>
            <w:lang w:eastAsia="en-GB"/>
          </w:rPr>
          <w:t>575 P.2d 603</w:t>
        </w:r>
      </w:hyperlink>
      <w:r w:rsidRPr="00FF1963">
        <w:rPr>
          <w:rFonts w:ascii="Georgia" w:eastAsia="Times New Roman" w:hAnsi="Georgia" w:cs="Times New Roman"/>
          <w:sz w:val="24"/>
          <w:szCs w:val="24"/>
          <w:lang w:eastAsia="en-GB"/>
        </w:rPr>
        <w:t>, 604 (1978).</w:t>
      </w:r>
    </w:p>
    <w:p w14:paraId="3D9C113B" w14:textId="3214AB98" w:rsidR="00804537" w:rsidRPr="00FF1963" w:rsidRDefault="00804537" w:rsidP="00804537">
      <w:pPr>
        <w:spacing w:before="100" w:beforeAutospacing="1" w:after="225" w:line="240" w:lineRule="auto"/>
        <w:rPr>
          <w:rFonts w:ascii="Georgia" w:eastAsia="Times New Roman" w:hAnsi="Georgia" w:cs="Times New Roman"/>
          <w:sz w:val="24"/>
          <w:szCs w:val="24"/>
          <w:lang w:eastAsia="en-GB"/>
        </w:rPr>
      </w:pPr>
      <w:r w:rsidRPr="00FF1963">
        <w:rPr>
          <w:rFonts w:ascii="Georgia" w:eastAsia="Times New Roman" w:hAnsi="Georgia" w:cs="Times New Roman"/>
          <w:sz w:val="24"/>
          <w:szCs w:val="24"/>
          <w:lang w:eastAsia="en-GB"/>
        </w:rPr>
        <w:t>Therefore, given the fact that “[a]n entity or agency can only act through its employees,” </w:t>
      </w:r>
      <w:r w:rsidRPr="00FF1963">
        <w:rPr>
          <w:rFonts w:ascii="Georgia" w:eastAsia="Times New Roman" w:hAnsi="Georgia" w:cs="Times New Roman"/>
          <w:i/>
          <w:iCs/>
          <w:sz w:val="24"/>
          <w:szCs w:val="24"/>
          <w:lang w:eastAsia="en-GB"/>
        </w:rPr>
        <w:t>Abalos v. Bernalillo County Dist. Attorney’s Office, </w:t>
      </w:r>
      <w:r w:rsidRPr="00FF1963">
        <w:rPr>
          <w:rFonts w:ascii="Georgia" w:eastAsia="Times New Roman" w:hAnsi="Georgia" w:cs="Times New Roman"/>
          <w:sz w:val="24"/>
          <w:szCs w:val="24"/>
          <w:lang w:eastAsia="en-GB"/>
        </w:rPr>
        <w:t>105 N.M. 554, 558, </w:t>
      </w:r>
      <w:hyperlink r:id="rId29" w:history="1">
        <w:r w:rsidRPr="00FF1963">
          <w:rPr>
            <w:rFonts w:ascii="Georgia" w:eastAsia="Times New Roman" w:hAnsi="Georgia" w:cs="Times New Roman"/>
            <w:sz w:val="24"/>
            <w:szCs w:val="24"/>
            <w:lang w:eastAsia="en-GB"/>
          </w:rPr>
          <w:t>734 P.2d 794</w:t>
        </w:r>
      </w:hyperlink>
      <w:r w:rsidRPr="00FF1963">
        <w:rPr>
          <w:rFonts w:ascii="Georgia" w:eastAsia="Times New Roman" w:hAnsi="Georgia" w:cs="Times New Roman"/>
          <w:sz w:val="24"/>
          <w:szCs w:val="24"/>
          <w:lang w:eastAsia="en-GB"/>
        </w:rPr>
        <w:t>, 798 (Ct.App.), </w:t>
      </w:r>
      <w:r w:rsidRPr="00FF1963">
        <w:rPr>
          <w:rFonts w:ascii="Georgia" w:eastAsia="Times New Roman" w:hAnsi="Georgia" w:cs="Times New Roman"/>
          <w:i/>
          <w:iCs/>
          <w:sz w:val="24"/>
          <w:szCs w:val="24"/>
          <w:lang w:eastAsia="en-GB"/>
        </w:rPr>
        <w:t>cert. quashed, </w:t>
      </w:r>
      <w:r w:rsidRPr="00FF1963">
        <w:rPr>
          <w:rFonts w:ascii="Georgia" w:eastAsia="Times New Roman" w:hAnsi="Georgia" w:cs="Times New Roman"/>
          <w:sz w:val="24"/>
          <w:szCs w:val="24"/>
          <w:lang w:eastAsia="en-GB"/>
        </w:rPr>
        <w:t>106 N.M. 35, </w:t>
      </w:r>
      <w:hyperlink r:id="rId30" w:history="1">
        <w:r w:rsidRPr="00FF1963">
          <w:rPr>
            <w:rFonts w:ascii="Georgia" w:eastAsia="Times New Roman" w:hAnsi="Georgia" w:cs="Times New Roman"/>
            <w:sz w:val="24"/>
            <w:szCs w:val="24"/>
            <w:lang w:eastAsia="en-GB"/>
          </w:rPr>
          <w:t>738 P.2d 907</w:t>
        </w:r>
      </w:hyperlink>
      <w:r w:rsidRPr="00FF1963">
        <w:rPr>
          <w:rFonts w:ascii="Georgia" w:eastAsia="Times New Roman" w:hAnsi="Georgia" w:cs="Times New Roman"/>
          <w:sz w:val="24"/>
          <w:szCs w:val="24"/>
          <w:lang w:eastAsia="en-GB"/>
        </w:rPr>
        <w:t> (1987), we conclude the complaint gives fair notice to Regents and should be decided on the merits. </w:t>
      </w:r>
      <w:r w:rsidRPr="00FF1963">
        <w:rPr>
          <w:rFonts w:ascii="Georgia" w:eastAsia="Times New Roman" w:hAnsi="Georgia" w:cs="Times New Roman"/>
          <w:i/>
          <w:iCs/>
          <w:sz w:val="24"/>
          <w:szCs w:val="24"/>
          <w:lang w:eastAsia="en-GB"/>
        </w:rPr>
        <w:t>See Malone v. Swift Fresh Meats Co., </w:t>
      </w:r>
      <w:r w:rsidRPr="00FF1963">
        <w:rPr>
          <w:rFonts w:ascii="Georgia" w:eastAsia="Times New Roman" w:hAnsi="Georgia" w:cs="Times New Roman"/>
          <w:sz w:val="24"/>
          <w:szCs w:val="24"/>
          <w:lang w:eastAsia="en-GB"/>
        </w:rPr>
        <w:t>91 N.M. 359, 362, </w:t>
      </w:r>
      <w:hyperlink r:id="rId31" w:history="1">
        <w:r w:rsidRPr="00FF1963">
          <w:rPr>
            <w:rFonts w:ascii="Georgia" w:eastAsia="Times New Roman" w:hAnsi="Georgia" w:cs="Times New Roman"/>
            <w:sz w:val="24"/>
            <w:szCs w:val="24"/>
            <w:lang w:eastAsia="en-GB"/>
          </w:rPr>
          <w:t>574 P.2d 283</w:t>
        </w:r>
      </w:hyperlink>
      <w:r w:rsidRPr="00FF1963">
        <w:rPr>
          <w:rFonts w:ascii="Georgia" w:eastAsia="Times New Roman" w:hAnsi="Georgia" w:cs="Times New Roman"/>
          <w:sz w:val="24"/>
          <w:szCs w:val="24"/>
          <w:lang w:eastAsia="en-GB"/>
        </w:rPr>
        <w:t>, 286 (1978) (“the principal function of pleadings is to give fair notice of the claim asserted”). We note that this Court recently reached the merits of an issue </w:t>
      </w:r>
      <w:r w:rsidRPr="00FF1963">
        <w:rPr>
          <w:rFonts w:ascii="Georgia" w:eastAsia="Times New Roman" w:hAnsi="Georgia" w:cs="Times New Roman"/>
          <w:i/>
          <w:iCs/>
          <w:sz w:val="19"/>
          <w:szCs w:val="19"/>
          <w:lang w:eastAsia="en-GB"/>
        </w:rPr>
        <w:t>*691</w:t>
      </w:r>
      <w:r w:rsidRPr="00FF1963">
        <w:rPr>
          <w:rFonts w:ascii="Georgia" w:eastAsia="Times New Roman" w:hAnsi="Georgia" w:cs="Times New Roman"/>
          <w:sz w:val="24"/>
          <w:szCs w:val="24"/>
          <w:lang w:eastAsia="en-GB"/>
        </w:rPr>
        <w:t>in an analogous case on the basis that “[a]n issue is raised when there is some evidence in the record in dispute.” </w:t>
      </w:r>
      <w:r w:rsidRPr="00FF1963">
        <w:rPr>
          <w:rFonts w:ascii="Georgia" w:eastAsia="Times New Roman" w:hAnsi="Georgia" w:cs="Times New Roman"/>
          <w:i/>
          <w:iCs/>
          <w:sz w:val="24"/>
          <w:szCs w:val="24"/>
          <w:lang w:eastAsia="en-GB"/>
        </w:rPr>
        <w:t>See Gillin v. Carrows Restaurants, Inc., </w:t>
      </w:r>
      <w:hyperlink r:id="rId32" w:history="1">
        <w:r w:rsidRPr="00FF1963">
          <w:rPr>
            <w:rFonts w:ascii="Georgia" w:eastAsia="Times New Roman" w:hAnsi="Georgia" w:cs="Times New Roman"/>
            <w:sz w:val="24"/>
            <w:szCs w:val="24"/>
            <w:lang w:eastAsia="en-GB"/>
          </w:rPr>
          <w:t>879 P.2d 121</w:t>
        </w:r>
      </w:hyperlink>
      <w:r w:rsidRPr="00FF1963">
        <w:rPr>
          <w:rFonts w:ascii="Georgia" w:eastAsia="Times New Roman" w:hAnsi="Georgia" w:cs="Times New Roman"/>
          <w:sz w:val="24"/>
          <w:szCs w:val="24"/>
          <w:lang w:eastAsia="en-GB"/>
        </w:rPr>
        <w:t>, 124 (N.M.Ct.App.1994). In that case, Judge Hartz specially concurred on the basis that “though [Plaintiff] did not alert the district court to the issue, the district court considered it. The issue was thereby preserved for appeal.” </w:t>
      </w:r>
      <w:r w:rsidRPr="00FF1963">
        <w:rPr>
          <w:rFonts w:ascii="Georgia" w:eastAsia="Times New Roman" w:hAnsi="Georgia" w:cs="Times New Roman"/>
          <w:i/>
          <w:iCs/>
          <w:sz w:val="24"/>
          <w:szCs w:val="24"/>
          <w:lang w:eastAsia="en-GB"/>
        </w:rPr>
        <w:t>Id. </w:t>
      </w:r>
      <w:r w:rsidRPr="00FF1963">
        <w:rPr>
          <w:rFonts w:ascii="Georgia" w:eastAsia="Times New Roman" w:hAnsi="Georgia" w:cs="Times New Roman"/>
          <w:sz w:val="24"/>
          <w:szCs w:val="24"/>
          <w:lang w:eastAsia="en-GB"/>
        </w:rPr>
        <w:t>(Hartz, J., specially concurring). In this case, there is evidence in the record in dispute, and we are persuaded that the district court considered the issue of vicarious liability. Further, the complaint contains enough to support the legal theory argued on appeal. For all of these reasons, we conclude the issue of vicarious liability was preserved.</w:t>
      </w:r>
    </w:p>
    <w:p w14:paraId="3D9C113C" w14:textId="77777777" w:rsidR="00804537" w:rsidRPr="00804537" w:rsidRDefault="00804537" w:rsidP="00804537">
      <w:pPr>
        <w:spacing w:before="100" w:beforeAutospacing="1" w:after="225" w:line="240" w:lineRule="auto"/>
        <w:rPr>
          <w:rFonts w:ascii="Georgia" w:eastAsia="Times New Roman" w:hAnsi="Georgia" w:cs="Times New Roman"/>
          <w:sz w:val="24"/>
          <w:szCs w:val="24"/>
          <w:lang w:eastAsia="en-GB"/>
        </w:rPr>
      </w:pPr>
      <w:r w:rsidRPr="00804537">
        <w:rPr>
          <w:rFonts w:ascii="Georgia" w:eastAsia="Times New Roman" w:hAnsi="Georgia" w:cs="Times New Roman"/>
          <w:sz w:val="24"/>
          <w:szCs w:val="24"/>
          <w:lang w:eastAsia="en-GB"/>
        </w:rPr>
        <w:t>CONCLUSION</w:t>
      </w:r>
    </w:p>
    <w:p w14:paraId="3D9C113D" w14:textId="77777777" w:rsidR="00804537" w:rsidRPr="00804537" w:rsidRDefault="00804537" w:rsidP="00804537">
      <w:pPr>
        <w:spacing w:before="100" w:beforeAutospacing="1" w:after="225" w:line="240" w:lineRule="auto"/>
        <w:rPr>
          <w:rFonts w:ascii="Georgia" w:eastAsia="Times New Roman" w:hAnsi="Georgia" w:cs="Times New Roman"/>
          <w:sz w:val="24"/>
          <w:szCs w:val="24"/>
          <w:lang w:eastAsia="en-GB"/>
        </w:rPr>
      </w:pPr>
      <w:r w:rsidRPr="00804537">
        <w:rPr>
          <w:rFonts w:ascii="Georgia" w:eastAsia="Times New Roman" w:hAnsi="Georgia" w:cs="Times New Roman"/>
          <w:sz w:val="24"/>
          <w:szCs w:val="24"/>
          <w:lang w:eastAsia="en-GB"/>
        </w:rPr>
        <w:t xml:space="preserve">For the reasons provided above, </w:t>
      </w:r>
      <w:r w:rsidRPr="00804537">
        <w:rPr>
          <w:rFonts w:ascii="Georgia" w:eastAsia="Times New Roman" w:hAnsi="Georgia" w:cs="Times New Roman"/>
          <w:sz w:val="24"/>
          <w:szCs w:val="24"/>
          <w:highlight w:val="red"/>
          <w:lang w:eastAsia="en-GB"/>
        </w:rPr>
        <w:t>we reverse the district court’s grant of summary judgment in favor of Regents</w:t>
      </w:r>
      <w:r w:rsidRPr="00804537">
        <w:rPr>
          <w:rFonts w:ascii="Georgia" w:eastAsia="Times New Roman" w:hAnsi="Georgia" w:cs="Times New Roman"/>
          <w:sz w:val="24"/>
          <w:szCs w:val="24"/>
          <w:lang w:eastAsia="en-GB"/>
        </w:rPr>
        <w:t>, bu</w:t>
      </w:r>
      <w:r w:rsidRPr="005661C8">
        <w:rPr>
          <w:rFonts w:ascii="Georgia" w:eastAsia="Times New Roman" w:hAnsi="Georgia" w:cs="Times New Roman"/>
          <w:sz w:val="24"/>
          <w:szCs w:val="24"/>
          <w:lang w:eastAsia="en-GB"/>
        </w:rPr>
        <w:t>t affirm the grant of summary judgment in favor of Dr. Williams.</w:t>
      </w:r>
    </w:p>
    <w:p w14:paraId="3D9C113E" w14:textId="77777777" w:rsidR="00804537" w:rsidRPr="00804537" w:rsidRDefault="00804537" w:rsidP="00804537">
      <w:pPr>
        <w:spacing w:before="100" w:beforeAutospacing="1" w:after="225" w:line="240" w:lineRule="auto"/>
        <w:rPr>
          <w:rFonts w:ascii="Georgia" w:eastAsia="Times New Roman" w:hAnsi="Georgia" w:cs="Times New Roman"/>
          <w:sz w:val="24"/>
          <w:szCs w:val="24"/>
          <w:lang w:eastAsia="en-GB"/>
        </w:rPr>
      </w:pPr>
      <w:r w:rsidRPr="00804537">
        <w:rPr>
          <w:rFonts w:ascii="Georgia" w:eastAsia="Times New Roman" w:hAnsi="Georgia" w:cs="Times New Roman"/>
          <w:sz w:val="24"/>
          <w:szCs w:val="24"/>
          <w:lang w:eastAsia="en-GB"/>
        </w:rPr>
        <w:t>IT IS SO ORDERED.</w:t>
      </w:r>
    </w:p>
    <w:p w14:paraId="3D9C113F" w14:textId="77777777" w:rsidR="00804537" w:rsidRDefault="00804537" w:rsidP="00804537">
      <w:pPr>
        <w:spacing w:before="100" w:beforeAutospacing="1" w:after="225" w:line="240" w:lineRule="auto"/>
        <w:rPr>
          <w:rFonts w:ascii="Georgia" w:eastAsia="Times New Roman" w:hAnsi="Georgia" w:cs="Times New Roman"/>
          <w:sz w:val="24"/>
          <w:szCs w:val="24"/>
          <w:lang w:eastAsia="en-GB"/>
        </w:rPr>
      </w:pPr>
      <w:r w:rsidRPr="00804537">
        <w:rPr>
          <w:rFonts w:ascii="Georgia" w:eastAsia="Times New Roman" w:hAnsi="Georgia" w:cs="Times New Roman"/>
          <w:sz w:val="24"/>
          <w:szCs w:val="24"/>
          <w:lang w:eastAsia="en-GB"/>
        </w:rPr>
        <w:t>MINZNER, C.J., and FLORES, J., concur.</w:t>
      </w:r>
    </w:p>
    <w:p w14:paraId="3D9C1140" w14:textId="77777777" w:rsidR="002576B7" w:rsidRDefault="002576B7" w:rsidP="00804537">
      <w:pPr>
        <w:spacing w:before="100" w:beforeAutospacing="1" w:after="225" w:line="240" w:lineRule="auto"/>
        <w:rPr>
          <w:rFonts w:ascii="Georgia" w:eastAsia="Times New Roman" w:hAnsi="Georgia" w:cs="Times New Roman"/>
          <w:sz w:val="24"/>
          <w:szCs w:val="24"/>
          <w:lang w:eastAsia="en-GB"/>
        </w:rPr>
      </w:pPr>
    </w:p>
    <w:p w14:paraId="3D9C1141" w14:textId="77777777" w:rsidR="002576B7" w:rsidRPr="009456D4" w:rsidRDefault="002576B7" w:rsidP="002576B7">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3D9C1142" w14:textId="77777777" w:rsidR="002462F2" w:rsidRPr="003C0299" w:rsidRDefault="003C0299" w:rsidP="003C0299">
      <w:pPr>
        <w:rPr>
          <w:rFonts w:ascii="Georgia" w:eastAsia="Times New Roman" w:hAnsi="Georgia" w:cs="Times New Roman"/>
          <w:sz w:val="28"/>
          <w:szCs w:val="24"/>
          <w:lang w:eastAsia="en-GB"/>
        </w:rPr>
      </w:pPr>
      <w:r>
        <w:rPr>
          <w:rFonts w:ascii="Georgia" w:eastAsia="Times New Roman" w:hAnsi="Georgia" w:cs="Times New Roman"/>
          <w:sz w:val="28"/>
          <w:szCs w:val="24"/>
          <w:lang w:eastAsia="en-GB"/>
        </w:rPr>
        <w:t xml:space="preserve">Case concerned whether a health care provider owes </w:t>
      </w:r>
      <w:r w:rsidRPr="003C0299">
        <w:rPr>
          <w:rFonts w:ascii="Georgia" w:eastAsia="Times New Roman" w:hAnsi="Georgia" w:cs="Times New Roman"/>
          <w:sz w:val="28"/>
          <w:szCs w:val="24"/>
          <w:lang w:eastAsia="en-GB"/>
        </w:rPr>
        <w:t xml:space="preserve">a legally recognizable duty to an examinee in situations in which employees are required to undergo physical examinations as a condition of obtaining or retaining employment. </w:t>
      </w:r>
      <w:r w:rsidRPr="009456D4">
        <w:rPr>
          <w:rFonts w:ascii="Georgia" w:eastAsia="Times New Roman" w:hAnsi="Georgia" w:cs="Times New Roman"/>
          <w:sz w:val="28"/>
          <w:szCs w:val="24"/>
          <w:lang w:eastAsia="en-GB"/>
        </w:rPr>
        <w:t>Court held that they do</w:t>
      </w:r>
      <w:r>
        <w:rPr>
          <w:rFonts w:ascii="Georgia" w:eastAsia="Times New Roman" w:hAnsi="Georgia" w:cs="Times New Roman"/>
          <w:sz w:val="28"/>
          <w:szCs w:val="24"/>
          <w:lang w:eastAsia="en-GB"/>
        </w:rPr>
        <w:t>,</w:t>
      </w:r>
      <w:r w:rsidRPr="009456D4">
        <w:rPr>
          <w:rFonts w:ascii="Georgia" w:eastAsia="Times New Roman" w:hAnsi="Georgia" w:cs="Times New Roman"/>
          <w:sz w:val="28"/>
          <w:szCs w:val="24"/>
          <w:lang w:eastAsia="en-GB"/>
        </w:rPr>
        <w:t xml:space="preserve"> </w:t>
      </w:r>
      <w:r>
        <w:rPr>
          <w:rFonts w:ascii="Georgia" w:eastAsia="Times New Roman" w:hAnsi="Georgia" w:cs="Times New Roman"/>
          <w:sz w:val="28"/>
          <w:szCs w:val="24"/>
          <w:lang w:eastAsia="en-GB"/>
        </w:rPr>
        <w:t xml:space="preserve">and </w:t>
      </w:r>
      <w:r w:rsidRPr="009456D4">
        <w:rPr>
          <w:rFonts w:ascii="Georgia" w:eastAsia="Times New Roman" w:hAnsi="Georgia" w:cs="Times New Roman"/>
          <w:sz w:val="28"/>
          <w:szCs w:val="24"/>
          <w:lang w:eastAsia="en-GB"/>
        </w:rPr>
        <w:t xml:space="preserve">whether they </w:t>
      </w:r>
      <w:r>
        <w:rPr>
          <w:rFonts w:ascii="Georgia" w:eastAsia="Times New Roman" w:hAnsi="Georgia" w:cs="Times New Roman"/>
          <w:sz w:val="28"/>
          <w:szCs w:val="24"/>
          <w:lang w:eastAsia="en-GB"/>
        </w:rPr>
        <w:t xml:space="preserve">have </w:t>
      </w:r>
      <w:r w:rsidRPr="009456D4">
        <w:rPr>
          <w:rFonts w:ascii="Georgia" w:eastAsia="Times New Roman" w:hAnsi="Georgia" w:cs="Times New Roman"/>
          <w:sz w:val="28"/>
          <w:szCs w:val="24"/>
          <w:lang w:eastAsia="en-GB"/>
        </w:rPr>
        <w:t>exercised this duty is a matter for the jury.</w:t>
      </w:r>
    </w:p>
    <w:p w14:paraId="3D9C1143" w14:textId="77777777" w:rsidR="003C7770" w:rsidRDefault="003C7770"/>
    <w:sectPr w:rsidR="003C77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4537"/>
    <w:rsid w:val="00097B04"/>
    <w:rsid w:val="001524F0"/>
    <w:rsid w:val="001A61E4"/>
    <w:rsid w:val="002462F2"/>
    <w:rsid w:val="002576B7"/>
    <w:rsid w:val="003666FF"/>
    <w:rsid w:val="0036748D"/>
    <w:rsid w:val="003C0299"/>
    <w:rsid w:val="003C7770"/>
    <w:rsid w:val="003D206D"/>
    <w:rsid w:val="00436286"/>
    <w:rsid w:val="004B6620"/>
    <w:rsid w:val="005104B1"/>
    <w:rsid w:val="005661C8"/>
    <w:rsid w:val="00581D29"/>
    <w:rsid w:val="005F58B1"/>
    <w:rsid w:val="00804537"/>
    <w:rsid w:val="00862E0C"/>
    <w:rsid w:val="008B7BBF"/>
    <w:rsid w:val="008E4CD0"/>
    <w:rsid w:val="009E7926"/>
    <w:rsid w:val="00E17340"/>
    <w:rsid w:val="00E918E3"/>
    <w:rsid w:val="00FF19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C1115"/>
  <w15:docId w15:val="{D73E5C2C-8B9D-495A-AA59-EBCE44BDD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0453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537"/>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804537"/>
  </w:style>
  <w:style w:type="character" w:customStyle="1" w:styleId="court-name">
    <w:name w:val="court-name"/>
    <w:basedOn w:val="DefaultParagraphFont"/>
    <w:rsid w:val="00804537"/>
  </w:style>
  <w:style w:type="character" w:customStyle="1" w:styleId="docket-number">
    <w:name w:val="docket-number"/>
    <w:basedOn w:val="DefaultParagraphFont"/>
    <w:rsid w:val="00804537"/>
  </w:style>
  <w:style w:type="character" w:customStyle="1" w:styleId="case-name-v">
    <w:name w:val="case-name-v"/>
    <w:basedOn w:val="DefaultParagraphFont"/>
    <w:rsid w:val="00804537"/>
  </w:style>
  <w:style w:type="paragraph" w:customStyle="1" w:styleId="citation">
    <w:name w:val="citation"/>
    <w:basedOn w:val="Normal"/>
    <w:rsid w:val="0080453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80453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80453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804537"/>
    <w:rPr>
      <w:color w:val="0000FF"/>
      <w:u w:val="single"/>
    </w:rPr>
  </w:style>
  <w:style w:type="paragraph" w:styleId="NormalWeb">
    <w:name w:val="Normal (Web)"/>
    <w:basedOn w:val="Normal"/>
    <w:uiPriority w:val="99"/>
    <w:semiHidden/>
    <w:unhideWhenUsed/>
    <w:rsid w:val="0080453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804537"/>
    <w:rPr>
      <w:i/>
      <w:iCs/>
    </w:rPr>
  </w:style>
  <w:style w:type="paragraph" w:customStyle="1" w:styleId="author">
    <w:name w:val="author"/>
    <w:basedOn w:val="Normal"/>
    <w:rsid w:val="0080453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judges">
    <w:name w:val="judges"/>
    <w:basedOn w:val="Normal"/>
    <w:rsid w:val="0080453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2499862">
      <w:bodyDiv w:val="1"/>
      <w:marLeft w:val="0"/>
      <w:marRight w:val="0"/>
      <w:marTop w:val="0"/>
      <w:marBottom w:val="0"/>
      <w:divBdr>
        <w:top w:val="none" w:sz="0" w:space="0" w:color="auto"/>
        <w:left w:val="none" w:sz="0" w:space="0" w:color="auto"/>
        <w:bottom w:val="none" w:sz="0" w:space="0" w:color="auto"/>
        <w:right w:val="none" w:sz="0" w:space="0" w:color="auto"/>
      </w:divBdr>
      <w:divsChild>
        <w:div w:id="904342895">
          <w:marLeft w:val="0"/>
          <w:marRight w:val="0"/>
          <w:marTop w:val="0"/>
          <w:marBottom w:val="0"/>
          <w:divBdr>
            <w:top w:val="none" w:sz="0" w:space="0" w:color="auto"/>
            <w:left w:val="none" w:sz="0" w:space="0" w:color="auto"/>
            <w:bottom w:val="none" w:sz="0" w:space="0" w:color="auto"/>
            <w:right w:val="none" w:sz="0" w:space="0" w:color="auto"/>
          </w:divBdr>
        </w:div>
        <w:div w:id="322852546">
          <w:marLeft w:val="0"/>
          <w:marRight w:val="0"/>
          <w:marTop w:val="0"/>
          <w:marBottom w:val="0"/>
          <w:divBdr>
            <w:top w:val="none" w:sz="0" w:space="0" w:color="auto"/>
            <w:left w:val="none" w:sz="0" w:space="0" w:color="auto"/>
            <w:bottom w:val="none" w:sz="0" w:space="0" w:color="auto"/>
            <w:right w:val="none" w:sz="0" w:space="0" w:color="auto"/>
          </w:divBdr>
        </w:div>
        <w:div w:id="534850474">
          <w:marLeft w:val="0"/>
          <w:marRight w:val="0"/>
          <w:marTop w:val="0"/>
          <w:marBottom w:val="0"/>
          <w:divBdr>
            <w:top w:val="none" w:sz="0" w:space="0" w:color="auto"/>
            <w:left w:val="none" w:sz="0" w:space="0" w:color="auto"/>
            <w:bottom w:val="none" w:sz="0" w:space="0" w:color="auto"/>
            <w:right w:val="none" w:sz="0" w:space="0" w:color="auto"/>
          </w:divBdr>
          <w:divsChild>
            <w:div w:id="2143689514">
              <w:marLeft w:val="1275"/>
              <w:marRight w:val="0"/>
              <w:marTop w:val="0"/>
              <w:marBottom w:val="0"/>
              <w:divBdr>
                <w:top w:val="none" w:sz="0" w:space="0" w:color="auto"/>
                <w:left w:val="none" w:sz="0" w:space="0" w:color="auto"/>
                <w:bottom w:val="none" w:sz="0" w:space="0" w:color="auto"/>
                <w:right w:val="none" w:sz="0" w:space="0" w:color="auto"/>
              </w:divBdr>
            </w:div>
          </w:divsChild>
        </w:div>
        <w:div w:id="829910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p2d/836/1249/" TargetMode="External"/><Relationship Id="rId18" Type="http://schemas.openxmlformats.org/officeDocument/2006/relationships/hyperlink" Target="https://cite.case.law/ad2d/160/914/" TargetMode="External"/><Relationship Id="rId26" Type="http://schemas.openxmlformats.org/officeDocument/2006/relationships/hyperlink" Target="https://cite.case.law/p2d/651/1269/" TargetMode="External"/><Relationship Id="rId3" Type="http://schemas.openxmlformats.org/officeDocument/2006/relationships/webSettings" Target="webSettings.xml"/><Relationship Id="rId21" Type="http://schemas.openxmlformats.org/officeDocument/2006/relationships/hyperlink" Target="https://cite.case.law/p2d/833/1183/" TargetMode="External"/><Relationship Id="rId34" Type="http://schemas.openxmlformats.org/officeDocument/2006/relationships/theme" Target="theme/theme1.xml"/><Relationship Id="rId7" Type="http://schemas.openxmlformats.org/officeDocument/2006/relationships/hyperlink" Target="https://cite.case.law/p2d/728/462/" TargetMode="External"/><Relationship Id="rId12" Type="http://schemas.openxmlformats.org/officeDocument/2006/relationships/hyperlink" Target="https://cite.case.law/p2d/698/435/" TargetMode="External"/><Relationship Id="rId17" Type="http://schemas.openxmlformats.org/officeDocument/2006/relationships/hyperlink" Target="https://cite.case.law/p2d/499/355/" TargetMode="External"/><Relationship Id="rId25" Type="http://schemas.openxmlformats.org/officeDocument/2006/relationships/hyperlink" Target="https://cite.case.law/p2d/417/71/"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cite.case.law/p2d/499/368/" TargetMode="External"/><Relationship Id="rId20" Type="http://schemas.openxmlformats.org/officeDocument/2006/relationships/hyperlink" Target="https://cite.case.law/f2d/910/291/" TargetMode="External"/><Relationship Id="rId29" Type="http://schemas.openxmlformats.org/officeDocument/2006/relationships/hyperlink" Target="https://cite.case.law/p2d/734/794/" TargetMode="External"/><Relationship Id="rId1" Type="http://schemas.openxmlformats.org/officeDocument/2006/relationships/styles" Target="styles.xml"/><Relationship Id="rId6" Type="http://schemas.openxmlformats.org/officeDocument/2006/relationships/hyperlink" Target="https://cite.case.law/p2d/688/1263/" TargetMode="External"/><Relationship Id="rId11" Type="http://schemas.openxmlformats.org/officeDocument/2006/relationships/hyperlink" Target="https://cite.case.law/p2d/698/435/" TargetMode="External"/><Relationship Id="rId24" Type="http://schemas.openxmlformats.org/officeDocument/2006/relationships/hyperlink" Target="https://cite.case.law/p2d/840/599/" TargetMode="External"/><Relationship Id="rId32" Type="http://schemas.openxmlformats.org/officeDocument/2006/relationships/hyperlink" Target="https://cite.case.law/p2d/879/121/" TargetMode="External"/><Relationship Id="rId5" Type="http://schemas.openxmlformats.org/officeDocument/2006/relationships/hyperlink" Target="https://cite.case.law/p2d/726/341/" TargetMode="External"/><Relationship Id="rId15" Type="http://schemas.openxmlformats.org/officeDocument/2006/relationships/hyperlink" Target="https://cite.case.law/p2d/736/135/" TargetMode="External"/><Relationship Id="rId23" Type="http://schemas.openxmlformats.org/officeDocument/2006/relationships/hyperlink" Target="https://cite.case.law/nm/118/685/" TargetMode="External"/><Relationship Id="rId28" Type="http://schemas.openxmlformats.org/officeDocument/2006/relationships/hyperlink" Target="https://cite.case.law/p2d/575/603/" TargetMode="External"/><Relationship Id="rId10" Type="http://schemas.openxmlformats.org/officeDocument/2006/relationships/hyperlink" Target="https://cite.case.law/p2d/837/442/" TargetMode="External"/><Relationship Id="rId19" Type="http://schemas.openxmlformats.org/officeDocument/2006/relationships/hyperlink" Target="https://cite.case.law/nev/109/544/" TargetMode="External"/><Relationship Id="rId31" Type="http://schemas.openxmlformats.org/officeDocument/2006/relationships/hyperlink" Target="https://cite.case.law/p2d/574/283/" TargetMode="External"/><Relationship Id="rId4" Type="http://schemas.openxmlformats.org/officeDocument/2006/relationships/hyperlink" Target="https://cite.case.law/nm/118/685/" TargetMode="External"/><Relationship Id="rId9" Type="http://schemas.openxmlformats.org/officeDocument/2006/relationships/hyperlink" Target="https://cite.case.law/p2d/703/934/" TargetMode="External"/><Relationship Id="rId14" Type="http://schemas.openxmlformats.org/officeDocument/2006/relationships/hyperlink" Target="https://cite.case.law/p2d/835/80/" TargetMode="External"/><Relationship Id="rId22" Type="http://schemas.openxmlformats.org/officeDocument/2006/relationships/hyperlink" Target="https://cite.case.law/p2d/831/989/" TargetMode="External"/><Relationship Id="rId27" Type="http://schemas.openxmlformats.org/officeDocument/2006/relationships/hyperlink" Target="https://cite.case.law/p2d/848/5/" TargetMode="External"/><Relationship Id="rId30" Type="http://schemas.openxmlformats.org/officeDocument/2006/relationships/hyperlink" Target="https://cite.case.law/p2d/738/907/" TargetMode="External"/><Relationship Id="rId8" Type="http://schemas.openxmlformats.org/officeDocument/2006/relationships/hyperlink" Target="https://cite.case.law/p2d/825/12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3152</Words>
  <Characters>17970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2024-09-17T13:05:00Z</dcterms:created>
  <dcterms:modified xsi:type="dcterms:W3CDTF">2024-09-17T13:05:00Z</dcterms:modified>
</cp:coreProperties>
</file>