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D3F5" w14:textId="77777777" w:rsidR="004D3DD3" w:rsidRPr="004D3DD3" w:rsidRDefault="004D3DD3" w:rsidP="004D3DD3">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4D3DD3">
        <w:rPr>
          <w:rFonts w:ascii="Times New Roman" w:eastAsia="Times New Roman" w:hAnsi="Times New Roman" w:cs="Times New Roman"/>
          <w:b/>
          <w:bCs/>
          <w:color w:val="2F2F2F"/>
          <w:spacing w:val="3"/>
          <w:kern w:val="36"/>
          <w:sz w:val="35"/>
          <w:szCs w:val="35"/>
          <w:lang w:eastAsia="en-GB"/>
        </w:rPr>
        <w:t>Diaz ex rel. Diaz v. Feil, 118 N.M. 385, 881 P.2d 745 (1994)</w:t>
      </w:r>
    </w:p>
    <w:p w14:paraId="1B43D3F6" w14:textId="77777777" w:rsidR="004D3DD3" w:rsidRPr="004D3DD3" w:rsidRDefault="004D3DD3" w:rsidP="004D3DD3">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4D3DD3">
        <w:rPr>
          <w:rFonts w:ascii="Times New Roman" w:eastAsia="Times New Roman" w:hAnsi="Times New Roman" w:cs="Times New Roman"/>
          <w:color w:val="2F2F2F"/>
          <w:spacing w:val="3"/>
          <w:sz w:val="27"/>
          <w:szCs w:val="27"/>
          <w:lang w:eastAsia="en-GB"/>
        </w:rPr>
        <w:t>Aug. 10, 1994 · Court of Appeals of New Mexico · No. 14497</w:t>
      </w:r>
    </w:p>
    <w:p w14:paraId="1B43D3F7" w14:textId="77777777" w:rsidR="004D3DD3" w:rsidRPr="004D3DD3" w:rsidRDefault="004D3DD3" w:rsidP="004D3DD3">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4D3DD3">
        <w:rPr>
          <w:rFonts w:ascii="Times New Roman" w:eastAsia="Times New Roman" w:hAnsi="Times New Roman" w:cs="Times New Roman"/>
          <w:color w:val="2F2F2F"/>
          <w:spacing w:val="3"/>
          <w:sz w:val="27"/>
          <w:szCs w:val="27"/>
          <w:lang w:eastAsia="en-GB"/>
        </w:rPr>
        <w:t>118 N.M. 385, 881 P.2d 745</w:t>
      </w:r>
    </w:p>
    <w:p w14:paraId="1B43D3F8" w14:textId="77777777" w:rsidR="004D3DD3" w:rsidRPr="004D3DD3" w:rsidRDefault="004D3DD3" w:rsidP="004D3DD3">
      <w:pPr>
        <w:shd w:val="clear" w:color="auto" w:fill="FFFFFF"/>
        <w:spacing w:after="0" w:line="240" w:lineRule="auto"/>
        <w:rPr>
          <w:rFonts w:ascii="Georgia" w:eastAsia="Times New Roman" w:hAnsi="Georgia" w:cs="Arial"/>
          <w:color w:val="2F2F2F"/>
          <w:spacing w:val="3"/>
          <w:sz w:val="30"/>
          <w:szCs w:val="30"/>
          <w:lang w:eastAsia="en-GB"/>
        </w:rPr>
      </w:pPr>
      <w:r w:rsidRPr="004D3DD3">
        <w:rPr>
          <w:rFonts w:ascii="Georgia" w:eastAsia="Times New Roman" w:hAnsi="Georgia" w:cs="Arial"/>
          <w:color w:val="2F2F2F"/>
          <w:spacing w:val="3"/>
          <w:sz w:val="30"/>
          <w:szCs w:val="30"/>
          <w:lang w:eastAsia="en-GB"/>
        </w:rPr>
        <w:t>Celia DIAZ and Ramon Diaz, Sr., Individually and as Guardians and Next Friends of Ramon Diaz, Jr., Plaintiffs-Appellants,</w:t>
      </w:r>
      <w:r w:rsidRPr="004D3DD3">
        <w:rPr>
          <w:rFonts w:ascii="Georgia" w:eastAsia="Times New Roman" w:hAnsi="Georgia" w:cs="Arial"/>
          <w:i/>
          <w:iCs/>
          <w:color w:val="2F2F2F"/>
          <w:spacing w:val="3"/>
          <w:sz w:val="30"/>
          <w:szCs w:val="30"/>
          <w:lang w:eastAsia="en-GB"/>
        </w:rPr>
        <w:t>v.</w:t>
      </w:r>
      <w:r w:rsidRPr="004D3DD3">
        <w:rPr>
          <w:rFonts w:ascii="Georgia" w:eastAsia="Times New Roman" w:hAnsi="Georgia" w:cs="Arial"/>
          <w:color w:val="2F2F2F"/>
          <w:spacing w:val="3"/>
          <w:sz w:val="30"/>
          <w:szCs w:val="30"/>
          <w:lang w:eastAsia="en-GB"/>
        </w:rPr>
        <w:t>Paul A. FEIL, M.D., Deming Medical Clinic, Inc., and Mimbres Memorial Hospital and Nursing Home, Defendants-Appellees</w:t>
      </w:r>
    </w:p>
    <w:p w14:paraId="1B43D3F9" w14:textId="77777777" w:rsidR="004D3DD3" w:rsidRPr="004D3DD3" w:rsidRDefault="004D3DD3" w:rsidP="004D3DD3">
      <w:pPr>
        <w:spacing w:before="100" w:beforeAutospacing="1" w:after="100" w:afterAutospacing="1"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881 P.2d 745</w:t>
      </w:r>
    </w:p>
    <w:p w14:paraId="1B43D3FA" w14:textId="77777777" w:rsidR="004D3DD3" w:rsidRPr="004D3DD3" w:rsidRDefault="004D3DD3" w:rsidP="004D3DD3">
      <w:pPr>
        <w:spacing w:before="100" w:beforeAutospacing="1" w:after="100" w:afterAutospacing="1"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Court of Appeals of New Mexico.</w:t>
      </w:r>
    </w:p>
    <w:p w14:paraId="1B43D3FB" w14:textId="30F3D057" w:rsidR="004D3DD3" w:rsidRPr="004D3DD3" w:rsidRDefault="004D3DD3" w:rsidP="004D3DD3">
      <w:pPr>
        <w:shd w:val="clear" w:color="auto" w:fill="F7F7F9"/>
        <w:spacing w:before="100" w:beforeAutospacing="1" w:after="0" w:line="240" w:lineRule="auto"/>
        <w:rPr>
          <w:rFonts w:ascii="Georgia" w:eastAsia="Times New Roman" w:hAnsi="Georgia" w:cs="Times New Roman"/>
          <w:sz w:val="24"/>
          <w:szCs w:val="24"/>
          <w:lang w:eastAsia="en-GB"/>
        </w:rPr>
      </w:pPr>
      <w:r w:rsidRPr="004D3DD3">
        <w:rPr>
          <w:rFonts w:ascii="Georgia" w:eastAsia="Times New Roman" w:hAnsi="Georgia" w:cs="Times New Roman"/>
          <w:i/>
          <w:iCs/>
          <w:color w:val="979797"/>
          <w:sz w:val="19"/>
          <w:szCs w:val="19"/>
          <w:lang w:eastAsia="en-GB"/>
        </w:rPr>
        <w:t>*387</w:t>
      </w:r>
      <w:r w:rsidRPr="004D3DD3">
        <w:rPr>
          <w:rFonts w:ascii="Georgia" w:eastAsia="Times New Roman" w:hAnsi="Georgia" w:cs="Times New Roman"/>
          <w:sz w:val="24"/>
          <w:szCs w:val="24"/>
          <w:lang w:eastAsia="en-GB"/>
        </w:rPr>
        <w:t>Michael D. Volk, Volk &amp; Montes, P.C., El Paso, TX and William G. Gilstrap, William G. Gilstrap, P.C., Albuquerque, for plaintiffs-appellants.</w:t>
      </w:r>
    </w:p>
    <w:p w14:paraId="1B43D3FC" w14:textId="77777777" w:rsidR="004D3DD3" w:rsidRPr="004D3DD3" w:rsidRDefault="004D3DD3" w:rsidP="004D3DD3">
      <w:pPr>
        <w:shd w:val="clear" w:color="auto" w:fill="F7F7F9"/>
        <w:spacing w:after="0"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B. James Reeves and William R. Anderson, Reeves, Chavez, Greenfield, Acosta &amp; Walker, P.A., Las Cruces, for defendant-appellee Mimbres Memorial Hosp. and Nursing Home.</w:t>
      </w:r>
    </w:p>
    <w:p w14:paraId="1B43D3FD"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i/>
          <w:iCs/>
          <w:sz w:val="24"/>
          <w:szCs w:val="24"/>
          <w:lang w:eastAsia="en-GB"/>
        </w:rPr>
        <w:t>OPINION</w:t>
      </w:r>
    </w:p>
    <w:p w14:paraId="1B43D3FE" w14:textId="77777777" w:rsidR="004D3DD3" w:rsidRPr="004D3DD3" w:rsidRDefault="004D3DD3" w:rsidP="004D3DD3">
      <w:pPr>
        <w:spacing w:before="100" w:beforeAutospacing="1" w:after="225" w:line="240" w:lineRule="auto"/>
        <w:rPr>
          <w:rFonts w:ascii="Georgia" w:eastAsia="Times New Roman" w:hAnsi="Georgia" w:cs="Times New Roman"/>
          <w:color w:val="E878FF"/>
          <w:sz w:val="24"/>
          <w:szCs w:val="24"/>
          <w:lang w:eastAsia="en-GB"/>
        </w:rPr>
      </w:pPr>
      <w:r w:rsidRPr="004D3DD3">
        <w:rPr>
          <w:rFonts w:ascii="Georgia" w:eastAsia="Times New Roman" w:hAnsi="Georgia" w:cs="Times New Roman"/>
          <w:color w:val="E878FF"/>
          <w:sz w:val="24"/>
          <w:szCs w:val="24"/>
          <w:lang w:eastAsia="en-GB"/>
        </w:rPr>
        <w:t>ALARID, Judge.</w:t>
      </w:r>
    </w:p>
    <w:p w14:paraId="1B43D3FF" w14:textId="66CEE0C8"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913436">
        <w:rPr>
          <w:rFonts w:ascii="Georgia" w:eastAsia="Times New Roman" w:hAnsi="Georgia" w:cs="Times New Roman"/>
          <w:sz w:val="24"/>
          <w:szCs w:val="24"/>
          <w:highlight w:val="magenta"/>
          <w:lang w:eastAsia="en-GB"/>
        </w:rPr>
        <w:t>The issues raised by this appeal concern the district court’s granting of a summary judgment motion filed by Mimbres Memorial Hospital and Nursing Home (Defendant).</w:t>
      </w:r>
      <w:r w:rsidRPr="004D3DD3">
        <w:rPr>
          <w:rFonts w:ascii="Georgia" w:eastAsia="Times New Roman" w:hAnsi="Georgia" w:cs="Times New Roman"/>
          <w:sz w:val="24"/>
          <w:szCs w:val="24"/>
          <w:lang w:eastAsia="en-GB"/>
        </w:rPr>
        <w:t xml:space="preserve"> </w:t>
      </w:r>
      <w:r w:rsidRPr="00687EA3">
        <w:rPr>
          <w:rFonts w:ascii="Georgia" w:eastAsia="Times New Roman" w:hAnsi="Georgia" w:cs="Times New Roman"/>
          <w:sz w:val="24"/>
          <w:szCs w:val="24"/>
          <w:highlight w:val="magenta"/>
          <w:lang w:eastAsia="en-GB"/>
        </w:rPr>
        <w:t>Plaintiffs</w:t>
      </w:r>
      <w:r w:rsidRPr="004D3DD3">
        <w:rPr>
          <w:rFonts w:ascii="Georgia" w:eastAsia="Times New Roman" w:hAnsi="Georgia" w:cs="Times New Roman"/>
          <w:sz w:val="24"/>
          <w:szCs w:val="24"/>
          <w:lang w:eastAsia="en-GB"/>
        </w:rPr>
        <w:t xml:space="preserve">, Celia Diaz and Ramon Diaz, Sr., both individually and as guardians and next friends of Ramon Diaz, Jr., </w:t>
      </w:r>
      <w:r w:rsidRPr="00687EA3">
        <w:rPr>
          <w:rFonts w:ascii="Georgia" w:eastAsia="Times New Roman" w:hAnsi="Georgia" w:cs="Times New Roman"/>
          <w:sz w:val="24"/>
          <w:szCs w:val="24"/>
          <w:highlight w:val="magenta"/>
          <w:lang w:eastAsia="en-GB"/>
        </w:rPr>
        <w:t>brought suit claiming personal injury based on medical malpractice pertaining to the birth of their son.</w:t>
      </w:r>
      <w:r w:rsidRPr="004D3DD3">
        <w:rPr>
          <w:rFonts w:ascii="Georgia" w:eastAsia="Times New Roman" w:hAnsi="Georgia" w:cs="Times New Roman"/>
          <w:sz w:val="24"/>
          <w:szCs w:val="24"/>
          <w:lang w:eastAsia="en-GB"/>
        </w:rPr>
        <w:t xml:space="preserve"> Plaintiffs do not appeal the district court’s determination that they individually had not provided notice for their claims as required by the Tort Claims Act. Therefore, </w:t>
      </w:r>
      <w:r w:rsidRPr="00A247B2">
        <w:rPr>
          <w:rFonts w:ascii="Georgia" w:eastAsia="Times New Roman" w:hAnsi="Georgia" w:cs="Times New Roman"/>
          <w:sz w:val="24"/>
          <w:szCs w:val="24"/>
          <w:highlight w:val="magenta"/>
          <w:lang w:eastAsia="en-GB"/>
        </w:rPr>
        <w:t>our review is limited to the claims of Plaintiff Ramon Diaz, Jr. (Plaintiff) brought by his parents as guardians and next friends.</w:t>
      </w:r>
      <w:r w:rsidRPr="004D3DD3">
        <w:rPr>
          <w:rFonts w:ascii="Georgia" w:eastAsia="Times New Roman" w:hAnsi="Georgia" w:cs="Times New Roman"/>
          <w:sz w:val="24"/>
          <w:szCs w:val="24"/>
          <w:lang w:eastAsia="en-GB"/>
        </w:rPr>
        <w:t xml:space="preserve"> In addition, we hereby grant Defendant’s motion to strike an exhibit attached to Plaintiff’s reply brief; the exhibit should have been submitted to the trial court at the time of summary judgment. </w:t>
      </w:r>
      <w:r w:rsidRPr="004D3DD3">
        <w:rPr>
          <w:rFonts w:ascii="Georgia" w:eastAsia="Times New Roman" w:hAnsi="Georgia" w:cs="Times New Roman"/>
          <w:i/>
          <w:iCs/>
          <w:sz w:val="24"/>
          <w:szCs w:val="24"/>
          <w:lang w:eastAsia="en-GB"/>
        </w:rPr>
        <w:t>See Porter v. Robert Porter &amp; Sons, </w:t>
      </w:r>
      <w:r w:rsidRPr="004D3DD3">
        <w:rPr>
          <w:rFonts w:ascii="Georgia" w:eastAsia="Times New Roman" w:hAnsi="Georgia" w:cs="Times New Roman"/>
          <w:sz w:val="24"/>
          <w:szCs w:val="24"/>
          <w:lang w:eastAsia="en-GB"/>
        </w:rPr>
        <w:t>Inc., </w:t>
      </w:r>
      <w:hyperlink r:id="rId4" w:history="1">
        <w:r w:rsidRPr="004D3DD3">
          <w:rPr>
            <w:rFonts w:ascii="Georgia" w:eastAsia="Times New Roman" w:hAnsi="Georgia" w:cs="Times New Roman"/>
            <w:color w:val="007BFF"/>
            <w:sz w:val="24"/>
            <w:szCs w:val="24"/>
            <w:lang w:eastAsia="en-GB"/>
          </w:rPr>
          <w:t>68 N.M. 97</w:t>
        </w:r>
      </w:hyperlink>
      <w:r w:rsidRPr="004D3DD3">
        <w:rPr>
          <w:rFonts w:ascii="Georgia" w:eastAsia="Times New Roman" w:hAnsi="Georgia" w:cs="Times New Roman"/>
          <w:sz w:val="24"/>
          <w:szCs w:val="24"/>
          <w:lang w:eastAsia="en-GB"/>
        </w:rPr>
        <w:t>, 101, </w:t>
      </w:r>
      <w:r w:rsidRPr="004D3DD3">
        <w:rPr>
          <w:rFonts w:ascii="Georgia" w:eastAsia="Times New Roman" w:hAnsi="Georgia" w:cs="Times New Roman"/>
          <w:color w:val="007BFF"/>
          <w:sz w:val="24"/>
          <w:szCs w:val="24"/>
          <w:lang w:eastAsia="en-GB"/>
        </w:rPr>
        <w:t>359 P.2d 134</w:t>
      </w:r>
      <w:r w:rsidRPr="004D3DD3">
        <w:rPr>
          <w:rFonts w:ascii="Georgia" w:eastAsia="Times New Roman" w:hAnsi="Georgia" w:cs="Times New Roman"/>
          <w:sz w:val="24"/>
          <w:szCs w:val="24"/>
          <w:lang w:eastAsia="en-GB"/>
        </w:rPr>
        <w:t>, 136-37 (1961).</w:t>
      </w:r>
    </w:p>
    <w:p w14:paraId="1B43D400"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BACKGROUND</w:t>
      </w:r>
    </w:p>
    <w:p w14:paraId="1B43D401"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highlight w:val="yellow"/>
          <w:lang w:eastAsia="en-GB"/>
        </w:rPr>
        <w:t>On July 9,1982, Celia and Ramon Diaz, Sr. contracted with Dr. Paul A. Feil (“treating physician”) for prenatal care, labor, and delivery of their unborn child. On December 27, 1982, at approximately 8:30 a.m., Celia Diaz was admitted to Mimbres Hospital in active labor. During deposition, the treating physician disclosed that after receiving three phone calls from members of the nursing staff at the hospital, he traveled from his office to the hospital at approximately 12:15 p.m. The treating physician thereafter took Mrs. Diaz into the delivery room and delivered the baby.</w:t>
      </w:r>
      <w:r w:rsidRPr="004D3DD3">
        <w:rPr>
          <w:rFonts w:ascii="Georgia" w:eastAsia="Times New Roman" w:hAnsi="Georgia" w:cs="Times New Roman"/>
          <w:sz w:val="24"/>
          <w:szCs w:val="24"/>
          <w:lang w:eastAsia="en-GB"/>
        </w:rPr>
        <w:t xml:space="preserve"> </w:t>
      </w:r>
      <w:r w:rsidRPr="00A247B2">
        <w:rPr>
          <w:rFonts w:ascii="Georgia" w:eastAsia="Times New Roman" w:hAnsi="Georgia" w:cs="Times New Roman"/>
          <w:sz w:val="24"/>
          <w:szCs w:val="24"/>
          <w:highlight w:val="magenta"/>
          <w:lang w:eastAsia="en-GB"/>
        </w:rPr>
        <w:t>On November 26, 1991, the underlying complaint giving rise to this cause of action was filed in district court.</w:t>
      </w:r>
      <w:r w:rsidRPr="002F420C">
        <w:rPr>
          <w:rFonts w:ascii="Georgia" w:eastAsia="Times New Roman" w:hAnsi="Georgia" w:cs="Times New Roman"/>
          <w:sz w:val="24"/>
          <w:szCs w:val="24"/>
          <w:lang w:eastAsia="en-GB"/>
        </w:rPr>
        <w:t xml:space="preserve"> One claim alleged that because of Defendant’s negligence prior to the delivery of the child, Plaintiff was born with Erbs Palsy of the left arm. </w:t>
      </w:r>
      <w:r w:rsidRPr="00A247B2">
        <w:rPr>
          <w:rFonts w:ascii="Georgia" w:eastAsia="Times New Roman" w:hAnsi="Georgia" w:cs="Times New Roman"/>
          <w:sz w:val="24"/>
          <w:szCs w:val="24"/>
          <w:highlight w:val="magenta"/>
          <w:lang w:eastAsia="en-GB"/>
        </w:rPr>
        <w:t xml:space="preserve">After lengthy discovery, Defendant </w:t>
      </w:r>
      <w:r w:rsidRPr="004D3DD3">
        <w:rPr>
          <w:rFonts w:ascii="Georgia" w:eastAsia="Times New Roman" w:hAnsi="Georgia" w:cs="Times New Roman"/>
          <w:sz w:val="24"/>
          <w:szCs w:val="24"/>
          <w:highlight w:val="magenta"/>
          <w:lang w:eastAsia="en-GB"/>
        </w:rPr>
        <w:t xml:space="preserve">filed a motion for summary judgment and </w:t>
      </w:r>
      <w:r w:rsidRPr="004D3DD3">
        <w:rPr>
          <w:rFonts w:ascii="Georgia" w:eastAsia="Times New Roman" w:hAnsi="Georgia" w:cs="Times New Roman"/>
          <w:sz w:val="24"/>
          <w:szCs w:val="24"/>
          <w:highlight w:val="magenta"/>
          <w:lang w:eastAsia="en-GB"/>
        </w:rPr>
        <w:lastRenderedPageBreak/>
        <w:t>attached to the motion an affidavit from the hospital’s administrator disclaiming any knowledge of complaints or malpractice claims filed against the treating physician.</w:t>
      </w:r>
    </w:p>
    <w:p w14:paraId="1B43D402"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highlight w:val="magenta"/>
          <w:lang w:eastAsia="en-GB"/>
        </w:rPr>
        <w:t>The district court granted summary judgment</w:t>
      </w:r>
      <w:r w:rsidRPr="004D3DD3">
        <w:rPr>
          <w:rFonts w:ascii="Georgia" w:eastAsia="Times New Roman" w:hAnsi="Georgia" w:cs="Times New Roman"/>
          <w:sz w:val="24"/>
          <w:szCs w:val="24"/>
          <w:lang w:eastAsia="en-GB"/>
        </w:rPr>
        <w:t xml:space="preserve"> stating that “[tjhere is no genuine issue of material fact with respect to whether any act or omission on the part of Mimbres Memorial Hospital was the proximate cause of Plaintiff, Ramon Diaz, Jr.’s injurie[s.]” On appeal, the issues raised are (1) whether the district court properly granted summary judgment as to the negligence claim against Defendant pertaining to the care of Celia Diaz prior to the delivery of the child; and (2) whether the district court properly granted summary judgment as to the negligence claim against Defendant for granting staff privileges to the treating physician. For the reasons explained below, </w:t>
      </w:r>
      <w:r w:rsidRPr="001473CC">
        <w:rPr>
          <w:rFonts w:ascii="Georgia" w:eastAsia="Times New Roman" w:hAnsi="Georgia" w:cs="Times New Roman"/>
          <w:sz w:val="24"/>
          <w:szCs w:val="24"/>
          <w:highlight w:val="red"/>
          <w:lang w:eastAsia="en-GB"/>
        </w:rPr>
        <w:t>we r</w:t>
      </w:r>
      <w:r w:rsidRPr="004D3DD3">
        <w:rPr>
          <w:rFonts w:ascii="Georgia" w:eastAsia="Times New Roman" w:hAnsi="Georgia" w:cs="Times New Roman"/>
          <w:sz w:val="24"/>
          <w:szCs w:val="24"/>
          <w:highlight w:val="red"/>
          <w:lang w:eastAsia="en-GB"/>
        </w:rPr>
        <w:t>everse the district court’s granting of summary judgment in favor of Defendant as to the first issue</w:t>
      </w:r>
      <w:r w:rsidRPr="004D3DD3">
        <w:rPr>
          <w:rFonts w:ascii="Georgia" w:eastAsia="Times New Roman" w:hAnsi="Georgia" w:cs="Times New Roman"/>
          <w:sz w:val="24"/>
          <w:szCs w:val="24"/>
          <w:lang w:eastAsia="en-GB"/>
        </w:rPr>
        <w:t xml:space="preserve">, and </w:t>
      </w:r>
      <w:r w:rsidRPr="004D3DD3">
        <w:rPr>
          <w:rFonts w:ascii="Georgia" w:eastAsia="Times New Roman" w:hAnsi="Georgia" w:cs="Times New Roman"/>
          <w:sz w:val="24"/>
          <w:szCs w:val="24"/>
          <w:highlight w:val="red"/>
          <w:lang w:eastAsia="en-GB"/>
        </w:rPr>
        <w:t>we affirm the district court’s granting of summary judgment in favor of Defendant as to the second issue</w:t>
      </w:r>
      <w:r w:rsidRPr="004D3DD3">
        <w:rPr>
          <w:rFonts w:ascii="Georgia" w:eastAsia="Times New Roman" w:hAnsi="Georgia" w:cs="Times New Roman"/>
          <w:sz w:val="24"/>
          <w:szCs w:val="24"/>
          <w:lang w:eastAsia="en-GB"/>
        </w:rPr>
        <w:t>.</w:t>
      </w:r>
    </w:p>
    <w:p w14:paraId="1B43D403"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DISCUSSION</w:t>
      </w:r>
    </w:p>
    <w:p w14:paraId="1B43D404"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Defendant Hospital’s Direct Negligence</w:t>
      </w:r>
    </w:p>
    <w:p w14:paraId="1B43D405"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 xml:space="preserve">In response to Plaintiff’s complaint, </w:t>
      </w:r>
      <w:r w:rsidRPr="00687EA3">
        <w:rPr>
          <w:rFonts w:ascii="Georgia" w:eastAsia="Times New Roman" w:hAnsi="Georgia" w:cs="Times New Roman"/>
          <w:sz w:val="24"/>
          <w:szCs w:val="24"/>
          <w:lang w:eastAsia="en-GB"/>
        </w:rPr>
        <w:t>Defendant’s motion for summary judgment claimed in pertinent part that “[a]ny act or omission on [the] part of Mimbres Memorial Hospital was not the proximate cause of Plaintiff’s injuries.” On appeal, as in the district court below, Plaintiff argues that “[t]here</w:t>
      </w:r>
      <w:r w:rsidRPr="004D3DD3">
        <w:rPr>
          <w:rFonts w:ascii="Georgia" w:eastAsia="Times New Roman" w:hAnsi="Georgia" w:cs="Times New Roman"/>
          <w:sz w:val="24"/>
          <w:szCs w:val="24"/>
          <w:lang w:eastAsia="en-GB"/>
        </w:rPr>
        <w:t xml:space="preserve"> is no evidence from which the hospital could possibly have established a prima facie showing that the hospital’s acts and omissions were not the proximate cause of injury.” As to </w:t>
      </w:r>
      <w:hyperlink r:id="rId5" w:anchor="p388" w:history="1">
        <w:r w:rsidRPr="004D3DD3">
          <w:rPr>
            <w:rFonts w:ascii="Georgia" w:eastAsia="Times New Roman" w:hAnsi="Georgia" w:cs="Times New Roman"/>
            <w:i/>
            <w:iCs/>
            <w:color w:val="979797"/>
            <w:sz w:val="19"/>
            <w:szCs w:val="19"/>
            <w:lang w:eastAsia="en-GB"/>
          </w:rPr>
          <w:t>*388</w:t>
        </w:r>
      </w:hyperlink>
      <w:r w:rsidRPr="004D3DD3">
        <w:rPr>
          <w:rFonts w:ascii="Georgia" w:eastAsia="Times New Roman" w:hAnsi="Georgia" w:cs="Times New Roman"/>
          <w:sz w:val="24"/>
          <w:szCs w:val="24"/>
          <w:lang w:eastAsia="en-GB"/>
        </w:rPr>
        <w:t>this issue, we agree with Plaintiff and explain.</w:t>
      </w:r>
    </w:p>
    <w:p w14:paraId="1B43D406" w14:textId="1BB52625"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To prove medical malpractice, a plaintiff must show that (1) the defendant owed the plaintiff a duty recognized by law; (2) the defendant breached the duty by departing from the proper standard of medical practice recognized in the community; and (3) the acts or omissions complained of proximately caused the plaintiffs injuries. </w:t>
      </w:r>
      <w:r w:rsidRPr="004D3DD3">
        <w:rPr>
          <w:rFonts w:ascii="Georgia" w:eastAsia="Times New Roman" w:hAnsi="Georgia" w:cs="Times New Roman"/>
          <w:i/>
          <w:iCs/>
          <w:sz w:val="24"/>
          <w:szCs w:val="24"/>
          <w:lang w:eastAsia="en-GB"/>
        </w:rPr>
        <w:t>See </w:t>
      </w:r>
      <w:r w:rsidRPr="004D3DD3">
        <w:rPr>
          <w:rFonts w:ascii="Georgia" w:eastAsia="Times New Roman" w:hAnsi="Georgia" w:cs="Times New Roman"/>
          <w:sz w:val="24"/>
          <w:szCs w:val="24"/>
          <w:lang w:eastAsia="en-GB"/>
        </w:rPr>
        <w:t>SCRA 1986, 13-1101 (Repl.1991); </w:t>
      </w:r>
      <w:r w:rsidRPr="003F59D1">
        <w:rPr>
          <w:rFonts w:ascii="Georgia" w:eastAsia="Times New Roman" w:hAnsi="Georgia" w:cs="Times New Roman"/>
          <w:i/>
          <w:iCs/>
          <w:sz w:val="24"/>
          <w:szCs w:val="24"/>
          <w:highlight w:val="cyan"/>
          <w:lang w:eastAsia="en-GB"/>
        </w:rPr>
        <w:t>Blauwkamp v. University of New Mexico Hospital, </w:t>
      </w:r>
      <w:r w:rsidRPr="003F59D1">
        <w:rPr>
          <w:rFonts w:ascii="Georgia" w:eastAsia="Times New Roman" w:hAnsi="Georgia" w:cs="Times New Roman"/>
          <w:color w:val="007BFF"/>
          <w:sz w:val="24"/>
          <w:szCs w:val="24"/>
          <w:highlight w:val="cyan"/>
          <w:lang w:eastAsia="en-GB"/>
        </w:rPr>
        <w:t>114 N.M. 2</w:t>
      </w:r>
      <w:r w:rsidRPr="004D3DD3">
        <w:rPr>
          <w:rFonts w:ascii="Georgia" w:eastAsia="Times New Roman" w:hAnsi="Georgia" w:cs="Times New Roman"/>
          <w:sz w:val="24"/>
          <w:szCs w:val="24"/>
          <w:highlight w:val="cyan"/>
          <w:lang w:eastAsia="en-GB"/>
        </w:rPr>
        <w:t>28, 231, </w:t>
      </w:r>
      <w:hyperlink r:id="rId6" w:history="1">
        <w:r w:rsidRPr="003F59D1">
          <w:rPr>
            <w:rFonts w:ascii="Georgia" w:eastAsia="Times New Roman" w:hAnsi="Georgia" w:cs="Times New Roman"/>
            <w:color w:val="007BFF"/>
            <w:sz w:val="24"/>
            <w:szCs w:val="24"/>
            <w:highlight w:val="cyan"/>
            <w:lang w:eastAsia="en-GB"/>
          </w:rPr>
          <w:t>836 P.2d 1249</w:t>
        </w:r>
      </w:hyperlink>
      <w:r w:rsidRPr="004D3DD3">
        <w:rPr>
          <w:rFonts w:ascii="Georgia" w:eastAsia="Times New Roman" w:hAnsi="Georgia" w:cs="Times New Roman"/>
          <w:sz w:val="24"/>
          <w:szCs w:val="24"/>
          <w:highlight w:val="cyan"/>
          <w:lang w:eastAsia="en-GB"/>
        </w:rPr>
        <w:t>, 1252 (Ct.App.), </w:t>
      </w:r>
      <w:r w:rsidRPr="003F59D1">
        <w:rPr>
          <w:rFonts w:ascii="Georgia" w:eastAsia="Times New Roman" w:hAnsi="Georgia" w:cs="Times New Roman"/>
          <w:i/>
          <w:iCs/>
          <w:sz w:val="24"/>
          <w:szCs w:val="24"/>
          <w:highlight w:val="cyan"/>
          <w:lang w:eastAsia="en-GB"/>
        </w:rPr>
        <w:t>cert. denied, </w:t>
      </w:r>
      <w:r w:rsidRPr="003F59D1">
        <w:rPr>
          <w:rFonts w:ascii="Georgia" w:eastAsia="Times New Roman" w:hAnsi="Georgia" w:cs="Times New Roman"/>
          <w:color w:val="007BFF"/>
          <w:sz w:val="24"/>
          <w:szCs w:val="24"/>
          <w:highlight w:val="cyan"/>
          <w:lang w:eastAsia="en-GB"/>
        </w:rPr>
        <w:t>114 N.M. 82</w:t>
      </w:r>
      <w:r w:rsidRPr="004D3DD3">
        <w:rPr>
          <w:rFonts w:ascii="Georgia" w:eastAsia="Times New Roman" w:hAnsi="Georgia" w:cs="Times New Roman"/>
          <w:sz w:val="24"/>
          <w:szCs w:val="24"/>
          <w:highlight w:val="cyan"/>
          <w:lang w:eastAsia="en-GB"/>
        </w:rPr>
        <w:t>, </w:t>
      </w:r>
      <w:hyperlink r:id="rId7" w:history="1">
        <w:r w:rsidRPr="003F59D1">
          <w:rPr>
            <w:rFonts w:ascii="Georgia" w:eastAsia="Times New Roman" w:hAnsi="Georgia" w:cs="Times New Roman"/>
            <w:color w:val="007BFF"/>
            <w:sz w:val="24"/>
            <w:szCs w:val="24"/>
            <w:highlight w:val="cyan"/>
            <w:lang w:eastAsia="en-GB"/>
          </w:rPr>
          <w:t>835 P.2d 80</w:t>
        </w:r>
      </w:hyperlink>
      <w:r w:rsidRPr="004D3DD3">
        <w:rPr>
          <w:rFonts w:ascii="Georgia" w:eastAsia="Times New Roman" w:hAnsi="Georgia" w:cs="Times New Roman"/>
          <w:sz w:val="24"/>
          <w:szCs w:val="24"/>
          <w:highlight w:val="cyan"/>
          <w:lang w:eastAsia="en-GB"/>
        </w:rPr>
        <w:t> (1992)</w:t>
      </w:r>
      <w:r w:rsidRPr="004D3DD3">
        <w:rPr>
          <w:rFonts w:ascii="Georgia" w:eastAsia="Times New Roman" w:hAnsi="Georgia" w:cs="Times New Roman"/>
          <w:sz w:val="24"/>
          <w:szCs w:val="24"/>
          <w:lang w:eastAsia="en-GB"/>
        </w:rPr>
        <w:t>; </w:t>
      </w:r>
      <w:r w:rsidRPr="004D3DD3">
        <w:rPr>
          <w:rFonts w:ascii="Georgia" w:eastAsia="Times New Roman" w:hAnsi="Georgia" w:cs="Times New Roman"/>
          <w:i/>
          <w:iCs/>
          <w:sz w:val="24"/>
          <w:szCs w:val="24"/>
          <w:lang w:eastAsia="en-GB"/>
        </w:rPr>
        <w:t xml:space="preserve">see also </w:t>
      </w:r>
      <w:r w:rsidRPr="003F59D1">
        <w:rPr>
          <w:rFonts w:ascii="Georgia" w:eastAsia="Times New Roman" w:hAnsi="Georgia" w:cs="Times New Roman"/>
          <w:i/>
          <w:iCs/>
          <w:sz w:val="24"/>
          <w:szCs w:val="24"/>
          <w:highlight w:val="cyan"/>
          <w:lang w:eastAsia="en-GB"/>
        </w:rPr>
        <w:t>Cervantes v. Forbis, </w:t>
      </w:r>
      <w:r w:rsidRPr="003F59D1">
        <w:rPr>
          <w:rFonts w:ascii="Georgia" w:eastAsia="Times New Roman" w:hAnsi="Georgia" w:cs="Times New Roman"/>
          <w:color w:val="007BFF"/>
          <w:sz w:val="24"/>
          <w:szCs w:val="24"/>
          <w:highlight w:val="cyan"/>
          <w:lang w:eastAsia="en-GB"/>
        </w:rPr>
        <w:t>73 N.M. 445</w:t>
      </w:r>
      <w:r w:rsidRPr="004D3DD3">
        <w:rPr>
          <w:rFonts w:ascii="Georgia" w:eastAsia="Times New Roman" w:hAnsi="Georgia" w:cs="Times New Roman"/>
          <w:sz w:val="24"/>
          <w:szCs w:val="24"/>
          <w:highlight w:val="cyan"/>
          <w:lang w:eastAsia="en-GB"/>
        </w:rPr>
        <w:t>, 448, </w:t>
      </w:r>
      <w:hyperlink r:id="rId8" w:history="1">
        <w:r w:rsidRPr="003F59D1">
          <w:rPr>
            <w:rFonts w:ascii="Georgia" w:eastAsia="Times New Roman" w:hAnsi="Georgia" w:cs="Times New Roman"/>
            <w:color w:val="007BFF"/>
            <w:sz w:val="24"/>
            <w:szCs w:val="24"/>
            <w:highlight w:val="cyan"/>
            <w:lang w:eastAsia="en-GB"/>
          </w:rPr>
          <w:t>389 P.2d 210</w:t>
        </w:r>
      </w:hyperlink>
      <w:r w:rsidRPr="004D3DD3">
        <w:rPr>
          <w:rFonts w:ascii="Georgia" w:eastAsia="Times New Roman" w:hAnsi="Georgia" w:cs="Times New Roman"/>
          <w:sz w:val="24"/>
          <w:szCs w:val="24"/>
          <w:highlight w:val="cyan"/>
          <w:lang w:eastAsia="en-GB"/>
        </w:rPr>
        <w:t>, 213 (1964)</w:t>
      </w:r>
      <w:r w:rsidRPr="004D3DD3">
        <w:rPr>
          <w:rFonts w:ascii="Georgia" w:eastAsia="Times New Roman" w:hAnsi="Georgia" w:cs="Times New Roman"/>
          <w:sz w:val="24"/>
          <w:szCs w:val="24"/>
          <w:lang w:eastAsia="en-GB"/>
        </w:rPr>
        <w:t>; </w:t>
      </w:r>
      <w:r w:rsidRPr="003F59D1">
        <w:rPr>
          <w:rFonts w:ascii="Georgia" w:eastAsia="Times New Roman" w:hAnsi="Georgia" w:cs="Times New Roman"/>
          <w:i/>
          <w:iCs/>
          <w:sz w:val="24"/>
          <w:szCs w:val="24"/>
          <w:highlight w:val="cyan"/>
          <w:lang w:eastAsia="en-GB"/>
        </w:rPr>
        <w:t>Schmidt v. St. Joseph’s Hospital, </w:t>
      </w:r>
      <w:r w:rsidRPr="003F59D1">
        <w:rPr>
          <w:rFonts w:ascii="Georgia" w:eastAsia="Times New Roman" w:hAnsi="Georgia" w:cs="Times New Roman"/>
          <w:color w:val="007BFF"/>
          <w:sz w:val="24"/>
          <w:szCs w:val="24"/>
          <w:highlight w:val="cyan"/>
          <w:lang w:eastAsia="en-GB"/>
        </w:rPr>
        <w:t>105 N.M. 681</w:t>
      </w:r>
      <w:r w:rsidRPr="004D3DD3">
        <w:rPr>
          <w:rFonts w:ascii="Georgia" w:eastAsia="Times New Roman" w:hAnsi="Georgia" w:cs="Times New Roman"/>
          <w:sz w:val="24"/>
          <w:szCs w:val="24"/>
          <w:highlight w:val="cyan"/>
          <w:lang w:eastAsia="en-GB"/>
        </w:rPr>
        <w:t>, 683, </w:t>
      </w:r>
      <w:hyperlink r:id="rId9" w:history="1">
        <w:r w:rsidRPr="003F59D1">
          <w:rPr>
            <w:rFonts w:ascii="Georgia" w:eastAsia="Times New Roman" w:hAnsi="Georgia" w:cs="Times New Roman"/>
            <w:color w:val="007BFF"/>
            <w:sz w:val="24"/>
            <w:szCs w:val="24"/>
            <w:highlight w:val="cyan"/>
            <w:lang w:eastAsia="en-GB"/>
          </w:rPr>
          <w:t>736 P.2d 135</w:t>
        </w:r>
      </w:hyperlink>
      <w:r w:rsidRPr="004D3DD3">
        <w:rPr>
          <w:rFonts w:ascii="Georgia" w:eastAsia="Times New Roman" w:hAnsi="Georgia" w:cs="Times New Roman"/>
          <w:sz w:val="24"/>
          <w:szCs w:val="24"/>
          <w:highlight w:val="cyan"/>
          <w:lang w:eastAsia="en-GB"/>
        </w:rPr>
        <w:t>, 137 (Ct.App.1987)</w:t>
      </w:r>
      <w:r w:rsidRPr="004D3DD3">
        <w:rPr>
          <w:rFonts w:ascii="Georgia" w:eastAsia="Times New Roman" w:hAnsi="Georgia" w:cs="Times New Roman"/>
          <w:sz w:val="24"/>
          <w:szCs w:val="24"/>
          <w:lang w:eastAsia="en-GB"/>
        </w:rPr>
        <w:t>; </w:t>
      </w:r>
      <w:r w:rsidRPr="003F59D1">
        <w:rPr>
          <w:rFonts w:ascii="Georgia" w:eastAsia="Times New Roman" w:hAnsi="Georgia" w:cs="Times New Roman"/>
          <w:i/>
          <w:iCs/>
          <w:sz w:val="24"/>
          <w:szCs w:val="24"/>
          <w:highlight w:val="cyan"/>
          <w:lang w:eastAsia="en-GB"/>
        </w:rPr>
        <w:t>Smith v. Klebanoff, </w:t>
      </w:r>
      <w:r w:rsidRPr="003F59D1">
        <w:rPr>
          <w:rFonts w:ascii="Georgia" w:eastAsia="Times New Roman" w:hAnsi="Georgia" w:cs="Times New Roman"/>
          <w:color w:val="007BFF"/>
          <w:sz w:val="24"/>
          <w:szCs w:val="24"/>
          <w:highlight w:val="cyan"/>
          <w:lang w:eastAsia="en-GB"/>
        </w:rPr>
        <w:t>84 N.M. 50</w:t>
      </w:r>
      <w:r w:rsidRPr="004D3DD3">
        <w:rPr>
          <w:rFonts w:ascii="Georgia" w:eastAsia="Times New Roman" w:hAnsi="Georgia" w:cs="Times New Roman"/>
          <w:sz w:val="24"/>
          <w:szCs w:val="24"/>
          <w:highlight w:val="cyan"/>
          <w:lang w:eastAsia="en-GB"/>
        </w:rPr>
        <w:t>, 53, </w:t>
      </w:r>
      <w:hyperlink r:id="rId10" w:history="1">
        <w:r w:rsidRPr="003F59D1">
          <w:rPr>
            <w:rFonts w:ascii="Georgia" w:eastAsia="Times New Roman" w:hAnsi="Georgia" w:cs="Times New Roman"/>
            <w:color w:val="007BFF"/>
            <w:sz w:val="24"/>
            <w:szCs w:val="24"/>
            <w:highlight w:val="cyan"/>
            <w:lang w:eastAsia="en-GB"/>
          </w:rPr>
          <w:t>499 P.2d 368</w:t>
        </w:r>
      </w:hyperlink>
      <w:r w:rsidRPr="004D3DD3">
        <w:rPr>
          <w:rFonts w:ascii="Georgia" w:eastAsia="Times New Roman" w:hAnsi="Georgia" w:cs="Times New Roman"/>
          <w:sz w:val="24"/>
          <w:szCs w:val="24"/>
          <w:highlight w:val="cyan"/>
          <w:lang w:eastAsia="en-GB"/>
        </w:rPr>
        <w:t>, 371 (Ct.App.), ce</w:t>
      </w:r>
      <w:r w:rsidRPr="003F59D1">
        <w:rPr>
          <w:rFonts w:ascii="Georgia" w:eastAsia="Times New Roman" w:hAnsi="Georgia" w:cs="Times New Roman"/>
          <w:i/>
          <w:iCs/>
          <w:sz w:val="24"/>
          <w:szCs w:val="24"/>
          <w:highlight w:val="cyan"/>
          <w:lang w:eastAsia="en-GB"/>
        </w:rPr>
        <w:t>rt. denied, </w:t>
      </w:r>
      <w:r w:rsidRPr="003F59D1">
        <w:rPr>
          <w:rFonts w:ascii="Georgia" w:eastAsia="Times New Roman" w:hAnsi="Georgia" w:cs="Times New Roman"/>
          <w:color w:val="007BFF"/>
          <w:sz w:val="24"/>
          <w:szCs w:val="24"/>
          <w:highlight w:val="cyan"/>
          <w:lang w:eastAsia="en-GB"/>
        </w:rPr>
        <w:t>84 N.M. 37</w:t>
      </w:r>
      <w:r w:rsidRPr="004D3DD3">
        <w:rPr>
          <w:rFonts w:ascii="Georgia" w:eastAsia="Times New Roman" w:hAnsi="Georgia" w:cs="Times New Roman"/>
          <w:sz w:val="24"/>
          <w:szCs w:val="24"/>
          <w:highlight w:val="cyan"/>
          <w:lang w:eastAsia="en-GB"/>
        </w:rPr>
        <w:t>, </w:t>
      </w:r>
      <w:hyperlink r:id="rId11" w:history="1">
        <w:r w:rsidRPr="003F59D1">
          <w:rPr>
            <w:rFonts w:ascii="Georgia" w:eastAsia="Times New Roman" w:hAnsi="Georgia" w:cs="Times New Roman"/>
            <w:color w:val="007BFF"/>
            <w:sz w:val="24"/>
            <w:szCs w:val="24"/>
            <w:highlight w:val="cyan"/>
            <w:lang w:eastAsia="en-GB"/>
          </w:rPr>
          <w:t>499 P.2d 355</w:t>
        </w:r>
      </w:hyperlink>
      <w:r w:rsidRPr="004D3DD3">
        <w:rPr>
          <w:rFonts w:ascii="Georgia" w:eastAsia="Times New Roman" w:hAnsi="Georgia" w:cs="Times New Roman"/>
          <w:sz w:val="24"/>
          <w:szCs w:val="24"/>
          <w:highlight w:val="cyan"/>
          <w:lang w:eastAsia="en-GB"/>
        </w:rPr>
        <w:t> (1972)</w:t>
      </w:r>
      <w:r w:rsidRPr="004D3DD3">
        <w:rPr>
          <w:rFonts w:ascii="Georgia" w:eastAsia="Times New Roman" w:hAnsi="Georgia" w:cs="Times New Roman"/>
          <w:sz w:val="24"/>
          <w:szCs w:val="24"/>
          <w:lang w:eastAsia="en-GB"/>
        </w:rPr>
        <w:t>. “A defendant seeking summary judgment in a medical malpractice action bears the initial burden of negating at least one of the essential elements upon which the plaintiffs claims are grounded.” </w:t>
      </w:r>
      <w:r w:rsidRPr="00A247B2">
        <w:rPr>
          <w:rFonts w:ascii="Georgia" w:eastAsia="Times New Roman" w:hAnsi="Georgia" w:cs="Times New Roman"/>
          <w:i/>
          <w:iCs/>
          <w:sz w:val="24"/>
          <w:szCs w:val="24"/>
          <w:highlight w:val="cyan"/>
          <w:lang w:eastAsia="en-GB"/>
        </w:rPr>
        <w:t>Blauwkamp, </w:t>
      </w:r>
      <w:r w:rsidRPr="00A247B2">
        <w:rPr>
          <w:rFonts w:ascii="Georgia" w:eastAsia="Times New Roman" w:hAnsi="Georgia" w:cs="Times New Roman"/>
          <w:sz w:val="24"/>
          <w:szCs w:val="24"/>
          <w:highlight w:val="cyan"/>
          <w:lang w:eastAsia="en-GB"/>
        </w:rPr>
        <w:t>114 N.M. at 231, 836 P.2d at 1252</w:t>
      </w:r>
      <w:r w:rsidRPr="004D3DD3">
        <w:rPr>
          <w:rFonts w:ascii="Georgia" w:eastAsia="Times New Roman" w:hAnsi="Georgia" w:cs="Times New Roman"/>
          <w:sz w:val="24"/>
          <w:szCs w:val="24"/>
          <w:lang w:eastAsia="en-GB"/>
        </w:rPr>
        <w:t>.</w:t>
      </w:r>
    </w:p>
    <w:p w14:paraId="1B43D407"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A247B2">
        <w:rPr>
          <w:rFonts w:ascii="Georgia" w:eastAsia="Times New Roman" w:hAnsi="Georgia" w:cs="Times New Roman"/>
          <w:sz w:val="24"/>
          <w:szCs w:val="24"/>
          <w:lang w:eastAsia="en-GB"/>
        </w:rPr>
        <w:t xml:space="preserve">In the present case, Defendant’s declaration in its motion for summary judgment, that its alleged acts or omissions were not the proximate cause of Plaintiff Ramon Diaz, Jr.’s injuries, was insufficient to establish a prima facie showing of entitlement to summary judgment. The affidavit of Roy Rumbaugh, the hospital administrator, tendered in support of Defendant’s motion for summary judgment did not contain any reference or statement specifically disclaiming negligence or providing a factual basis negating the existence of proximate cause on the part of the hospital staff in the care of Celia Diaz from the time of her admission until her child was delivered. Thus, the award of summary judgment in favor of Defendant was improper. Under SCRA 1986, 1-056(C) (Repl.1992), a party may move for summary judgment and is entitled </w:t>
      </w:r>
      <w:r w:rsidRPr="00A247B2">
        <w:rPr>
          <w:rFonts w:ascii="Georgia" w:eastAsia="Times New Roman" w:hAnsi="Georgia" w:cs="Times New Roman"/>
          <w:sz w:val="24"/>
          <w:szCs w:val="24"/>
          <w:lang w:eastAsia="en-GB"/>
        </w:rPr>
        <w:lastRenderedPageBreak/>
        <w:t>to such disposition “if the pleadings, depositions, answers to interrogatories and admissions on file, together with the affidavits, if any, show that there is no genuine issue as to any material fact and that the moving party is entitled to a judgment as a matter of law.” To be clear, however, contrary to Plaintiffs argument, “SCRA 1986, 1-056(C) does not require a moving party to support its motion with affidavits of medical experts or other sworn testimony affirmatively disproving [a plaintiffs] claims.” </w:t>
      </w:r>
      <w:r w:rsidRPr="00A247B2">
        <w:rPr>
          <w:rFonts w:ascii="Georgia" w:eastAsia="Times New Roman" w:hAnsi="Georgia" w:cs="Times New Roman"/>
          <w:i/>
          <w:iCs/>
          <w:sz w:val="24"/>
          <w:szCs w:val="24"/>
          <w:lang w:eastAsia="en-GB"/>
        </w:rPr>
        <w:t>Blauwkamp, </w:t>
      </w:r>
      <w:r w:rsidRPr="00A247B2">
        <w:rPr>
          <w:rFonts w:ascii="Georgia" w:eastAsia="Times New Roman" w:hAnsi="Georgia" w:cs="Times New Roman"/>
          <w:sz w:val="24"/>
          <w:szCs w:val="24"/>
          <w:lang w:eastAsia="en-GB"/>
        </w:rPr>
        <w:t>114 N.M. at 232, 836 P.2d at 1253. Nonetheless, a bare denial of proximate causation is an insufficient basis upon which to grant summary judgment and we therefore reverse the district court as to this issue.</w:t>
      </w:r>
    </w:p>
    <w:p w14:paraId="1B43D408"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While this issue is disposed of on that basis, both parties suggest that the claim of whether Defendant’s negligence proximately contributed to cause the birth defects suffered by Plaintiff is an issue controlled by the allegations contained in the complaint. This is so because none of the information contained in Roy Rumbaugh’s affidavit pertains to this issue and therefore both parties propose that the disposition of this claim should be pursuant to SCRA 1986, 1-012(B)(6) (Repl.1992). In order to demonstrate why this analysis does not produce a different result, we proceed.</w:t>
      </w:r>
    </w:p>
    <w:p w14:paraId="1B43D409" w14:textId="20B64D7B"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A motion to dismiss under SCRA 1-012(B)(6) accepts as true all well pleaded allegations of the complaint and questions only legal sufficiency of the claims. </w:t>
      </w:r>
      <w:r w:rsidRPr="004D3DD3">
        <w:rPr>
          <w:rFonts w:ascii="Georgia" w:eastAsia="Times New Roman" w:hAnsi="Georgia" w:cs="Times New Roman"/>
          <w:i/>
          <w:iCs/>
          <w:sz w:val="24"/>
          <w:szCs w:val="24"/>
          <w:lang w:eastAsia="en-GB"/>
        </w:rPr>
        <w:t>See Three Rivers Land Co. v. Maddoux, </w:t>
      </w:r>
      <w:r w:rsidRPr="004D3DD3">
        <w:rPr>
          <w:rFonts w:ascii="Georgia" w:eastAsia="Times New Roman" w:hAnsi="Georgia" w:cs="Times New Roman"/>
          <w:color w:val="007BFF"/>
          <w:sz w:val="24"/>
          <w:szCs w:val="24"/>
          <w:lang w:eastAsia="en-GB"/>
        </w:rPr>
        <w:t>98 N.M. 690</w:t>
      </w:r>
      <w:r w:rsidRPr="004D3DD3">
        <w:rPr>
          <w:rFonts w:ascii="Georgia" w:eastAsia="Times New Roman" w:hAnsi="Georgia" w:cs="Times New Roman"/>
          <w:sz w:val="24"/>
          <w:szCs w:val="24"/>
          <w:lang w:eastAsia="en-GB"/>
        </w:rPr>
        <w:t>, 692, </w:t>
      </w:r>
      <w:hyperlink r:id="rId12" w:history="1">
        <w:r w:rsidRPr="004D3DD3">
          <w:rPr>
            <w:rFonts w:ascii="Georgia" w:eastAsia="Times New Roman" w:hAnsi="Georgia" w:cs="Times New Roman"/>
            <w:color w:val="007BFF"/>
            <w:sz w:val="24"/>
            <w:szCs w:val="24"/>
            <w:lang w:eastAsia="en-GB"/>
          </w:rPr>
          <w:t>652 P.2d 240</w:t>
        </w:r>
      </w:hyperlink>
      <w:r w:rsidRPr="004D3DD3">
        <w:rPr>
          <w:rFonts w:ascii="Georgia" w:eastAsia="Times New Roman" w:hAnsi="Georgia" w:cs="Times New Roman"/>
          <w:sz w:val="24"/>
          <w:szCs w:val="24"/>
          <w:lang w:eastAsia="en-GB"/>
        </w:rPr>
        <w:t>, 242 (1982), </w:t>
      </w:r>
      <w:r w:rsidRPr="004D3DD3">
        <w:rPr>
          <w:rFonts w:ascii="Georgia" w:eastAsia="Times New Roman" w:hAnsi="Georgia" w:cs="Times New Roman"/>
          <w:i/>
          <w:iCs/>
          <w:sz w:val="24"/>
          <w:szCs w:val="24"/>
          <w:lang w:eastAsia="en-GB"/>
        </w:rPr>
        <w:t>overruled on other grounds by Universal Life Church v. Coxon, </w:t>
      </w:r>
      <w:r w:rsidRPr="004D3DD3">
        <w:rPr>
          <w:rFonts w:ascii="Georgia" w:eastAsia="Times New Roman" w:hAnsi="Georgia" w:cs="Times New Roman"/>
          <w:color w:val="007BFF"/>
          <w:sz w:val="24"/>
          <w:szCs w:val="24"/>
          <w:lang w:eastAsia="en-GB"/>
        </w:rPr>
        <w:t>105 N.M. 57</w:t>
      </w:r>
      <w:r w:rsidRPr="004D3DD3">
        <w:rPr>
          <w:rFonts w:ascii="Georgia" w:eastAsia="Times New Roman" w:hAnsi="Georgia" w:cs="Times New Roman"/>
          <w:sz w:val="24"/>
          <w:szCs w:val="24"/>
          <w:lang w:eastAsia="en-GB"/>
        </w:rPr>
        <w:t>, </w:t>
      </w:r>
      <w:hyperlink r:id="rId13" w:history="1">
        <w:r w:rsidRPr="004D3DD3">
          <w:rPr>
            <w:rFonts w:ascii="Georgia" w:eastAsia="Times New Roman" w:hAnsi="Georgia" w:cs="Times New Roman"/>
            <w:color w:val="007BFF"/>
            <w:sz w:val="24"/>
            <w:szCs w:val="24"/>
            <w:lang w:eastAsia="en-GB"/>
          </w:rPr>
          <w:t>728 P.2d 467</w:t>
        </w:r>
      </w:hyperlink>
      <w:r w:rsidRPr="004D3DD3">
        <w:rPr>
          <w:rFonts w:ascii="Georgia" w:eastAsia="Times New Roman" w:hAnsi="Georgia" w:cs="Times New Roman"/>
          <w:sz w:val="24"/>
          <w:szCs w:val="24"/>
          <w:lang w:eastAsia="en-GB"/>
        </w:rPr>
        <w:t> (1986), </w:t>
      </w:r>
      <w:r w:rsidRPr="004D3DD3">
        <w:rPr>
          <w:rFonts w:ascii="Georgia" w:eastAsia="Times New Roman" w:hAnsi="Georgia" w:cs="Times New Roman"/>
          <w:i/>
          <w:iCs/>
          <w:sz w:val="24"/>
          <w:szCs w:val="24"/>
          <w:lang w:eastAsia="en-GB"/>
        </w:rPr>
        <w:t>cert. denied, </w:t>
      </w:r>
      <w:r w:rsidRPr="004D3DD3">
        <w:rPr>
          <w:rFonts w:ascii="Georgia" w:eastAsia="Times New Roman" w:hAnsi="Georgia" w:cs="Times New Roman"/>
          <w:color w:val="007BFF"/>
          <w:sz w:val="24"/>
          <w:szCs w:val="24"/>
          <w:lang w:eastAsia="en-GB"/>
        </w:rPr>
        <w:t>482 U.S. 905</w:t>
      </w:r>
      <w:r w:rsidRPr="004D3DD3">
        <w:rPr>
          <w:rFonts w:ascii="Georgia" w:eastAsia="Times New Roman" w:hAnsi="Georgia" w:cs="Times New Roman"/>
          <w:sz w:val="24"/>
          <w:szCs w:val="24"/>
          <w:lang w:eastAsia="en-GB"/>
        </w:rPr>
        <w:t>, </w:t>
      </w:r>
      <w:hyperlink r:id="rId14" w:history="1">
        <w:r w:rsidRPr="004D3DD3">
          <w:rPr>
            <w:rFonts w:ascii="Georgia" w:eastAsia="Times New Roman" w:hAnsi="Georgia" w:cs="Times New Roman"/>
            <w:color w:val="007BFF"/>
            <w:sz w:val="24"/>
            <w:szCs w:val="24"/>
            <w:lang w:eastAsia="en-GB"/>
          </w:rPr>
          <w:t>107 S.Ct. 2482</w:t>
        </w:r>
      </w:hyperlink>
      <w:r w:rsidRPr="004D3DD3">
        <w:rPr>
          <w:rFonts w:ascii="Georgia" w:eastAsia="Times New Roman" w:hAnsi="Georgia" w:cs="Times New Roman"/>
          <w:sz w:val="24"/>
          <w:szCs w:val="24"/>
          <w:lang w:eastAsia="en-GB"/>
        </w:rPr>
        <w:t>, </w:t>
      </w:r>
      <w:r w:rsidRPr="004D3DD3">
        <w:rPr>
          <w:rFonts w:ascii="Georgia" w:eastAsia="Times New Roman" w:hAnsi="Georgia" w:cs="Times New Roman"/>
          <w:color w:val="007BFF"/>
          <w:sz w:val="24"/>
          <w:szCs w:val="24"/>
          <w:lang w:eastAsia="en-GB"/>
        </w:rPr>
        <w:t>96 L.Ed.2d 374</w:t>
      </w:r>
      <w:r w:rsidRPr="004D3DD3">
        <w:rPr>
          <w:rFonts w:ascii="Georgia" w:eastAsia="Times New Roman" w:hAnsi="Georgia" w:cs="Times New Roman"/>
          <w:sz w:val="24"/>
          <w:szCs w:val="24"/>
          <w:lang w:eastAsia="en-GB"/>
        </w:rPr>
        <w:t> (1987). A motion to dismiss under this rule should be granted only when it appears that a plaintiff cannot recover under any set of facts provable under the claim. </w:t>
      </w:r>
      <w:r w:rsidRPr="004D3DD3">
        <w:rPr>
          <w:rFonts w:ascii="Georgia" w:eastAsia="Times New Roman" w:hAnsi="Georgia" w:cs="Times New Roman"/>
          <w:i/>
          <w:iCs/>
          <w:sz w:val="24"/>
          <w:szCs w:val="24"/>
          <w:lang w:eastAsia="en-GB"/>
        </w:rPr>
        <w:t>McCormick v. United Nuclear Corp., </w:t>
      </w:r>
      <w:hyperlink r:id="rId15" w:history="1">
        <w:r w:rsidRPr="004D3DD3">
          <w:rPr>
            <w:rFonts w:ascii="Georgia" w:eastAsia="Times New Roman" w:hAnsi="Georgia" w:cs="Times New Roman"/>
            <w:color w:val="007BFF"/>
            <w:sz w:val="24"/>
            <w:szCs w:val="24"/>
            <w:lang w:eastAsia="en-GB"/>
          </w:rPr>
          <w:t>87 N.M. 274</w:t>
        </w:r>
      </w:hyperlink>
      <w:r w:rsidRPr="004D3DD3">
        <w:rPr>
          <w:rFonts w:ascii="Georgia" w:eastAsia="Times New Roman" w:hAnsi="Georgia" w:cs="Times New Roman"/>
          <w:sz w:val="24"/>
          <w:szCs w:val="24"/>
          <w:lang w:eastAsia="en-GB"/>
        </w:rPr>
        <w:t>, 275, </w:t>
      </w:r>
      <w:r w:rsidRPr="004D3DD3">
        <w:rPr>
          <w:rFonts w:ascii="Georgia" w:eastAsia="Times New Roman" w:hAnsi="Georgia" w:cs="Times New Roman"/>
          <w:color w:val="007BFF"/>
          <w:sz w:val="24"/>
          <w:szCs w:val="24"/>
          <w:lang w:eastAsia="en-GB"/>
        </w:rPr>
        <w:t>532 P.2d 203</w:t>
      </w:r>
      <w:r w:rsidRPr="004D3DD3">
        <w:rPr>
          <w:rFonts w:ascii="Georgia" w:eastAsia="Times New Roman" w:hAnsi="Georgia" w:cs="Times New Roman"/>
          <w:sz w:val="24"/>
          <w:szCs w:val="24"/>
          <w:lang w:eastAsia="en-GB"/>
        </w:rPr>
        <w:t>, 204 (Ct.App.1974); </w:t>
      </w:r>
      <w:r w:rsidRPr="004D3DD3">
        <w:rPr>
          <w:rFonts w:ascii="Georgia" w:eastAsia="Times New Roman" w:hAnsi="Georgia" w:cs="Times New Roman"/>
          <w:i/>
          <w:iCs/>
          <w:sz w:val="24"/>
          <w:szCs w:val="24"/>
          <w:lang w:eastAsia="en-GB"/>
        </w:rPr>
        <w:t>Bottijliso v. Hutchison Fruit Co., </w:t>
      </w:r>
      <w:hyperlink r:id="rId16" w:history="1">
        <w:r w:rsidRPr="004D3DD3">
          <w:rPr>
            <w:rFonts w:ascii="Georgia" w:eastAsia="Times New Roman" w:hAnsi="Georgia" w:cs="Times New Roman"/>
            <w:color w:val="007BFF"/>
            <w:sz w:val="24"/>
            <w:szCs w:val="24"/>
            <w:lang w:eastAsia="en-GB"/>
          </w:rPr>
          <w:t>96 N.M. 789</w:t>
        </w:r>
      </w:hyperlink>
      <w:r w:rsidRPr="004D3DD3">
        <w:rPr>
          <w:rFonts w:ascii="Georgia" w:eastAsia="Times New Roman" w:hAnsi="Georgia" w:cs="Times New Roman"/>
          <w:sz w:val="24"/>
          <w:szCs w:val="24"/>
          <w:lang w:eastAsia="en-GB"/>
        </w:rPr>
        <w:t>, 791, </w:t>
      </w:r>
      <w:r w:rsidRPr="004D3DD3">
        <w:rPr>
          <w:rFonts w:ascii="Georgia" w:eastAsia="Times New Roman" w:hAnsi="Georgia" w:cs="Times New Roman"/>
          <w:color w:val="007BFF"/>
          <w:sz w:val="24"/>
          <w:szCs w:val="24"/>
          <w:lang w:eastAsia="en-GB"/>
        </w:rPr>
        <w:t>635 P.2d 992</w:t>
      </w:r>
      <w:r w:rsidRPr="004D3DD3">
        <w:rPr>
          <w:rFonts w:ascii="Georgia" w:eastAsia="Times New Roman" w:hAnsi="Georgia" w:cs="Times New Roman"/>
          <w:sz w:val="24"/>
          <w:szCs w:val="24"/>
          <w:lang w:eastAsia="en-GB"/>
        </w:rPr>
        <w:t xml:space="preserve">, 994 (Ct.App.1981). </w:t>
      </w:r>
      <w:r w:rsidRPr="004D3DD3">
        <w:rPr>
          <w:rFonts w:ascii="Georgia" w:eastAsia="Times New Roman" w:hAnsi="Georgia" w:cs="Times New Roman"/>
          <w:sz w:val="24"/>
          <w:szCs w:val="24"/>
          <w:highlight w:val="green"/>
          <w:lang w:eastAsia="en-GB"/>
        </w:rPr>
        <w:t>In the present case, after accepting the allegations in Plaintiffs complaint as true, we conclude that Plaintiff has alleged a cause of action against Defendant.</w:t>
      </w:r>
    </w:p>
    <w:p w14:paraId="1B43D40A" w14:textId="4E04FE95"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In Plaintiffs complaint, one paragraph alleges a failure to recognize and treat Celia Diaz as a high-risk patient. This could refer to not only the care and treatment by the physician before admission to the hospi</w:t>
      </w:r>
      <w:hyperlink r:id="rId17" w:anchor="p389" w:history="1">
        <w:r w:rsidRPr="004D3DD3">
          <w:rPr>
            <w:rFonts w:ascii="Georgia" w:eastAsia="Times New Roman" w:hAnsi="Georgia" w:cs="Times New Roman"/>
            <w:i/>
            <w:iCs/>
            <w:color w:val="979797"/>
            <w:sz w:val="19"/>
            <w:szCs w:val="19"/>
            <w:lang w:eastAsia="en-GB"/>
          </w:rPr>
          <w:t>*389</w:t>
        </w:r>
      </w:hyperlink>
      <w:r w:rsidRPr="004D3DD3">
        <w:rPr>
          <w:rFonts w:ascii="Georgia" w:eastAsia="Times New Roman" w:hAnsi="Georgia" w:cs="Times New Roman"/>
          <w:sz w:val="24"/>
          <w:szCs w:val="24"/>
          <w:lang w:eastAsia="en-GB"/>
        </w:rPr>
        <w:t xml:space="preserve">tal, but also to the measuring, monitoring, and assessment by Defendant’s staff from the time of admission until delivery. The same reasoning applies to several subparagraphs in the complaint including one sub-paragraph alleging failure to timely consult with other physicians. </w:t>
      </w:r>
      <w:r w:rsidRPr="004D3DD3">
        <w:rPr>
          <w:rFonts w:ascii="Georgia" w:eastAsia="Times New Roman" w:hAnsi="Georgia" w:cs="Times New Roman"/>
          <w:sz w:val="24"/>
          <w:szCs w:val="24"/>
          <w:highlight w:val="green"/>
          <w:lang w:eastAsia="en-GB"/>
        </w:rPr>
        <w:t>If Celia Diaz was evidencing signs of a high-risk delivery, and the treating physician delayed in arriving at the hospital after three telephone calls, then a fact finder might consider Defendant negligent in not seeking the assistance of another physician.</w:t>
      </w:r>
      <w:r w:rsidRPr="004D3DD3">
        <w:rPr>
          <w:rFonts w:ascii="Georgia" w:eastAsia="Times New Roman" w:hAnsi="Georgia" w:cs="Times New Roman"/>
          <w:sz w:val="24"/>
          <w:szCs w:val="24"/>
          <w:lang w:eastAsia="en-GB"/>
        </w:rPr>
        <w:t> </w:t>
      </w:r>
      <w:r w:rsidRPr="004D3DD3">
        <w:rPr>
          <w:rFonts w:ascii="Georgia" w:eastAsia="Times New Roman" w:hAnsi="Georgia" w:cs="Times New Roman"/>
          <w:i/>
          <w:iCs/>
          <w:sz w:val="24"/>
          <w:szCs w:val="24"/>
          <w:lang w:eastAsia="en-GB"/>
        </w:rPr>
        <w:t>See generally </w:t>
      </w:r>
      <w:r w:rsidRPr="004D3DD3">
        <w:rPr>
          <w:rFonts w:ascii="Georgia" w:eastAsia="Times New Roman" w:hAnsi="Georgia" w:cs="Times New Roman"/>
          <w:sz w:val="24"/>
          <w:szCs w:val="24"/>
          <w:lang w:eastAsia="en-GB"/>
        </w:rPr>
        <w:t>Jay M. Zitter, Annotation, </w:t>
      </w:r>
      <w:r w:rsidRPr="004D3DD3">
        <w:rPr>
          <w:rFonts w:ascii="Georgia" w:eastAsia="Times New Roman" w:hAnsi="Georgia" w:cs="Times New Roman"/>
          <w:i/>
          <w:iCs/>
          <w:sz w:val="24"/>
          <w:szCs w:val="24"/>
          <w:lang w:eastAsia="en-GB"/>
        </w:rPr>
        <w:t>Liability of Physician, Nurse, or Hospital for Failure to Contact Physician or to Keep Physician Sufficiently Informed Concerning Status of Mother During Pregnancy, Labor and Childbirth, </w:t>
      </w:r>
      <w:r w:rsidRPr="004D3DD3">
        <w:rPr>
          <w:rFonts w:ascii="Georgia" w:eastAsia="Times New Roman" w:hAnsi="Georgia" w:cs="Times New Roman"/>
          <w:color w:val="007BFF"/>
          <w:sz w:val="24"/>
          <w:szCs w:val="24"/>
          <w:lang w:eastAsia="en-GB"/>
        </w:rPr>
        <w:t>3 A.L.R.5th 123</w:t>
      </w:r>
      <w:r w:rsidRPr="004D3DD3">
        <w:rPr>
          <w:rFonts w:ascii="Georgia" w:eastAsia="Times New Roman" w:hAnsi="Georgia" w:cs="Times New Roman"/>
          <w:sz w:val="24"/>
          <w:szCs w:val="24"/>
          <w:lang w:eastAsia="en-GB"/>
        </w:rPr>
        <w:t> (1992); Jay M. Zitter, Annotation, </w:t>
      </w:r>
      <w:r w:rsidRPr="004D3DD3">
        <w:rPr>
          <w:rFonts w:ascii="Georgia" w:eastAsia="Times New Roman" w:hAnsi="Georgia" w:cs="Times New Roman"/>
          <w:i/>
          <w:iCs/>
          <w:sz w:val="24"/>
          <w:szCs w:val="24"/>
          <w:lang w:eastAsia="en-GB"/>
        </w:rPr>
        <w:t>Liability of Hospital, Physician, or Other Medical Personnel for Death or Injury to Mother or Child Caused by Inadequate Attendance or Monitoring of Patient During and After Pregnancy, Labor, and Delivery, </w:t>
      </w:r>
      <w:hyperlink r:id="rId18" w:history="1">
        <w:r w:rsidRPr="004D3DD3">
          <w:rPr>
            <w:rFonts w:ascii="Georgia" w:eastAsia="Times New Roman" w:hAnsi="Georgia" w:cs="Times New Roman"/>
            <w:color w:val="007BFF"/>
            <w:sz w:val="24"/>
            <w:szCs w:val="24"/>
            <w:lang w:eastAsia="en-GB"/>
          </w:rPr>
          <w:t>3 A.L.R. 5th 146</w:t>
        </w:r>
      </w:hyperlink>
      <w:r w:rsidRPr="004D3DD3">
        <w:rPr>
          <w:rFonts w:ascii="Georgia" w:eastAsia="Times New Roman" w:hAnsi="Georgia" w:cs="Times New Roman"/>
          <w:sz w:val="24"/>
          <w:szCs w:val="24"/>
          <w:lang w:eastAsia="en-GB"/>
        </w:rPr>
        <w:t> (1992).</w:t>
      </w:r>
    </w:p>
    <w:p w14:paraId="1B43D40B" w14:textId="0E1252EA" w:rsidR="004D3DD3" w:rsidRPr="004D3DD3" w:rsidRDefault="004D3DD3" w:rsidP="004D3DD3">
      <w:pPr>
        <w:spacing w:before="100" w:beforeAutospacing="1" w:after="225" w:line="240" w:lineRule="auto"/>
        <w:rPr>
          <w:rFonts w:ascii="Georgia" w:eastAsia="Times New Roman" w:hAnsi="Georgia" w:cs="Times New Roman"/>
          <w:color w:val="FF0000"/>
          <w:sz w:val="24"/>
          <w:szCs w:val="24"/>
          <w:lang w:eastAsia="en-GB"/>
        </w:rPr>
      </w:pPr>
      <w:r w:rsidRPr="004D3DD3">
        <w:rPr>
          <w:rFonts w:ascii="Georgia" w:eastAsia="Times New Roman" w:hAnsi="Georgia" w:cs="Times New Roman"/>
          <w:sz w:val="24"/>
          <w:szCs w:val="24"/>
          <w:lang w:eastAsia="en-GB"/>
        </w:rPr>
        <w:t>As to proximate causation, a similar issue was raised in </w:t>
      </w:r>
      <w:r w:rsidRPr="00E47023">
        <w:rPr>
          <w:rFonts w:ascii="Georgia" w:eastAsia="Times New Roman" w:hAnsi="Georgia" w:cs="Times New Roman"/>
          <w:i/>
          <w:iCs/>
          <w:sz w:val="24"/>
          <w:szCs w:val="24"/>
          <w:highlight w:val="cyan"/>
          <w:lang w:eastAsia="en-GB"/>
        </w:rPr>
        <w:t>Lopez v. Southwest Community Health Services, </w:t>
      </w:r>
      <w:r w:rsidRPr="00E47023">
        <w:rPr>
          <w:rFonts w:ascii="Georgia" w:eastAsia="Times New Roman" w:hAnsi="Georgia" w:cs="Times New Roman"/>
          <w:color w:val="007BFF"/>
          <w:sz w:val="24"/>
          <w:szCs w:val="24"/>
          <w:highlight w:val="cyan"/>
          <w:lang w:eastAsia="en-GB"/>
        </w:rPr>
        <w:t>114 N.M. 2</w:t>
      </w:r>
      <w:r w:rsidRPr="004D3DD3">
        <w:rPr>
          <w:rFonts w:ascii="Georgia" w:eastAsia="Times New Roman" w:hAnsi="Georgia" w:cs="Times New Roman"/>
          <w:sz w:val="24"/>
          <w:szCs w:val="24"/>
          <w:highlight w:val="cyan"/>
          <w:lang w:eastAsia="en-GB"/>
        </w:rPr>
        <w:t>, 5-7, </w:t>
      </w:r>
      <w:hyperlink r:id="rId19" w:history="1">
        <w:r w:rsidRPr="00E47023">
          <w:rPr>
            <w:rFonts w:ascii="Georgia" w:eastAsia="Times New Roman" w:hAnsi="Georgia" w:cs="Times New Roman"/>
            <w:color w:val="007BFF"/>
            <w:sz w:val="24"/>
            <w:szCs w:val="24"/>
            <w:highlight w:val="cyan"/>
            <w:lang w:eastAsia="en-GB"/>
          </w:rPr>
          <w:t>833 P.2d 1183</w:t>
        </w:r>
      </w:hyperlink>
      <w:r w:rsidRPr="004D3DD3">
        <w:rPr>
          <w:rFonts w:ascii="Georgia" w:eastAsia="Times New Roman" w:hAnsi="Georgia" w:cs="Times New Roman"/>
          <w:sz w:val="24"/>
          <w:szCs w:val="24"/>
          <w:highlight w:val="cyan"/>
          <w:lang w:eastAsia="en-GB"/>
        </w:rPr>
        <w:t>, 1186-88 (Ct.App.), </w:t>
      </w:r>
      <w:r w:rsidRPr="00E47023">
        <w:rPr>
          <w:rFonts w:ascii="Georgia" w:eastAsia="Times New Roman" w:hAnsi="Georgia" w:cs="Times New Roman"/>
          <w:i/>
          <w:iCs/>
          <w:sz w:val="24"/>
          <w:szCs w:val="24"/>
          <w:highlight w:val="cyan"/>
          <w:lang w:eastAsia="en-GB"/>
        </w:rPr>
        <w:t>cert. denied, </w:t>
      </w:r>
      <w:r w:rsidRPr="00E47023">
        <w:rPr>
          <w:rFonts w:ascii="Georgia" w:eastAsia="Times New Roman" w:hAnsi="Georgia" w:cs="Times New Roman"/>
          <w:color w:val="007BFF"/>
          <w:sz w:val="24"/>
          <w:szCs w:val="24"/>
          <w:highlight w:val="cyan"/>
          <w:lang w:eastAsia="en-GB"/>
        </w:rPr>
        <w:t>113 N.M. 690</w:t>
      </w:r>
      <w:r w:rsidRPr="004D3DD3">
        <w:rPr>
          <w:rFonts w:ascii="Georgia" w:eastAsia="Times New Roman" w:hAnsi="Georgia" w:cs="Times New Roman"/>
          <w:sz w:val="24"/>
          <w:szCs w:val="24"/>
          <w:highlight w:val="cyan"/>
          <w:lang w:eastAsia="en-GB"/>
        </w:rPr>
        <w:t>, </w:t>
      </w:r>
      <w:hyperlink r:id="rId20" w:history="1">
        <w:r w:rsidRPr="00E47023">
          <w:rPr>
            <w:rFonts w:ascii="Georgia" w:eastAsia="Times New Roman" w:hAnsi="Georgia" w:cs="Times New Roman"/>
            <w:color w:val="007BFF"/>
            <w:sz w:val="24"/>
            <w:szCs w:val="24"/>
            <w:highlight w:val="cyan"/>
            <w:lang w:eastAsia="en-GB"/>
          </w:rPr>
          <w:t>831 P.2d 989</w:t>
        </w:r>
      </w:hyperlink>
      <w:r w:rsidRPr="004D3DD3">
        <w:rPr>
          <w:rFonts w:ascii="Georgia" w:eastAsia="Times New Roman" w:hAnsi="Georgia" w:cs="Times New Roman"/>
          <w:sz w:val="24"/>
          <w:szCs w:val="24"/>
          <w:highlight w:val="cyan"/>
          <w:lang w:eastAsia="en-GB"/>
        </w:rPr>
        <w:t> (1992)</w:t>
      </w:r>
      <w:r w:rsidRPr="004D3DD3">
        <w:rPr>
          <w:rFonts w:ascii="Georgia" w:eastAsia="Times New Roman" w:hAnsi="Georgia" w:cs="Times New Roman"/>
          <w:sz w:val="24"/>
          <w:szCs w:val="24"/>
          <w:lang w:eastAsia="en-GB"/>
        </w:rPr>
        <w:t>. Although the facts are somewhat different, the principles announced in that decision make clear that a hospital has a duty with respect to a patient, independent of a physician, particularly prior to the arrival of the physician. </w:t>
      </w:r>
      <w:r w:rsidRPr="004D3DD3">
        <w:rPr>
          <w:rFonts w:ascii="Georgia" w:eastAsia="Times New Roman" w:hAnsi="Georgia" w:cs="Times New Roman"/>
          <w:i/>
          <w:iCs/>
          <w:sz w:val="24"/>
          <w:szCs w:val="24"/>
          <w:lang w:eastAsia="en-GB"/>
        </w:rPr>
        <w:t>See id. </w:t>
      </w:r>
      <w:r w:rsidRPr="004D3DD3">
        <w:rPr>
          <w:rFonts w:ascii="Georgia" w:eastAsia="Times New Roman" w:hAnsi="Georgia" w:cs="Times New Roman"/>
          <w:sz w:val="24"/>
          <w:szCs w:val="24"/>
          <w:lang w:eastAsia="en-GB"/>
        </w:rPr>
        <w:t xml:space="preserve">In the present case, the </w:t>
      </w:r>
      <w:r w:rsidRPr="004D3DD3">
        <w:rPr>
          <w:rFonts w:ascii="Georgia" w:eastAsia="Times New Roman" w:hAnsi="Georgia" w:cs="Times New Roman"/>
          <w:sz w:val="24"/>
          <w:szCs w:val="24"/>
          <w:highlight w:val="green"/>
          <w:lang w:eastAsia="en-GB"/>
        </w:rPr>
        <w:t>patient was admitted at 8:30 a.m., and the treating physician did not arrive at the hospital until 12:15 p.m., almost four hours later. During that period of time, Defendant assumed the care of the patient, and was required to exercise appropriate care consistent with that duty. We believe the allegations in Plaintiffs’ complaint sufficiently allege facts that, if proven, would establish negligence and proximate cause.</w:t>
      </w:r>
    </w:p>
    <w:p w14:paraId="1B43D40C"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Negligence as to Staff Privileges</w:t>
      </w:r>
    </w:p>
    <w:p w14:paraId="1B43D40D"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Plaintiff argues that the district court improperly granted summary judgment as to whether Defendant negligently permitted the treating physician staff privileges at the hospital. Specifically, Plaintiff contests the </w:t>
      </w:r>
      <w:r w:rsidRPr="005830C9">
        <w:rPr>
          <w:rFonts w:ascii="Georgia" w:eastAsia="Times New Roman" w:hAnsi="Georgia" w:cs="Times New Roman"/>
          <w:i/>
          <w:iCs/>
          <w:sz w:val="24"/>
          <w:szCs w:val="24"/>
          <w:lang w:eastAsia="en-GB"/>
        </w:rPr>
        <w:t>form </w:t>
      </w:r>
      <w:r w:rsidRPr="004D3DD3">
        <w:rPr>
          <w:rFonts w:ascii="Georgia" w:eastAsia="Times New Roman" w:hAnsi="Georgia" w:cs="Times New Roman"/>
          <w:sz w:val="24"/>
          <w:szCs w:val="24"/>
          <w:lang w:eastAsia="en-GB"/>
        </w:rPr>
        <w:t>and substance of Mr. Rumbaugh’s affidavit. Plaintiff argues that the affidavit is an insufficient basis upon which to grant summary judgment because of its “conclusory form which did not meet the evidentiary requirements required of an expert.” We disagree.</w:t>
      </w:r>
    </w:p>
    <w:p w14:paraId="1B43D40E" w14:textId="5275889E"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A247B2">
        <w:rPr>
          <w:rFonts w:ascii="Georgia" w:eastAsia="Times New Roman" w:hAnsi="Georgia" w:cs="Times New Roman"/>
          <w:sz w:val="24"/>
          <w:szCs w:val="24"/>
          <w:lang w:eastAsia="en-GB"/>
        </w:rPr>
        <w:t xml:space="preserve">Mr. Rumbaugh’s affidavit, submitted as administrator of the hospital, reveals that the </w:t>
      </w:r>
      <w:r w:rsidRPr="00A247B2">
        <w:rPr>
          <w:rFonts w:ascii="Georgia" w:eastAsia="Times New Roman" w:hAnsi="Georgia" w:cs="Times New Roman"/>
          <w:sz w:val="24"/>
          <w:szCs w:val="24"/>
          <w:highlight w:val="yellow"/>
          <w:lang w:eastAsia="en-GB"/>
        </w:rPr>
        <w:t>treating physician was not an employee of the hospital and that Defendant had no notice of complaints or malpractice actions filed against him.</w:t>
      </w:r>
      <w:r w:rsidRPr="004D3DD3">
        <w:rPr>
          <w:rFonts w:ascii="Georgia" w:eastAsia="Times New Roman" w:hAnsi="Georgia" w:cs="Times New Roman"/>
          <w:sz w:val="24"/>
          <w:szCs w:val="24"/>
          <w:lang w:eastAsia="en-GB"/>
        </w:rPr>
        <w:t xml:space="preserve"> In addition, the affidavit reveals that </w:t>
      </w:r>
      <w:r w:rsidRPr="00A247B2">
        <w:rPr>
          <w:rFonts w:ascii="Georgia" w:eastAsia="Times New Roman" w:hAnsi="Georgia" w:cs="Times New Roman"/>
          <w:sz w:val="24"/>
          <w:szCs w:val="24"/>
          <w:highlight w:val="yellow"/>
          <w:lang w:eastAsia="en-GB"/>
        </w:rPr>
        <w:t>Defendant was unaware of any facts to indicate that the treating physician was incompetent to practice medicine.</w:t>
      </w:r>
      <w:r w:rsidRPr="004D3DD3">
        <w:rPr>
          <w:rFonts w:ascii="Georgia" w:eastAsia="Times New Roman" w:hAnsi="Georgia" w:cs="Times New Roman"/>
          <w:sz w:val="24"/>
          <w:szCs w:val="24"/>
          <w:lang w:eastAsia="en-GB"/>
        </w:rPr>
        <w:t xml:space="preserve"> </w:t>
      </w:r>
      <w:r w:rsidRPr="00A247B2">
        <w:rPr>
          <w:rFonts w:ascii="Georgia" w:eastAsia="Times New Roman" w:hAnsi="Georgia" w:cs="Times New Roman"/>
          <w:sz w:val="24"/>
          <w:szCs w:val="24"/>
          <w:lang w:eastAsia="en-GB"/>
        </w:rPr>
        <w:t>We conclude this information sufficient to establish a prima facie case for summary judgment on the claim of whether Defendant was negligent in granting the treating physician hospital privileges. </w:t>
      </w:r>
      <w:r w:rsidRPr="00A247B2">
        <w:rPr>
          <w:rFonts w:ascii="Georgia" w:eastAsia="Times New Roman" w:hAnsi="Georgia" w:cs="Times New Roman"/>
          <w:i/>
          <w:iCs/>
          <w:sz w:val="24"/>
          <w:szCs w:val="24"/>
          <w:lang w:eastAsia="en-GB"/>
        </w:rPr>
        <w:t>See</w:t>
      </w:r>
      <w:r w:rsidRPr="005830C9">
        <w:rPr>
          <w:rFonts w:ascii="Georgia" w:eastAsia="Times New Roman" w:hAnsi="Georgia" w:cs="Times New Roman"/>
          <w:i/>
          <w:iCs/>
          <w:sz w:val="24"/>
          <w:szCs w:val="24"/>
          <w:lang w:eastAsia="en-GB"/>
        </w:rPr>
        <w:t xml:space="preserve"> </w:t>
      </w:r>
      <w:r w:rsidRPr="005830C9">
        <w:rPr>
          <w:rFonts w:ascii="Georgia" w:eastAsia="Times New Roman" w:hAnsi="Georgia" w:cs="Times New Roman"/>
          <w:i/>
          <w:iCs/>
          <w:sz w:val="24"/>
          <w:szCs w:val="24"/>
          <w:highlight w:val="cyan"/>
          <w:lang w:eastAsia="en-GB"/>
        </w:rPr>
        <w:t>Goodman v. Brock, </w:t>
      </w:r>
      <w:r w:rsidRPr="005830C9">
        <w:rPr>
          <w:rFonts w:ascii="Georgia" w:eastAsia="Times New Roman" w:hAnsi="Georgia" w:cs="Times New Roman"/>
          <w:sz w:val="24"/>
          <w:szCs w:val="24"/>
          <w:highlight w:val="cyan"/>
          <w:lang w:eastAsia="en-GB"/>
        </w:rPr>
        <w:t>83 N.M. 789</w:t>
      </w:r>
      <w:r w:rsidRPr="004D3DD3">
        <w:rPr>
          <w:rFonts w:ascii="Georgia" w:eastAsia="Times New Roman" w:hAnsi="Georgia" w:cs="Times New Roman"/>
          <w:sz w:val="24"/>
          <w:szCs w:val="24"/>
          <w:highlight w:val="cyan"/>
          <w:lang w:eastAsia="en-GB"/>
        </w:rPr>
        <w:t>, 792, </w:t>
      </w:r>
      <w:hyperlink r:id="rId21" w:history="1">
        <w:r w:rsidRPr="005830C9">
          <w:rPr>
            <w:rFonts w:ascii="Georgia" w:eastAsia="Times New Roman" w:hAnsi="Georgia" w:cs="Times New Roman"/>
            <w:sz w:val="24"/>
            <w:szCs w:val="24"/>
            <w:highlight w:val="cyan"/>
            <w:lang w:eastAsia="en-GB"/>
          </w:rPr>
          <w:t>498 P.2d 676</w:t>
        </w:r>
      </w:hyperlink>
      <w:r w:rsidRPr="004D3DD3">
        <w:rPr>
          <w:rFonts w:ascii="Georgia" w:eastAsia="Times New Roman" w:hAnsi="Georgia" w:cs="Times New Roman"/>
          <w:sz w:val="24"/>
          <w:szCs w:val="24"/>
          <w:highlight w:val="cyan"/>
          <w:lang w:eastAsia="en-GB"/>
        </w:rPr>
        <w:t>, 679 (1972)</w:t>
      </w:r>
      <w:r w:rsidRPr="004D3DD3">
        <w:rPr>
          <w:rFonts w:ascii="Georgia" w:eastAsia="Times New Roman" w:hAnsi="Georgia" w:cs="Times New Roman"/>
          <w:sz w:val="24"/>
          <w:szCs w:val="24"/>
          <w:lang w:eastAsia="en-GB"/>
        </w:rPr>
        <w:t>. “Once the </w:t>
      </w:r>
      <w:r w:rsidRPr="005830C9">
        <w:rPr>
          <w:rFonts w:ascii="Georgia" w:eastAsia="Times New Roman" w:hAnsi="Georgia" w:cs="Times New Roman"/>
          <w:i/>
          <w:iCs/>
          <w:sz w:val="24"/>
          <w:szCs w:val="24"/>
          <w:lang w:eastAsia="en-GB"/>
        </w:rPr>
        <w:t>moving </w:t>
      </w:r>
      <w:r w:rsidRPr="004D3DD3">
        <w:rPr>
          <w:rFonts w:ascii="Georgia" w:eastAsia="Times New Roman" w:hAnsi="Georgia" w:cs="Times New Roman"/>
          <w:sz w:val="24"/>
          <w:szCs w:val="24"/>
          <w:lang w:eastAsia="en-GB"/>
        </w:rPr>
        <w:t>party makes a prima facie showing, it is incumbent on the party opposing the motion to demonstrate the existence of a triable issue.” </w:t>
      </w:r>
      <w:r w:rsidRPr="005830C9">
        <w:rPr>
          <w:rFonts w:ascii="Georgia" w:eastAsia="Times New Roman" w:hAnsi="Georgia" w:cs="Times New Roman"/>
          <w:i/>
          <w:iCs/>
          <w:sz w:val="24"/>
          <w:szCs w:val="24"/>
          <w:highlight w:val="cyan"/>
          <w:lang w:eastAsia="en-GB"/>
        </w:rPr>
        <w:t>Schmidt, </w:t>
      </w:r>
      <w:r w:rsidRPr="004D3DD3">
        <w:rPr>
          <w:rFonts w:ascii="Georgia" w:eastAsia="Times New Roman" w:hAnsi="Georgia" w:cs="Times New Roman"/>
          <w:sz w:val="24"/>
          <w:szCs w:val="24"/>
          <w:highlight w:val="cyan"/>
          <w:lang w:eastAsia="en-GB"/>
        </w:rPr>
        <w:t>105 N.M. at 683, 736 P.2d at 137</w:t>
      </w:r>
      <w:r w:rsidRPr="004D3DD3">
        <w:rPr>
          <w:rFonts w:ascii="Georgia" w:eastAsia="Times New Roman" w:hAnsi="Georgia" w:cs="Times New Roman"/>
          <w:sz w:val="24"/>
          <w:szCs w:val="24"/>
          <w:lang w:eastAsia="en-GB"/>
        </w:rPr>
        <w:t xml:space="preserve">. </w:t>
      </w:r>
      <w:r w:rsidRPr="00A247B2">
        <w:rPr>
          <w:rFonts w:ascii="Georgia" w:eastAsia="Times New Roman" w:hAnsi="Georgia" w:cs="Times New Roman"/>
          <w:sz w:val="24"/>
          <w:szCs w:val="24"/>
          <w:lang w:eastAsia="en-GB"/>
        </w:rPr>
        <w:t>Because Plaintiff failed to rebut Defendant’s showing, summary judgment on this claim was appropriate.</w:t>
      </w:r>
    </w:p>
    <w:p w14:paraId="1B43D40F" w14:textId="2CD5E2C8"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highlight w:val="yellow"/>
          <w:lang w:eastAsia="en-GB"/>
        </w:rPr>
        <w:t>As both parties agree</w:t>
      </w:r>
      <w:r w:rsidRPr="004D3DD3">
        <w:rPr>
          <w:rFonts w:ascii="Georgia" w:eastAsia="Times New Roman" w:hAnsi="Georgia" w:cs="Times New Roman"/>
          <w:sz w:val="24"/>
          <w:szCs w:val="24"/>
          <w:lang w:eastAsia="en-GB"/>
        </w:rPr>
        <w:t xml:space="preserve">, it is beyond question </w:t>
      </w:r>
      <w:r w:rsidRPr="004D3DD3">
        <w:rPr>
          <w:rFonts w:ascii="Georgia" w:eastAsia="Times New Roman" w:hAnsi="Georgia" w:cs="Times New Roman"/>
          <w:sz w:val="24"/>
          <w:szCs w:val="24"/>
          <w:highlight w:val="yellow"/>
          <w:lang w:eastAsia="en-GB"/>
        </w:rPr>
        <w:t>in New Mexico</w:t>
      </w:r>
      <w:r w:rsidRPr="004D3DD3">
        <w:rPr>
          <w:rFonts w:ascii="Georgia" w:eastAsia="Times New Roman" w:hAnsi="Georgia" w:cs="Times New Roman"/>
          <w:sz w:val="24"/>
          <w:szCs w:val="24"/>
          <w:lang w:eastAsia="en-GB"/>
        </w:rPr>
        <w:t xml:space="preserve"> that </w:t>
      </w:r>
      <w:r w:rsidRPr="004D3DD3">
        <w:rPr>
          <w:rFonts w:ascii="Georgia" w:eastAsia="Times New Roman" w:hAnsi="Georgia" w:cs="Times New Roman"/>
          <w:sz w:val="24"/>
          <w:szCs w:val="24"/>
          <w:highlight w:val="yellow"/>
          <w:lang w:eastAsia="en-GB"/>
        </w:rPr>
        <w:t>a hospital owes an independent duty of care to patients at the hospital</w:t>
      </w:r>
      <w:r w:rsidRPr="004D3DD3">
        <w:rPr>
          <w:rFonts w:ascii="Georgia" w:eastAsia="Times New Roman" w:hAnsi="Georgia" w:cs="Times New Roman"/>
          <w:sz w:val="24"/>
          <w:szCs w:val="24"/>
          <w:lang w:eastAsia="en-GB"/>
        </w:rPr>
        <w:t>. </w:t>
      </w:r>
      <w:r w:rsidRPr="004D3DD3">
        <w:rPr>
          <w:rFonts w:ascii="Georgia" w:eastAsia="Times New Roman" w:hAnsi="Georgia" w:cs="Times New Roman"/>
          <w:i/>
          <w:iCs/>
          <w:sz w:val="24"/>
          <w:szCs w:val="24"/>
          <w:lang w:eastAsia="en-GB"/>
        </w:rPr>
        <w:t>See Reynolds v. Swigert, </w:t>
      </w:r>
      <w:r w:rsidRPr="004D3DD3">
        <w:rPr>
          <w:rFonts w:ascii="Georgia" w:eastAsia="Times New Roman" w:hAnsi="Georgia" w:cs="Times New Roman"/>
          <w:color w:val="007BFF"/>
          <w:sz w:val="24"/>
          <w:szCs w:val="24"/>
          <w:lang w:eastAsia="en-GB"/>
        </w:rPr>
        <w:t>102 N.M. 504</w:t>
      </w:r>
      <w:r w:rsidRPr="004D3DD3">
        <w:rPr>
          <w:rFonts w:ascii="Georgia" w:eastAsia="Times New Roman" w:hAnsi="Georgia" w:cs="Times New Roman"/>
          <w:sz w:val="24"/>
          <w:szCs w:val="24"/>
          <w:lang w:eastAsia="en-GB"/>
        </w:rPr>
        <w:t>, 509, </w:t>
      </w:r>
      <w:hyperlink r:id="rId22" w:history="1">
        <w:r w:rsidRPr="004D3DD3">
          <w:rPr>
            <w:rFonts w:ascii="Georgia" w:eastAsia="Times New Roman" w:hAnsi="Georgia" w:cs="Times New Roman"/>
            <w:color w:val="007BFF"/>
            <w:sz w:val="24"/>
            <w:szCs w:val="24"/>
            <w:lang w:eastAsia="en-GB"/>
          </w:rPr>
          <w:t>697 P.2d 504</w:t>
        </w:r>
      </w:hyperlink>
      <w:r w:rsidRPr="004D3DD3">
        <w:rPr>
          <w:rFonts w:ascii="Georgia" w:eastAsia="Times New Roman" w:hAnsi="Georgia" w:cs="Times New Roman"/>
          <w:sz w:val="24"/>
          <w:szCs w:val="24"/>
          <w:lang w:eastAsia="en-GB"/>
        </w:rPr>
        <w:t>, 509 (Ct.App.1984) ce</w:t>
      </w:r>
      <w:r w:rsidRPr="004D3DD3">
        <w:rPr>
          <w:rFonts w:ascii="Georgia" w:eastAsia="Times New Roman" w:hAnsi="Georgia" w:cs="Times New Roman"/>
          <w:i/>
          <w:iCs/>
          <w:sz w:val="24"/>
          <w:szCs w:val="24"/>
          <w:lang w:eastAsia="en-GB"/>
        </w:rPr>
        <w:t>rt. quashed </w:t>
      </w:r>
      <w:r w:rsidRPr="004D3DD3">
        <w:rPr>
          <w:rFonts w:ascii="Georgia" w:eastAsia="Times New Roman" w:hAnsi="Georgia" w:cs="Times New Roman"/>
          <w:sz w:val="24"/>
          <w:szCs w:val="24"/>
          <w:lang w:eastAsia="en-GB"/>
        </w:rPr>
        <w:t>(N.M. April 1, 1985); </w:t>
      </w:r>
      <w:r w:rsidRPr="004D3DD3">
        <w:rPr>
          <w:rFonts w:ascii="Georgia" w:eastAsia="Times New Roman" w:hAnsi="Georgia" w:cs="Times New Roman"/>
          <w:i/>
          <w:iCs/>
          <w:sz w:val="24"/>
          <w:szCs w:val="24"/>
          <w:lang w:eastAsia="en-GB"/>
        </w:rPr>
        <w:t>Westbrook v. Lea Gen. Hospital, </w:t>
      </w:r>
      <w:r w:rsidRPr="004D3DD3">
        <w:rPr>
          <w:rFonts w:ascii="Georgia" w:eastAsia="Times New Roman" w:hAnsi="Georgia" w:cs="Times New Roman"/>
          <w:color w:val="007BFF"/>
          <w:sz w:val="24"/>
          <w:szCs w:val="24"/>
          <w:lang w:eastAsia="en-GB"/>
        </w:rPr>
        <w:t>85 N.M. 191</w:t>
      </w:r>
      <w:r w:rsidRPr="004D3DD3">
        <w:rPr>
          <w:rFonts w:ascii="Georgia" w:eastAsia="Times New Roman" w:hAnsi="Georgia" w:cs="Times New Roman"/>
          <w:sz w:val="24"/>
          <w:szCs w:val="24"/>
          <w:lang w:eastAsia="en-GB"/>
        </w:rPr>
        <w:t>, 194, </w:t>
      </w:r>
      <w:hyperlink r:id="rId23" w:history="1">
        <w:r w:rsidRPr="004D3DD3">
          <w:rPr>
            <w:rFonts w:ascii="Georgia" w:eastAsia="Times New Roman" w:hAnsi="Georgia" w:cs="Times New Roman"/>
            <w:color w:val="007BFF"/>
            <w:sz w:val="24"/>
            <w:szCs w:val="24"/>
            <w:lang w:eastAsia="en-GB"/>
          </w:rPr>
          <w:t>510 P.2d 515</w:t>
        </w:r>
      </w:hyperlink>
      <w:r w:rsidRPr="004D3DD3">
        <w:rPr>
          <w:rFonts w:ascii="Georgia" w:eastAsia="Times New Roman" w:hAnsi="Georgia" w:cs="Times New Roman"/>
          <w:sz w:val="24"/>
          <w:szCs w:val="24"/>
          <w:lang w:eastAsia="en-GB"/>
        </w:rPr>
        <w:t>, 518 (Ct.App.), </w:t>
      </w:r>
      <w:r w:rsidRPr="004D3DD3">
        <w:rPr>
          <w:rFonts w:ascii="Georgia" w:eastAsia="Times New Roman" w:hAnsi="Georgia" w:cs="Times New Roman"/>
          <w:i/>
          <w:iCs/>
          <w:sz w:val="24"/>
          <w:szCs w:val="24"/>
          <w:lang w:eastAsia="en-GB"/>
        </w:rPr>
        <w:t>cert. denied, </w:t>
      </w:r>
      <w:r w:rsidRPr="004D3DD3">
        <w:rPr>
          <w:rFonts w:ascii="Georgia" w:eastAsia="Times New Roman" w:hAnsi="Georgia" w:cs="Times New Roman"/>
          <w:color w:val="007BFF"/>
          <w:sz w:val="24"/>
          <w:szCs w:val="24"/>
          <w:lang w:eastAsia="en-GB"/>
        </w:rPr>
        <w:t>85 N.M. 228</w:t>
      </w:r>
      <w:r w:rsidRPr="004D3DD3">
        <w:rPr>
          <w:rFonts w:ascii="Georgia" w:eastAsia="Times New Roman" w:hAnsi="Georgia" w:cs="Times New Roman"/>
          <w:sz w:val="24"/>
          <w:szCs w:val="24"/>
          <w:lang w:eastAsia="en-GB"/>
        </w:rPr>
        <w:t>, </w:t>
      </w:r>
      <w:hyperlink r:id="rId24" w:history="1">
        <w:r w:rsidRPr="004D3DD3">
          <w:rPr>
            <w:rFonts w:ascii="Georgia" w:eastAsia="Times New Roman" w:hAnsi="Georgia" w:cs="Times New Roman"/>
            <w:color w:val="007BFF"/>
            <w:sz w:val="24"/>
            <w:szCs w:val="24"/>
            <w:lang w:eastAsia="en-GB"/>
          </w:rPr>
          <w:t>511 P.2d 554</w:t>
        </w:r>
      </w:hyperlink>
      <w:r w:rsidRPr="004D3DD3">
        <w:rPr>
          <w:rFonts w:ascii="Georgia" w:eastAsia="Times New Roman" w:hAnsi="Georgia" w:cs="Times New Roman"/>
          <w:sz w:val="24"/>
          <w:szCs w:val="24"/>
          <w:lang w:eastAsia="en-GB"/>
        </w:rPr>
        <w:t> (1973). Moreover, the doctrine of corporate negligence, imposing liability on a hospital for the negligent granting of staff privileges or the negligent supervision of treatment, was acknowledged in New Mexico in </w:t>
      </w:r>
      <w:r w:rsidRPr="004D3DD3">
        <w:rPr>
          <w:rFonts w:ascii="Georgia" w:eastAsia="Times New Roman" w:hAnsi="Georgia" w:cs="Times New Roman"/>
          <w:i/>
          <w:iCs/>
          <w:sz w:val="24"/>
          <w:szCs w:val="24"/>
          <w:lang w:eastAsia="en-GB"/>
        </w:rPr>
        <w:t>Cooper v. Curry, </w:t>
      </w:r>
      <w:r w:rsidRPr="004D3DD3">
        <w:rPr>
          <w:rFonts w:ascii="Georgia" w:eastAsia="Times New Roman" w:hAnsi="Georgia" w:cs="Times New Roman"/>
          <w:color w:val="007BFF"/>
          <w:sz w:val="24"/>
          <w:szCs w:val="24"/>
          <w:lang w:eastAsia="en-GB"/>
        </w:rPr>
        <w:t>92 N.M. 417</w:t>
      </w:r>
      <w:r w:rsidRPr="004D3DD3">
        <w:rPr>
          <w:rFonts w:ascii="Georgia" w:eastAsia="Times New Roman" w:hAnsi="Georgia" w:cs="Times New Roman"/>
          <w:sz w:val="24"/>
          <w:szCs w:val="24"/>
          <w:lang w:eastAsia="en-GB"/>
        </w:rPr>
        <w:t>, 420, </w:t>
      </w:r>
      <w:hyperlink r:id="rId25" w:history="1">
        <w:r w:rsidRPr="004D3DD3">
          <w:rPr>
            <w:rFonts w:ascii="Georgia" w:eastAsia="Times New Roman" w:hAnsi="Georgia" w:cs="Times New Roman"/>
            <w:color w:val="007BFF"/>
            <w:sz w:val="24"/>
            <w:szCs w:val="24"/>
            <w:lang w:eastAsia="en-GB"/>
          </w:rPr>
          <w:t>589 P.2d 201</w:t>
        </w:r>
      </w:hyperlink>
      <w:r w:rsidRPr="004D3DD3">
        <w:rPr>
          <w:rFonts w:ascii="Georgia" w:eastAsia="Times New Roman" w:hAnsi="Georgia" w:cs="Times New Roman"/>
          <w:sz w:val="24"/>
          <w:szCs w:val="24"/>
          <w:lang w:eastAsia="en-GB"/>
        </w:rPr>
        <w:t>, 204 (Ct.App.), </w:t>
      </w:r>
      <w:r w:rsidRPr="004D3DD3">
        <w:rPr>
          <w:rFonts w:ascii="Georgia" w:eastAsia="Times New Roman" w:hAnsi="Georgia" w:cs="Times New Roman"/>
          <w:i/>
          <w:iCs/>
          <w:sz w:val="24"/>
          <w:szCs w:val="24"/>
          <w:lang w:eastAsia="en-GB"/>
        </w:rPr>
        <w:t>cert. quashed, </w:t>
      </w:r>
      <w:r w:rsidRPr="004D3DD3">
        <w:rPr>
          <w:rFonts w:ascii="Georgia" w:eastAsia="Times New Roman" w:hAnsi="Georgia" w:cs="Times New Roman"/>
          <w:color w:val="007BFF"/>
          <w:sz w:val="24"/>
          <w:szCs w:val="24"/>
          <w:lang w:eastAsia="en-GB"/>
        </w:rPr>
        <w:t>92 N.M. 353</w:t>
      </w:r>
      <w:r w:rsidRPr="004D3DD3">
        <w:rPr>
          <w:rFonts w:ascii="Georgia" w:eastAsia="Times New Roman" w:hAnsi="Georgia" w:cs="Times New Roman"/>
          <w:sz w:val="24"/>
          <w:szCs w:val="24"/>
          <w:lang w:eastAsia="en-GB"/>
        </w:rPr>
        <w:t>, </w:t>
      </w:r>
      <w:hyperlink r:id="rId26" w:history="1">
        <w:r w:rsidRPr="004D3DD3">
          <w:rPr>
            <w:rFonts w:ascii="Georgia" w:eastAsia="Times New Roman" w:hAnsi="Georgia" w:cs="Times New Roman"/>
            <w:color w:val="007BFF"/>
            <w:sz w:val="24"/>
            <w:szCs w:val="24"/>
            <w:lang w:eastAsia="en-GB"/>
          </w:rPr>
          <w:t>588 P.2d 554</w:t>
        </w:r>
      </w:hyperlink>
      <w:r w:rsidRPr="004D3DD3">
        <w:rPr>
          <w:rFonts w:ascii="Georgia" w:eastAsia="Times New Roman" w:hAnsi="Georgia" w:cs="Times New Roman"/>
          <w:sz w:val="24"/>
          <w:szCs w:val="24"/>
          <w:lang w:eastAsia="en-GB"/>
        </w:rPr>
        <w:t> (1978); </w:t>
      </w:r>
      <w:r w:rsidRPr="004D3DD3">
        <w:rPr>
          <w:rFonts w:ascii="Georgia" w:eastAsia="Times New Roman" w:hAnsi="Georgia" w:cs="Times New Roman"/>
          <w:i/>
          <w:iCs/>
          <w:sz w:val="24"/>
          <w:szCs w:val="24"/>
          <w:lang w:eastAsia="en-GB"/>
        </w:rPr>
        <w:t>see also Johnson v. Sears, Roebuck &amp; Co., </w:t>
      </w:r>
      <w:r w:rsidRPr="004D3DD3">
        <w:rPr>
          <w:rFonts w:ascii="Georgia" w:eastAsia="Times New Roman" w:hAnsi="Georgia" w:cs="Times New Roman"/>
          <w:color w:val="007BFF"/>
          <w:sz w:val="24"/>
          <w:szCs w:val="24"/>
          <w:lang w:eastAsia="en-GB"/>
        </w:rPr>
        <w:t>113 N.M. 736</w:t>
      </w:r>
      <w:r w:rsidRPr="004D3DD3">
        <w:rPr>
          <w:rFonts w:ascii="Georgia" w:eastAsia="Times New Roman" w:hAnsi="Georgia" w:cs="Times New Roman"/>
          <w:sz w:val="24"/>
          <w:szCs w:val="24"/>
          <w:lang w:eastAsia="en-GB"/>
        </w:rPr>
        <w:t>, 739, </w:t>
      </w:r>
      <w:hyperlink r:id="rId27" w:history="1">
        <w:r w:rsidRPr="004D3DD3">
          <w:rPr>
            <w:rFonts w:ascii="Georgia" w:eastAsia="Times New Roman" w:hAnsi="Georgia" w:cs="Times New Roman"/>
            <w:color w:val="007BFF"/>
            <w:sz w:val="24"/>
            <w:szCs w:val="24"/>
            <w:lang w:eastAsia="en-GB"/>
          </w:rPr>
          <w:t>832 P.2d 797</w:t>
        </w:r>
      </w:hyperlink>
      <w:r w:rsidRPr="004D3DD3">
        <w:rPr>
          <w:rFonts w:ascii="Georgia" w:eastAsia="Times New Roman" w:hAnsi="Georgia" w:cs="Times New Roman"/>
          <w:sz w:val="24"/>
          <w:szCs w:val="24"/>
          <w:lang w:eastAsia="en-GB"/>
        </w:rPr>
        <w:t>, 800 (Ct.App.), </w:t>
      </w:r>
      <w:r w:rsidRPr="004D3DD3">
        <w:rPr>
          <w:rFonts w:ascii="Georgia" w:eastAsia="Times New Roman" w:hAnsi="Georgia" w:cs="Times New Roman"/>
          <w:i/>
          <w:iCs/>
          <w:sz w:val="24"/>
          <w:szCs w:val="24"/>
          <w:lang w:eastAsia="en-GB"/>
        </w:rPr>
        <w:t>cert. denied, </w:t>
      </w:r>
      <w:r w:rsidRPr="004D3DD3">
        <w:rPr>
          <w:rFonts w:ascii="Georgia" w:eastAsia="Times New Roman" w:hAnsi="Georgia" w:cs="Times New Roman"/>
          <w:color w:val="007BFF"/>
          <w:sz w:val="24"/>
          <w:szCs w:val="24"/>
          <w:lang w:eastAsia="en-GB"/>
        </w:rPr>
        <w:t>113 N.M. 744</w:t>
      </w:r>
      <w:r w:rsidRPr="004D3DD3">
        <w:rPr>
          <w:rFonts w:ascii="Georgia" w:eastAsia="Times New Roman" w:hAnsi="Georgia" w:cs="Times New Roman"/>
          <w:sz w:val="24"/>
          <w:szCs w:val="24"/>
          <w:lang w:eastAsia="en-GB"/>
        </w:rPr>
        <w:t>, </w:t>
      </w:r>
      <w:hyperlink r:id="rId28" w:history="1">
        <w:r w:rsidRPr="004D3DD3">
          <w:rPr>
            <w:rFonts w:ascii="Georgia" w:eastAsia="Times New Roman" w:hAnsi="Georgia" w:cs="Times New Roman"/>
            <w:color w:val="007BFF"/>
            <w:sz w:val="24"/>
            <w:szCs w:val="24"/>
            <w:lang w:eastAsia="en-GB"/>
          </w:rPr>
          <w:t>832 P.2d 1223</w:t>
        </w:r>
      </w:hyperlink>
      <w:r w:rsidRPr="004D3DD3">
        <w:rPr>
          <w:rFonts w:ascii="Georgia" w:eastAsia="Times New Roman" w:hAnsi="Georgia" w:cs="Times New Roman"/>
          <w:sz w:val="24"/>
          <w:szCs w:val="24"/>
          <w:lang w:eastAsia="en-GB"/>
        </w:rPr>
        <w:t> (1992). However, no New Mexico case has addressed the issue of under what circumstances an injured party may </w:t>
      </w:r>
      <w:r w:rsidRPr="004D3DD3">
        <w:rPr>
          <w:rFonts w:ascii="Georgia" w:eastAsia="Times New Roman" w:hAnsi="Georgia" w:cs="Times New Roman"/>
          <w:i/>
          <w:iCs/>
          <w:color w:val="979797"/>
          <w:sz w:val="19"/>
          <w:szCs w:val="19"/>
          <w:lang w:eastAsia="en-GB"/>
        </w:rPr>
        <w:t>*390</w:t>
      </w:r>
      <w:r w:rsidRPr="004D3DD3">
        <w:rPr>
          <w:rFonts w:ascii="Georgia" w:eastAsia="Times New Roman" w:hAnsi="Georgia" w:cs="Times New Roman"/>
          <w:sz w:val="24"/>
          <w:szCs w:val="24"/>
          <w:lang w:eastAsia="en-GB"/>
        </w:rPr>
        <w:t>invoke liability against a hospital for granting staff privileges or credentials to a physician.</w:t>
      </w:r>
    </w:p>
    <w:p w14:paraId="1B43D410" w14:textId="2A91FCC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In order to make a prima facie showing that a hospital negligently granted hospital staff privileges to a physician, or negligently retained a staff member, a plaintiff must establish that the hospital negligently failed to screen the competency of the individual, or that it negligently retained a staff member after it knew or should have known of matters involving the general competency of such individual. </w:t>
      </w:r>
      <w:r w:rsidRPr="004D3DD3">
        <w:rPr>
          <w:rFonts w:ascii="Georgia" w:eastAsia="Times New Roman" w:hAnsi="Georgia" w:cs="Times New Roman"/>
          <w:i/>
          <w:iCs/>
          <w:sz w:val="24"/>
          <w:szCs w:val="24"/>
          <w:lang w:eastAsia="en-GB"/>
        </w:rPr>
        <w:t xml:space="preserve">See </w:t>
      </w:r>
      <w:r w:rsidRPr="005830C9">
        <w:rPr>
          <w:rFonts w:ascii="Georgia" w:eastAsia="Times New Roman" w:hAnsi="Georgia" w:cs="Times New Roman"/>
          <w:i/>
          <w:iCs/>
          <w:sz w:val="24"/>
          <w:szCs w:val="24"/>
          <w:highlight w:val="cyan"/>
          <w:lang w:eastAsia="en-GB"/>
        </w:rPr>
        <w:t>Elam v. College Park Hospital, </w:t>
      </w:r>
      <w:hyperlink r:id="rId29" w:history="1">
        <w:r w:rsidRPr="005830C9">
          <w:rPr>
            <w:rFonts w:ascii="Georgia" w:eastAsia="Times New Roman" w:hAnsi="Georgia" w:cs="Times New Roman"/>
            <w:color w:val="007BFF"/>
            <w:sz w:val="24"/>
            <w:szCs w:val="24"/>
            <w:highlight w:val="cyan"/>
            <w:lang w:eastAsia="en-GB"/>
          </w:rPr>
          <w:t>132 Cal.App.3d 332</w:t>
        </w:r>
      </w:hyperlink>
      <w:r w:rsidRPr="004D3DD3">
        <w:rPr>
          <w:rFonts w:ascii="Georgia" w:eastAsia="Times New Roman" w:hAnsi="Georgia" w:cs="Times New Roman"/>
          <w:sz w:val="24"/>
          <w:szCs w:val="24"/>
          <w:highlight w:val="cyan"/>
          <w:lang w:eastAsia="en-GB"/>
        </w:rPr>
        <w:t>, </w:t>
      </w:r>
      <w:r w:rsidRPr="005830C9">
        <w:rPr>
          <w:rFonts w:ascii="Georgia" w:eastAsia="Times New Roman" w:hAnsi="Georgia" w:cs="Times New Roman"/>
          <w:color w:val="007BFF"/>
          <w:sz w:val="24"/>
          <w:szCs w:val="24"/>
          <w:highlight w:val="cyan"/>
          <w:lang w:eastAsia="en-GB"/>
        </w:rPr>
        <w:t>183 Cal.Rptr. 156</w:t>
      </w:r>
      <w:r w:rsidRPr="004D3DD3">
        <w:rPr>
          <w:rFonts w:ascii="Georgia" w:eastAsia="Times New Roman" w:hAnsi="Georgia" w:cs="Times New Roman"/>
          <w:sz w:val="24"/>
          <w:szCs w:val="24"/>
          <w:highlight w:val="cyan"/>
          <w:lang w:eastAsia="en-GB"/>
        </w:rPr>
        <w:t>, 165 (Ct.App.1982)</w:t>
      </w:r>
      <w:r w:rsidRPr="004D3DD3">
        <w:rPr>
          <w:rFonts w:ascii="Georgia" w:eastAsia="Times New Roman" w:hAnsi="Georgia" w:cs="Times New Roman"/>
          <w:sz w:val="24"/>
          <w:szCs w:val="24"/>
          <w:lang w:eastAsia="en-GB"/>
        </w:rPr>
        <w:t xml:space="preserve"> (“[A] hospital is accountable for negligently screening the competency of its medical staff to insure the adequacy of medical care rendered to patients at its facility.”); </w:t>
      </w:r>
      <w:r w:rsidRPr="005830C9">
        <w:rPr>
          <w:rFonts w:ascii="Georgia" w:eastAsia="Times New Roman" w:hAnsi="Georgia" w:cs="Times New Roman"/>
          <w:i/>
          <w:iCs/>
          <w:sz w:val="24"/>
          <w:szCs w:val="24"/>
          <w:highlight w:val="cyan"/>
          <w:lang w:eastAsia="en-GB"/>
        </w:rPr>
        <w:t>Pedroza v. Bryant, </w:t>
      </w:r>
      <w:hyperlink r:id="rId30" w:history="1">
        <w:r w:rsidRPr="005830C9">
          <w:rPr>
            <w:rFonts w:ascii="Georgia" w:eastAsia="Times New Roman" w:hAnsi="Georgia" w:cs="Times New Roman"/>
            <w:color w:val="007BFF"/>
            <w:sz w:val="24"/>
            <w:szCs w:val="24"/>
            <w:highlight w:val="cyan"/>
            <w:lang w:eastAsia="en-GB"/>
          </w:rPr>
          <w:t>101 Wash.2d 226</w:t>
        </w:r>
      </w:hyperlink>
      <w:r w:rsidRPr="004D3DD3">
        <w:rPr>
          <w:rFonts w:ascii="Georgia" w:eastAsia="Times New Roman" w:hAnsi="Georgia" w:cs="Times New Roman"/>
          <w:sz w:val="24"/>
          <w:szCs w:val="24"/>
          <w:highlight w:val="cyan"/>
          <w:lang w:eastAsia="en-GB"/>
        </w:rPr>
        <w:t>, </w:t>
      </w:r>
      <w:r w:rsidRPr="005830C9">
        <w:rPr>
          <w:rFonts w:ascii="Georgia" w:eastAsia="Times New Roman" w:hAnsi="Georgia" w:cs="Times New Roman"/>
          <w:color w:val="007BFF"/>
          <w:sz w:val="24"/>
          <w:szCs w:val="24"/>
          <w:highlight w:val="cyan"/>
          <w:lang w:eastAsia="en-GB"/>
        </w:rPr>
        <w:t>677 P.2d 166</w:t>
      </w:r>
      <w:r w:rsidRPr="004D3DD3">
        <w:rPr>
          <w:rFonts w:ascii="Georgia" w:eastAsia="Times New Roman" w:hAnsi="Georgia" w:cs="Times New Roman"/>
          <w:sz w:val="24"/>
          <w:szCs w:val="24"/>
          <w:highlight w:val="cyan"/>
          <w:lang w:eastAsia="en-GB"/>
        </w:rPr>
        <w:t>, 171-72 (1984)</w:t>
      </w:r>
      <w:r w:rsidRPr="004D3DD3">
        <w:rPr>
          <w:rFonts w:ascii="Georgia" w:eastAsia="Times New Roman" w:hAnsi="Georgia" w:cs="Times New Roman"/>
          <w:sz w:val="24"/>
          <w:szCs w:val="24"/>
          <w:lang w:eastAsia="en-GB"/>
        </w:rPr>
        <w:t xml:space="preserve"> (en banc) (pertinent inquiry into the doctrine of corporate negligence “focuses on the procedures for the granting and renewal of staff privileges____”); </w:t>
      </w:r>
      <w:r w:rsidRPr="004D3DD3">
        <w:rPr>
          <w:rFonts w:ascii="Georgia" w:eastAsia="Times New Roman" w:hAnsi="Georgia" w:cs="Times New Roman"/>
          <w:i/>
          <w:iCs/>
          <w:sz w:val="24"/>
          <w:szCs w:val="24"/>
          <w:lang w:eastAsia="en-GB"/>
        </w:rPr>
        <w:t xml:space="preserve">see also </w:t>
      </w:r>
      <w:r w:rsidRPr="005830C9">
        <w:rPr>
          <w:rFonts w:ascii="Georgia" w:eastAsia="Times New Roman" w:hAnsi="Georgia" w:cs="Times New Roman"/>
          <w:i/>
          <w:iCs/>
          <w:sz w:val="24"/>
          <w:szCs w:val="24"/>
          <w:highlight w:val="cyan"/>
          <w:lang w:eastAsia="en-GB"/>
        </w:rPr>
        <w:t>Purcell v. Zimbelman, </w:t>
      </w:r>
      <w:hyperlink r:id="rId31" w:history="1">
        <w:r w:rsidRPr="005830C9">
          <w:rPr>
            <w:rFonts w:ascii="Georgia" w:eastAsia="Times New Roman" w:hAnsi="Georgia" w:cs="Times New Roman"/>
            <w:color w:val="007BFF"/>
            <w:sz w:val="24"/>
            <w:szCs w:val="24"/>
            <w:highlight w:val="cyan"/>
            <w:lang w:eastAsia="en-GB"/>
          </w:rPr>
          <w:t>18 Ariz.App. 75</w:t>
        </w:r>
      </w:hyperlink>
      <w:r w:rsidRPr="004D3DD3">
        <w:rPr>
          <w:rFonts w:ascii="Georgia" w:eastAsia="Times New Roman" w:hAnsi="Georgia" w:cs="Times New Roman"/>
          <w:sz w:val="24"/>
          <w:szCs w:val="24"/>
          <w:highlight w:val="cyan"/>
          <w:lang w:eastAsia="en-GB"/>
        </w:rPr>
        <w:t>, </w:t>
      </w:r>
      <w:r w:rsidRPr="005830C9">
        <w:rPr>
          <w:rFonts w:ascii="Georgia" w:eastAsia="Times New Roman" w:hAnsi="Georgia" w:cs="Times New Roman"/>
          <w:color w:val="007BFF"/>
          <w:sz w:val="24"/>
          <w:szCs w:val="24"/>
          <w:highlight w:val="cyan"/>
          <w:lang w:eastAsia="en-GB"/>
        </w:rPr>
        <w:t>500 P.2d 335</w:t>
      </w:r>
      <w:r w:rsidRPr="004D3DD3">
        <w:rPr>
          <w:rFonts w:ascii="Georgia" w:eastAsia="Times New Roman" w:hAnsi="Georgia" w:cs="Times New Roman"/>
          <w:sz w:val="24"/>
          <w:szCs w:val="24"/>
          <w:highlight w:val="cyan"/>
          <w:lang w:eastAsia="en-GB"/>
        </w:rPr>
        <w:t>, 344 (Ct.1972)</w:t>
      </w:r>
      <w:r w:rsidRPr="004D3DD3">
        <w:rPr>
          <w:rFonts w:ascii="Georgia" w:eastAsia="Times New Roman" w:hAnsi="Georgia" w:cs="Times New Roman"/>
          <w:sz w:val="24"/>
          <w:szCs w:val="24"/>
          <w:lang w:eastAsia="en-GB"/>
        </w:rPr>
        <w:t xml:space="preserve"> (evidence of prior medical malpractice litigation against surgeon admissible against hospital on question of notice as to type of operation or ailment treated, and as to general competency of surgeon to continue as member of hospital staff).</w:t>
      </w:r>
    </w:p>
    <w:p w14:paraId="1B43D411"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1473CC">
        <w:rPr>
          <w:rFonts w:ascii="Georgia" w:eastAsia="Times New Roman" w:hAnsi="Georgia" w:cs="Times New Roman"/>
          <w:sz w:val="24"/>
          <w:szCs w:val="24"/>
          <w:lang w:eastAsia="en-GB"/>
        </w:rPr>
        <w:t xml:space="preserve">These cases indicate that </w:t>
      </w:r>
      <w:r w:rsidRPr="004D3DD3">
        <w:rPr>
          <w:rFonts w:ascii="Georgia" w:eastAsia="Times New Roman" w:hAnsi="Georgia" w:cs="Times New Roman"/>
          <w:sz w:val="24"/>
          <w:szCs w:val="24"/>
          <w:highlight w:val="green"/>
          <w:lang w:eastAsia="en-GB"/>
        </w:rPr>
        <w:t>Defendant would have to have had prior notice as to the treating physician’s lack of competency before it could be held hable in either granting or continuing hospital staff privileges. In the present case, Defendant has no such knowledge, and Plaintiff has not shown such to exist.</w:t>
      </w:r>
      <w:r w:rsidRPr="00A247B2">
        <w:rPr>
          <w:rFonts w:ascii="Georgia" w:eastAsia="Times New Roman" w:hAnsi="Georgia" w:cs="Times New Roman"/>
          <w:sz w:val="24"/>
          <w:szCs w:val="24"/>
          <w:lang w:eastAsia="en-GB"/>
        </w:rPr>
        <w:t xml:space="preserve"> </w:t>
      </w:r>
      <w:r w:rsidRPr="00A247B2">
        <w:rPr>
          <w:rFonts w:ascii="Georgia" w:eastAsia="Times New Roman" w:hAnsi="Georgia" w:cs="Times New Roman"/>
          <w:sz w:val="24"/>
          <w:szCs w:val="24"/>
          <w:highlight w:val="red"/>
          <w:lang w:eastAsia="en-GB"/>
        </w:rPr>
        <w:t>Therefore, summary judgment as to this issue was proper.</w:t>
      </w:r>
    </w:p>
    <w:p w14:paraId="1B43D412"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CONCLUSION</w:t>
      </w:r>
    </w:p>
    <w:p w14:paraId="1B43D413"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 xml:space="preserve">For the reasons discussed above, we </w:t>
      </w:r>
      <w:r w:rsidRPr="004D3DD3">
        <w:rPr>
          <w:rFonts w:ascii="Georgia" w:eastAsia="Times New Roman" w:hAnsi="Georgia" w:cs="Times New Roman"/>
          <w:sz w:val="24"/>
          <w:szCs w:val="24"/>
          <w:highlight w:val="red"/>
          <w:lang w:eastAsia="en-GB"/>
        </w:rPr>
        <w:t>reverse the district court’s granting of summary judgment</w:t>
      </w:r>
      <w:r w:rsidRPr="004D3DD3">
        <w:rPr>
          <w:rFonts w:ascii="Georgia" w:eastAsia="Times New Roman" w:hAnsi="Georgia" w:cs="Times New Roman"/>
          <w:sz w:val="24"/>
          <w:szCs w:val="24"/>
          <w:lang w:eastAsia="en-GB"/>
        </w:rPr>
        <w:t xml:space="preserve"> in favor of Defendant Mimbres Memorial Hospital and Nursing Home </w:t>
      </w:r>
      <w:r w:rsidRPr="004D3DD3">
        <w:rPr>
          <w:rFonts w:ascii="Georgia" w:eastAsia="Times New Roman" w:hAnsi="Georgia" w:cs="Times New Roman"/>
          <w:sz w:val="24"/>
          <w:szCs w:val="24"/>
          <w:highlight w:val="red"/>
          <w:lang w:eastAsia="en-GB"/>
        </w:rPr>
        <w:t>as to the negligence claim against Defendant pertaining to the care of Celia Diaz prior to the delivery of the child</w:t>
      </w:r>
      <w:r w:rsidRPr="004D3DD3">
        <w:rPr>
          <w:rFonts w:ascii="Georgia" w:eastAsia="Times New Roman" w:hAnsi="Georgia" w:cs="Times New Roman"/>
          <w:sz w:val="24"/>
          <w:szCs w:val="24"/>
          <w:lang w:eastAsia="en-GB"/>
        </w:rPr>
        <w:t xml:space="preserve">, and </w:t>
      </w:r>
      <w:r w:rsidRPr="004D3DD3">
        <w:rPr>
          <w:rFonts w:ascii="Georgia" w:eastAsia="Times New Roman" w:hAnsi="Georgia" w:cs="Times New Roman"/>
          <w:sz w:val="24"/>
          <w:szCs w:val="24"/>
          <w:highlight w:val="red"/>
          <w:lang w:eastAsia="en-GB"/>
        </w:rPr>
        <w:t>we affirm the district court’s granting of summary judgment as to the negligence claim against Defendant for granting staff privileges to the treating physician</w:t>
      </w:r>
      <w:r w:rsidRPr="004D3DD3">
        <w:rPr>
          <w:rFonts w:ascii="Georgia" w:eastAsia="Times New Roman" w:hAnsi="Georgia" w:cs="Times New Roman"/>
          <w:sz w:val="24"/>
          <w:szCs w:val="24"/>
          <w:lang w:eastAsia="en-GB"/>
        </w:rPr>
        <w:t xml:space="preserve"> involved in this action. Although requested, oral argument is deemed unnecessary. Plaintiff shall recover his costs on appeal.</w:t>
      </w:r>
    </w:p>
    <w:p w14:paraId="1B43D414" w14:textId="77777777" w:rsidR="004D3DD3" w:rsidRP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IT IS SO ORDERED.</w:t>
      </w:r>
    </w:p>
    <w:p w14:paraId="1B43D415" w14:textId="77777777" w:rsidR="004D3DD3" w:rsidRDefault="004D3DD3" w:rsidP="004D3DD3">
      <w:pPr>
        <w:spacing w:before="100" w:beforeAutospacing="1" w:after="225" w:line="240" w:lineRule="auto"/>
        <w:rPr>
          <w:rFonts w:ascii="Georgia" w:eastAsia="Times New Roman" w:hAnsi="Georgia" w:cs="Times New Roman"/>
          <w:sz w:val="24"/>
          <w:szCs w:val="24"/>
          <w:lang w:eastAsia="en-GB"/>
        </w:rPr>
      </w:pPr>
      <w:r w:rsidRPr="004D3DD3">
        <w:rPr>
          <w:rFonts w:ascii="Georgia" w:eastAsia="Times New Roman" w:hAnsi="Georgia" w:cs="Times New Roman"/>
          <w:sz w:val="24"/>
          <w:szCs w:val="24"/>
          <w:lang w:eastAsia="en-GB"/>
        </w:rPr>
        <w:t>DONNELLY and BIVINS, JJ., concur.</w:t>
      </w:r>
    </w:p>
    <w:p w14:paraId="1B43D416" w14:textId="77777777" w:rsidR="003F59D1" w:rsidRDefault="003F59D1" w:rsidP="004D3DD3">
      <w:pPr>
        <w:spacing w:before="100" w:beforeAutospacing="1" w:after="225" w:line="240" w:lineRule="auto"/>
        <w:rPr>
          <w:rFonts w:ascii="Georgia" w:eastAsia="Times New Roman" w:hAnsi="Georgia" w:cs="Times New Roman"/>
          <w:sz w:val="24"/>
          <w:szCs w:val="24"/>
          <w:lang w:eastAsia="en-GB"/>
        </w:rPr>
      </w:pPr>
    </w:p>
    <w:p w14:paraId="1B43D417" w14:textId="77777777" w:rsidR="003F59D1" w:rsidRDefault="003F59D1" w:rsidP="004D3DD3">
      <w:pPr>
        <w:spacing w:before="100" w:beforeAutospacing="1" w:after="225" w:line="240" w:lineRule="auto"/>
        <w:rPr>
          <w:rFonts w:ascii="Georgia" w:eastAsia="Times New Roman" w:hAnsi="Georgia" w:cs="Times New Roman"/>
          <w:sz w:val="24"/>
          <w:szCs w:val="24"/>
          <w:lang w:eastAsia="en-GB"/>
        </w:rPr>
      </w:pPr>
    </w:p>
    <w:p w14:paraId="1B43D418" w14:textId="77777777" w:rsidR="003F59D1" w:rsidRPr="009456D4" w:rsidRDefault="003F59D1" w:rsidP="003F59D1">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B43D419" w14:textId="77777777" w:rsidR="005830C9" w:rsidRPr="004D3DD3" w:rsidRDefault="00425231" w:rsidP="008E4E3B">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8"/>
          <w:szCs w:val="24"/>
          <w:lang w:eastAsia="en-GB"/>
        </w:rPr>
        <w:t>Case concerns two key claims. Claim 1:</w:t>
      </w:r>
      <w:r w:rsidR="005830C9">
        <w:rPr>
          <w:rFonts w:ascii="Georgia" w:eastAsia="Times New Roman" w:hAnsi="Georgia" w:cs="Times New Roman"/>
          <w:sz w:val="28"/>
          <w:szCs w:val="24"/>
          <w:lang w:eastAsia="en-GB"/>
        </w:rPr>
        <w:t xml:space="preserve"> whether a hospital was negligent in the care of a </w:t>
      </w:r>
      <w:r>
        <w:rPr>
          <w:rFonts w:ascii="Georgia" w:eastAsia="Times New Roman" w:hAnsi="Georgia" w:cs="Times New Roman"/>
          <w:sz w:val="28"/>
          <w:szCs w:val="24"/>
          <w:lang w:eastAsia="en-GB"/>
        </w:rPr>
        <w:t xml:space="preserve">mother in labour. Claim 2: </w:t>
      </w:r>
      <w:r w:rsidR="005830C9">
        <w:rPr>
          <w:rFonts w:ascii="Georgia" w:eastAsia="Times New Roman" w:hAnsi="Georgia" w:cs="Times New Roman"/>
          <w:sz w:val="28"/>
          <w:szCs w:val="24"/>
          <w:lang w:eastAsia="en-GB"/>
        </w:rPr>
        <w:t>whether the hospital was negligent in granting staff privil</w:t>
      </w:r>
      <w:r w:rsidR="008E4E3B">
        <w:rPr>
          <w:rFonts w:ascii="Georgia" w:eastAsia="Times New Roman" w:hAnsi="Georgia" w:cs="Times New Roman"/>
          <w:sz w:val="28"/>
          <w:szCs w:val="24"/>
          <w:lang w:eastAsia="en-GB"/>
        </w:rPr>
        <w:t xml:space="preserve">eges to the treating physician. Court held claim </w:t>
      </w:r>
      <w:r>
        <w:rPr>
          <w:rFonts w:ascii="Georgia" w:eastAsia="Times New Roman" w:hAnsi="Georgia" w:cs="Times New Roman"/>
          <w:sz w:val="28"/>
          <w:szCs w:val="24"/>
          <w:lang w:eastAsia="en-GB"/>
        </w:rPr>
        <w:t xml:space="preserve">1 </w:t>
      </w:r>
      <w:r w:rsidR="008E4E3B">
        <w:rPr>
          <w:rFonts w:ascii="Georgia" w:eastAsia="Times New Roman" w:hAnsi="Georgia" w:cs="Times New Roman"/>
          <w:sz w:val="28"/>
          <w:szCs w:val="24"/>
          <w:lang w:eastAsia="en-GB"/>
        </w:rPr>
        <w:t xml:space="preserve">had merit (and so reversed summary judgment), but claim </w:t>
      </w:r>
      <w:r>
        <w:rPr>
          <w:rFonts w:ascii="Georgia" w:eastAsia="Times New Roman" w:hAnsi="Georgia" w:cs="Times New Roman"/>
          <w:sz w:val="28"/>
          <w:szCs w:val="24"/>
          <w:lang w:eastAsia="en-GB"/>
        </w:rPr>
        <w:t xml:space="preserve">2 </w:t>
      </w:r>
      <w:r w:rsidR="008E4E3B">
        <w:rPr>
          <w:rFonts w:ascii="Georgia" w:eastAsia="Times New Roman" w:hAnsi="Georgia" w:cs="Times New Roman"/>
          <w:sz w:val="28"/>
          <w:szCs w:val="24"/>
          <w:lang w:eastAsia="en-GB"/>
        </w:rPr>
        <w:t xml:space="preserve">was rejected for lack of evidence. </w:t>
      </w:r>
    </w:p>
    <w:p w14:paraId="1B43D41A" w14:textId="77777777" w:rsidR="003F59D1" w:rsidRPr="004D3DD3" w:rsidRDefault="003F59D1" w:rsidP="004D3DD3">
      <w:pPr>
        <w:spacing w:before="100" w:beforeAutospacing="1" w:after="225" w:line="240" w:lineRule="auto"/>
        <w:rPr>
          <w:rFonts w:ascii="Georgia" w:eastAsia="Times New Roman" w:hAnsi="Georgia" w:cs="Times New Roman"/>
          <w:sz w:val="24"/>
          <w:szCs w:val="24"/>
          <w:lang w:eastAsia="en-GB"/>
        </w:rPr>
      </w:pPr>
    </w:p>
    <w:sectPr w:rsidR="003F59D1" w:rsidRPr="004D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DD3"/>
    <w:rsid w:val="000A426C"/>
    <w:rsid w:val="001473CC"/>
    <w:rsid w:val="002F420C"/>
    <w:rsid w:val="0036748D"/>
    <w:rsid w:val="0037447D"/>
    <w:rsid w:val="003C7770"/>
    <w:rsid w:val="003F179B"/>
    <w:rsid w:val="003F59D1"/>
    <w:rsid w:val="00425231"/>
    <w:rsid w:val="004D3DD3"/>
    <w:rsid w:val="005830C9"/>
    <w:rsid w:val="00687EA3"/>
    <w:rsid w:val="007B22D2"/>
    <w:rsid w:val="007E015A"/>
    <w:rsid w:val="008E4E3B"/>
    <w:rsid w:val="00913436"/>
    <w:rsid w:val="00A247B2"/>
    <w:rsid w:val="00E47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D3F5"/>
  <w15:docId w15:val="{B5B44AC8-4864-4FF7-81B1-16D59ACD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D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DD3"/>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4D3DD3"/>
  </w:style>
  <w:style w:type="character" w:customStyle="1" w:styleId="court-name">
    <w:name w:val="court-name"/>
    <w:basedOn w:val="DefaultParagraphFont"/>
    <w:rsid w:val="004D3DD3"/>
  </w:style>
  <w:style w:type="character" w:customStyle="1" w:styleId="docket-number">
    <w:name w:val="docket-number"/>
    <w:basedOn w:val="DefaultParagraphFont"/>
    <w:rsid w:val="004D3DD3"/>
  </w:style>
  <w:style w:type="character" w:customStyle="1" w:styleId="case-name-v">
    <w:name w:val="case-name-v"/>
    <w:basedOn w:val="DefaultParagraphFont"/>
    <w:rsid w:val="004D3DD3"/>
  </w:style>
  <w:style w:type="paragraph" w:customStyle="1" w:styleId="citation">
    <w:name w:val="citation"/>
    <w:basedOn w:val="Normal"/>
    <w:rsid w:val="004D3D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4D3D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4D3D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D3DD3"/>
    <w:rPr>
      <w:color w:val="0000FF"/>
      <w:u w:val="single"/>
    </w:rPr>
  </w:style>
  <w:style w:type="paragraph" w:styleId="NormalWeb">
    <w:name w:val="Normal (Web)"/>
    <w:basedOn w:val="Normal"/>
    <w:uiPriority w:val="99"/>
    <w:semiHidden/>
    <w:unhideWhenUsed/>
    <w:rsid w:val="004D3D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D3DD3"/>
    <w:rPr>
      <w:i/>
      <w:iCs/>
    </w:rPr>
  </w:style>
  <w:style w:type="paragraph" w:customStyle="1" w:styleId="author">
    <w:name w:val="author"/>
    <w:basedOn w:val="Normal"/>
    <w:rsid w:val="004D3D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4D3DD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861198">
      <w:bodyDiv w:val="1"/>
      <w:marLeft w:val="0"/>
      <w:marRight w:val="0"/>
      <w:marTop w:val="0"/>
      <w:marBottom w:val="0"/>
      <w:divBdr>
        <w:top w:val="none" w:sz="0" w:space="0" w:color="auto"/>
        <w:left w:val="none" w:sz="0" w:space="0" w:color="auto"/>
        <w:bottom w:val="none" w:sz="0" w:space="0" w:color="auto"/>
        <w:right w:val="none" w:sz="0" w:space="0" w:color="auto"/>
      </w:divBdr>
      <w:divsChild>
        <w:div w:id="171720719">
          <w:marLeft w:val="0"/>
          <w:marRight w:val="0"/>
          <w:marTop w:val="0"/>
          <w:marBottom w:val="0"/>
          <w:divBdr>
            <w:top w:val="none" w:sz="0" w:space="0" w:color="auto"/>
            <w:left w:val="none" w:sz="0" w:space="0" w:color="auto"/>
            <w:bottom w:val="none" w:sz="0" w:space="0" w:color="auto"/>
            <w:right w:val="none" w:sz="0" w:space="0" w:color="auto"/>
          </w:divBdr>
        </w:div>
        <w:div w:id="488056193">
          <w:marLeft w:val="0"/>
          <w:marRight w:val="0"/>
          <w:marTop w:val="0"/>
          <w:marBottom w:val="0"/>
          <w:divBdr>
            <w:top w:val="none" w:sz="0" w:space="0" w:color="auto"/>
            <w:left w:val="none" w:sz="0" w:space="0" w:color="auto"/>
            <w:bottom w:val="none" w:sz="0" w:space="0" w:color="auto"/>
            <w:right w:val="none" w:sz="0" w:space="0" w:color="auto"/>
          </w:divBdr>
        </w:div>
        <w:div w:id="610667780">
          <w:marLeft w:val="0"/>
          <w:marRight w:val="0"/>
          <w:marTop w:val="0"/>
          <w:marBottom w:val="0"/>
          <w:divBdr>
            <w:top w:val="none" w:sz="0" w:space="0" w:color="auto"/>
            <w:left w:val="none" w:sz="0" w:space="0" w:color="auto"/>
            <w:bottom w:val="none" w:sz="0" w:space="0" w:color="auto"/>
            <w:right w:val="none" w:sz="0" w:space="0" w:color="auto"/>
          </w:divBdr>
          <w:divsChild>
            <w:div w:id="1689409773">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728/467/" TargetMode="External"/><Relationship Id="rId18" Type="http://schemas.openxmlformats.org/officeDocument/2006/relationships/hyperlink" Target="https://cite.case.law/alr-5th/3/146/" TargetMode="External"/><Relationship Id="rId26" Type="http://schemas.openxmlformats.org/officeDocument/2006/relationships/hyperlink" Target="https://cite.case.law/p2d/588/554/" TargetMode="External"/><Relationship Id="rId3" Type="http://schemas.openxmlformats.org/officeDocument/2006/relationships/webSettings" Target="webSettings.xml"/><Relationship Id="rId21" Type="http://schemas.openxmlformats.org/officeDocument/2006/relationships/hyperlink" Target="https://cite.case.law/p2d/498/676/" TargetMode="External"/><Relationship Id="rId7" Type="http://schemas.openxmlformats.org/officeDocument/2006/relationships/hyperlink" Target="https://cite.case.law/p2d/835/80/" TargetMode="External"/><Relationship Id="rId12" Type="http://schemas.openxmlformats.org/officeDocument/2006/relationships/hyperlink" Target="https://cite.case.law/p2d/652/240/" TargetMode="External"/><Relationship Id="rId17" Type="http://schemas.openxmlformats.org/officeDocument/2006/relationships/hyperlink" Target="https://cite.case.law/nm/118/385/" TargetMode="External"/><Relationship Id="rId25" Type="http://schemas.openxmlformats.org/officeDocument/2006/relationships/hyperlink" Target="https://cite.case.law/p2d/589/201/"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nm/96/789/" TargetMode="External"/><Relationship Id="rId20" Type="http://schemas.openxmlformats.org/officeDocument/2006/relationships/hyperlink" Target="https://cite.case.law/p2d/831/989/" TargetMode="External"/><Relationship Id="rId29" Type="http://schemas.openxmlformats.org/officeDocument/2006/relationships/hyperlink" Target="https://cite.case.law/calapp3d/132/332/" TargetMode="External"/><Relationship Id="rId1" Type="http://schemas.openxmlformats.org/officeDocument/2006/relationships/styles" Target="styles.xml"/><Relationship Id="rId6" Type="http://schemas.openxmlformats.org/officeDocument/2006/relationships/hyperlink" Target="https://cite.case.law/p2d/836/1249/" TargetMode="External"/><Relationship Id="rId11" Type="http://schemas.openxmlformats.org/officeDocument/2006/relationships/hyperlink" Target="https://cite.case.law/p2d/499/355/" TargetMode="External"/><Relationship Id="rId24" Type="http://schemas.openxmlformats.org/officeDocument/2006/relationships/hyperlink" Target="https://cite.case.law/p2d/511/554/" TargetMode="External"/><Relationship Id="rId32" Type="http://schemas.openxmlformats.org/officeDocument/2006/relationships/fontTable" Target="fontTable.xml"/><Relationship Id="rId5" Type="http://schemas.openxmlformats.org/officeDocument/2006/relationships/hyperlink" Target="https://cite.case.law/nm/118/385/" TargetMode="External"/><Relationship Id="rId15" Type="http://schemas.openxmlformats.org/officeDocument/2006/relationships/hyperlink" Target="https://cite.case.law/nm/87/274/" TargetMode="External"/><Relationship Id="rId23" Type="http://schemas.openxmlformats.org/officeDocument/2006/relationships/hyperlink" Target="https://cite.case.law/p2d/510/515/" TargetMode="External"/><Relationship Id="rId28" Type="http://schemas.openxmlformats.org/officeDocument/2006/relationships/hyperlink" Target="https://cite.case.law/p2d/832/1223/" TargetMode="External"/><Relationship Id="rId10" Type="http://schemas.openxmlformats.org/officeDocument/2006/relationships/hyperlink" Target="https://cite.case.law/p2d/499/368/" TargetMode="External"/><Relationship Id="rId19" Type="http://schemas.openxmlformats.org/officeDocument/2006/relationships/hyperlink" Target="https://cite.case.law/p2d/833/1183/" TargetMode="External"/><Relationship Id="rId31" Type="http://schemas.openxmlformats.org/officeDocument/2006/relationships/hyperlink" Target="https://cite.case.law/arizapp/18/75/" TargetMode="External"/><Relationship Id="rId4" Type="http://schemas.openxmlformats.org/officeDocument/2006/relationships/hyperlink" Target="https://cite.case.law/nm/68/97/" TargetMode="External"/><Relationship Id="rId9" Type="http://schemas.openxmlformats.org/officeDocument/2006/relationships/hyperlink" Target="https://cite.case.law/p2d/736/135/" TargetMode="External"/><Relationship Id="rId14" Type="http://schemas.openxmlformats.org/officeDocument/2006/relationships/hyperlink" Target="https://cite.case.law/sct/107/2482/" TargetMode="External"/><Relationship Id="rId22" Type="http://schemas.openxmlformats.org/officeDocument/2006/relationships/hyperlink" Target="https://cite.case.law/p2d/697/504/" TargetMode="External"/><Relationship Id="rId27" Type="http://schemas.openxmlformats.org/officeDocument/2006/relationships/hyperlink" Target="https://cite.case.law/p2d/832/797/" TargetMode="External"/><Relationship Id="rId30" Type="http://schemas.openxmlformats.org/officeDocument/2006/relationships/hyperlink" Target="https://cite.case.law/wash2d/101/226/" TargetMode="External"/><Relationship Id="rId8" Type="http://schemas.openxmlformats.org/officeDocument/2006/relationships/hyperlink" Target="https://cite.case.law/p2d/389/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2024-09-17T13:05:00Z</dcterms:created>
  <dcterms:modified xsi:type="dcterms:W3CDTF">2024-09-17T13:05:00Z</dcterms:modified>
</cp:coreProperties>
</file>