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8B3C6" w14:textId="77777777" w:rsidR="00481FE5" w:rsidRPr="00481FE5" w:rsidRDefault="00481FE5" w:rsidP="00481FE5">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481FE5">
        <w:rPr>
          <w:rFonts w:ascii="Times New Roman" w:eastAsia="Times New Roman" w:hAnsi="Times New Roman" w:cs="Times New Roman"/>
          <w:b/>
          <w:bCs/>
          <w:color w:val="2F2F2F"/>
          <w:spacing w:val="3"/>
          <w:kern w:val="36"/>
          <w:sz w:val="35"/>
          <w:szCs w:val="35"/>
          <w:lang w:eastAsia="en-GB"/>
        </w:rPr>
        <w:t>Roderick v. Lake, 108 N.M. 696, 778 P.2d 443 (1989)</w:t>
      </w:r>
    </w:p>
    <w:p w14:paraId="1DA8B3C7" w14:textId="77777777" w:rsidR="00481FE5" w:rsidRPr="00481FE5" w:rsidRDefault="00481FE5" w:rsidP="00481FE5">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481FE5">
        <w:rPr>
          <w:rFonts w:ascii="Times New Roman" w:eastAsia="Times New Roman" w:hAnsi="Times New Roman" w:cs="Times New Roman"/>
          <w:color w:val="2F2F2F"/>
          <w:spacing w:val="3"/>
          <w:sz w:val="27"/>
          <w:szCs w:val="27"/>
          <w:lang w:eastAsia="en-GB"/>
        </w:rPr>
        <w:t>June 6, 1989 · Court of Appeals of New Mexico · No. 10489</w:t>
      </w:r>
    </w:p>
    <w:p w14:paraId="1DA8B3C8" w14:textId="77777777" w:rsidR="00481FE5" w:rsidRPr="00481FE5" w:rsidRDefault="00481FE5" w:rsidP="00481FE5">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481FE5">
        <w:rPr>
          <w:rFonts w:ascii="Times New Roman" w:eastAsia="Times New Roman" w:hAnsi="Times New Roman" w:cs="Times New Roman"/>
          <w:color w:val="2F2F2F"/>
          <w:spacing w:val="3"/>
          <w:sz w:val="27"/>
          <w:szCs w:val="27"/>
          <w:lang w:eastAsia="en-GB"/>
        </w:rPr>
        <w:t>108 N.M. 696, 778 P.2d 443</w:t>
      </w:r>
    </w:p>
    <w:p w14:paraId="1DA8B3C9" w14:textId="77777777" w:rsidR="00481FE5" w:rsidRPr="00481FE5" w:rsidRDefault="00481FE5" w:rsidP="00481FE5">
      <w:pPr>
        <w:shd w:val="clear" w:color="auto" w:fill="FFFFFF"/>
        <w:spacing w:after="0" w:line="240" w:lineRule="auto"/>
        <w:rPr>
          <w:rFonts w:ascii="Georgia" w:eastAsia="Times New Roman" w:hAnsi="Georgia" w:cs="Arial"/>
          <w:color w:val="2F2F2F"/>
          <w:spacing w:val="3"/>
          <w:sz w:val="30"/>
          <w:szCs w:val="30"/>
          <w:lang w:eastAsia="en-GB"/>
        </w:rPr>
      </w:pPr>
      <w:r w:rsidRPr="00481FE5">
        <w:rPr>
          <w:rFonts w:ascii="Georgia" w:eastAsia="Times New Roman" w:hAnsi="Georgia" w:cs="Arial"/>
          <w:color w:val="2F2F2F"/>
          <w:spacing w:val="3"/>
          <w:sz w:val="30"/>
          <w:szCs w:val="30"/>
          <w:lang w:eastAsia="en-GB"/>
        </w:rPr>
        <w:t>Kelly RODERICK, Plaintiff-Appellee,</w:t>
      </w:r>
      <w:r w:rsidRPr="00481FE5">
        <w:rPr>
          <w:rFonts w:ascii="Georgia" w:eastAsia="Times New Roman" w:hAnsi="Georgia" w:cs="Arial"/>
          <w:i/>
          <w:iCs/>
          <w:color w:val="2F2F2F"/>
          <w:spacing w:val="3"/>
          <w:sz w:val="30"/>
          <w:szCs w:val="30"/>
          <w:lang w:eastAsia="en-GB"/>
        </w:rPr>
        <w:t>v.</w:t>
      </w:r>
      <w:r w:rsidRPr="00481FE5">
        <w:rPr>
          <w:rFonts w:ascii="Georgia" w:eastAsia="Times New Roman" w:hAnsi="Georgia" w:cs="Arial"/>
          <w:color w:val="2F2F2F"/>
          <w:spacing w:val="3"/>
          <w:sz w:val="30"/>
          <w:szCs w:val="30"/>
          <w:lang w:eastAsia="en-GB"/>
        </w:rPr>
        <w:t>Edgar L. LAKE, Roland Hohenberg and Robert W. Lake, Defendants-Appellants</w:t>
      </w:r>
    </w:p>
    <w:p w14:paraId="1DA8B3CA" w14:textId="77777777" w:rsidR="00481FE5" w:rsidRPr="00481FE5" w:rsidRDefault="00481FE5" w:rsidP="00481FE5">
      <w:pPr>
        <w:spacing w:before="100" w:beforeAutospacing="1" w:after="100" w:afterAutospacing="1" w:line="240" w:lineRule="auto"/>
        <w:rPr>
          <w:rFonts w:ascii="Georgia" w:eastAsia="Times New Roman" w:hAnsi="Georgia" w:cs="Times New Roman"/>
          <w:sz w:val="24"/>
          <w:szCs w:val="24"/>
          <w:lang w:eastAsia="en-GB"/>
        </w:rPr>
      </w:pPr>
      <w:r w:rsidRPr="00481FE5">
        <w:rPr>
          <w:rFonts w:ascii="Georgia" w:eastAsia="Times New Roman" w:hAnsi="Georgia" w:cs="Times New Roman"/>
          <w:i/>
          <w:iCs/>
          <w:sz w:val="24"/>
          <w:szCs w:val="24"/>
          <w:lang w:eastAsia="en-GB"/>
        </w:rPr>
        <w:t>778 </w:t>
      </w:r>
      <w:r w:rsidRPr="00481FE5">
        <w:rPr>
          <w:rFonts w:ascii="Georgia" w:eastAsia="Times New Roman" w:hAnsi="Georgia" w:cs="Times New Roman"/>
          <w:sz w:val="24"/>
          <w:szCs w:val="24"/>
          <w:lang w:eastAsia="en-GB"/>
        </w:rPr>
        <w:t>P.2d 443</w:t>
      </w:r>
    </w:p>
    <w:p w14:paraId="1DA8B3CB" w14:textId="77777777" w:rsidR="00481FE5" w:rsidRPr="00481FE5" w:rsidRDefault="00481FE5" w:rsidP="00481FE5">
      <w:pPr>
        <w:spacing w:before="100" w:beforeAutospacing="1" w:after="100" w:afterAutospacing="1"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Court of Appeals of New Mexico.</w:t>
      </w:r>
    </w:p>
    <w:p w14:paraId="1DA8B3CC" w14:textId="77777777" w:rsidR="00481FE5" w:rsidRPr="00481FE5" w:rsidRDefault="00481FE5" w:rsidP="00481FE5">
      <w:pPr>
        <w:spacing w:before="100" w:beforeAutospacing="1" w:after="100" w:afterAutospacing="1"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Certiorari Denied July 27, 1989.</w:t>
      </w:r>
    </w:p>
    <w:p w14:paraId="1DA8B3CD" w14:textId="2A5E45DA" w:rsidR="00481FE5" w:rsidRPr="00481FE5" w:rsidRDefault="00481FE5" w:rsidP="00481FE5">
      <w:pPr>
        <w:shd w:val="clear" w:color="auto" w:fill="F7F7F9"/>
        <w:spacing w:before="100" w:beforeAutospacing="1" w:after="0" w:line="240" w:lineRule="auto"/>
        <w:rPr>
          <w:rFonts w:ascii="Georgia" w:eastAsia="Times New Roman" w:hAnsi="Georgia" w:cs="Times New Roman"/>
          <w:sz w:val="24"/>
          <w:szCs w:val="24"/>
          <w:lang w:eastAsia="en-GB"/>
        </w:rPr>
      </w:pPr>
      <w:r w:rsidRPr="00481FE5">
        <w:rPr>
          <w:rFonts w:ascii="Georgia" w:eastAsia="Times New Roman" w:hAnsi="Georgia" w:cs="Times New Roman"/>
          <w:i/>
          <w:iCs/>
          <w:color w:val="979797"/>
          <w:sz w:val="19"/>
          <w:szCs w:val="19"/>
          <w:lang w:eastAsia="en-GB"/>
        </w:rPr>
        <w:t>*697</w:t>
      </w:r>
      <w:r w:rsidRPr="00481FE5">
        <w:rPr>
          <w:rFonts w:ascii="Georgia" w:eastAsia="Times New Roman" w:hAnsi="Georgia" w:cs="Times New Roman"/>
          <w:sz w:val="24"/>
          <w:szCs w:val="24"/>
          <w:lang w:eastAsia="en-GB"/>
        </w:rPr>
        <w:t>George A. Harrison, George A. Harrison, P.A., Albuquerque, for plaintiff-appellee.</w:t>
      </w:r>
    </w:p>
    <w:p w14:paraId="1DA8B3CE" w14:textId="77777777" w:rsidR="00481FE5" w:rsidRPr="00481FE5" w:rsidRDefault="00481FE5" w:rsidP="00481FE5">
      <w:pPr>
        <w:shd w:val="clear" w:color="auto" w:fill="F7F7F9"/>
        <w:spacing w:after="0"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Winston Roberts-Hohl, Santa Fe, for defendants-appellants.</w:t>
      </w:r>
    </w:p>
    <w:p w14:paraId="1DA8B3CF"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OPINION</w:t>
      </w:r>
    </w:p>
    <w:p w14:paraId="1DA8B3D0" w14:textId="77777777" w:rsidR="00481FE5" w:rsidRPr="00481FE5" w:rsidRDefault="00481FE5" w:rsidP="00481FE5">
      <w:pPr>
        <w:spacing w:before="100" w:beforeAutospacing="1" w:after="225" w:line="240" w:lineRule="auto"/>
        <w:rPr>
          <w:rFonts w:ascii="Georgia" w:eastAsia="Times New Roman" w:hAnsi="Georgia" w:cs="Times New Roman"/>
          <w:color w:val="E878FF"/>
          <w:sz w:val="24"/>
          <w:szCs w:val="24"/>
          <w:lang w:eastAsia="en-GB"/>
        </w:rPr>
      </w:pPr>
      <w:r w:rsidRPr="00481FE5">
        <w:rPr>
          <w:rFonts w:ascii="Georgia" w:eastAsia="Times New Roman" w:hAnsi="Georgia" w:cs="Times New Roman"/>
          <w:color w:val="E878FF"/>
          <w:sz w:val="24"/>
          <w:szCs w:val="24"/>
          <w:lang w:eastAsia="en-GB"/>
        </w:rPr>
        <w:t>BIVINS, Chief Judge.</w:t>
      </w:r>
    </w:p>
    <w:p w14:paraId="1DA8B3D1"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D0450E">
        <w:rPr>
          <w:rFonts w:ascii="Georgia" w:eastAsia="Times New Roman" w:hAnsi="Georgia" w:cs="Times New Roman"/>
          <w:sz w:val="24"/>
          <w:szCs w:val="24"/>
          <w:highlight w:val="magenta"/>
          <w:lang w:eastAsia="en-GB"/>
        </w:rPr>
        <w:t xml:space="preserve">Plaintiff sued to recover damages for personal injuries sustained when the car he was driving struck two thoroughbred horses on Christmas Eve 1985. Following a bench trial, the </w:t>
      </w:r>
      <w:r w:rsidRPr="00481FE5">
        <w:rPr>
          <w:rFonts w:ascii="Georgia" w:eastAsia="Times New Roman" w:hAnsi="Georgia" w:cs="Times New Roman"/>
          <w:sz w:val="24"/>
          <w:szCs w:val="24"/>
          <w:highlight w:val="magenta"/>
          <w:lang w:eastAsia="en-GB"/>
        </w:rPr>
        <w:t xml:space="preserve">court found no negligence on the part of defendant Robert W. </w:t>
      </w:r>
      <w:r w:rsidRPr="00B91775">
        <w:rPr>
          <w:rFonts w:ascii="Georgia" w:eastAsia="Times New Roman" w:hAnsi="Georgia" w:cs="Times New Roman"/>
          <w:sz w:val="24"/>
          <w:szCs w:val="24"/>
          <w:highlight w:val="magenta"/>
          <w:lang w:eastAsia="en-GB"/>
        </w:rPr>
        <w:t xml:space="preserve">Lake, the owner of the fenced property on which the </w:t>
      </w:r>
      <w:r w:rsidRPr="00D0450E">
        <w:rPr>
          <w:rFonts w:ascii="Georgia" w:eastAsia="Times New Roman" w:hAnsi="Georgia" w:cs="Times New Roman"/>
          <w:sz w:val="24"/>
          <w:szCs w:val="24"/>
          <w:highlight w:val="magenta"/>
          <w:lang w:eastAsia="en-GB"/>
        </w:rPr>
        <w:t>horses were kept, and dismissed plaintiff’s complaint against him with prejudice. Plaintiff does not appeal that dismissal. Th</w:t>
      </w:r>
      <w:r w:rsidRPr="00B91775">
        <w:rPr>
          <w:rFonts w:ascii="Georgia" w:eastAsia="Times New Roman" w:hAnsi="Georgia" w:cs="Times New Roman"/>
          <w:sz w:val="24"/>
          <w:szCs w:val="24"/>
          <w:highlight w:val="magenta"/>
          <w:lang w:eastAsia="en-GB"/>
        </w:rPr>
        <w:t xml:space="preserve">e trial court found the remaining defendants, Edgar L. Lake </w:t>
      </w:r>
      <w:r w:rsidRPr="00481FE5">
        <w:rPr>
          <w:rFonts w:ascii="Georgia" w:eastAsia="Times New Roman" w:hAnsi="Georgia" w:cs="Times New Roman"/>
          <w:sz w:val="24"/>
          <w:szCs w:val="24"/>
          <w:highlight w:val="magenta"/>
          <w:lang w:eastAsia="en-GB"/>
        </w:rPr>
        <w:t>and Roland Hohenberg</w:t>
      </w:r>
      <w:r w:rsidRPr="00481FE5">
        <w:rPr>
          <w:rFonts w:ascii="Georgia" w:eastAsia="Times New Roman" w:hAnsi="Georgia" w:cs="Times New Roman"/>
          <w:sz w:val="24"/>
          <w:szCs w:val="24"/>
          <w:lang w:eastAsia="en-GB"/>
        </w:rPr>
        <w:t xml:space="preserve">, the owners of the two horses, had engaged in a joint venture as to the control and maintenance of the two horses and held them </w:t>
      </w:r>
      <w:r w:rsidRPr="00481FE5">
        <w:rPr>
          <w:rFonts w:ascii="Georgia" w:eastAsia="Times New Roman" w:hAnsi="Georgia" w:cs="Times New Roman"/>
          <w:sz w:val="24"/>
          <w:szCs w:val="24"/>
          <w:highlight w:val="magenta"/>
          <w:lang w:eastAsia="en-GB"/>
        </w:rPr>
        <w:t>jointly and severally liable to plaintiff for the damages awarded</w:t>
      </w:r>
      <w:r w:rsidRPr="00481FE5">
        <w:rPr>
          <w:rFonts w:ascii="Georgia" w:eastAsia="Times New Roman" w:hAnsi="Georgia" w:cs="Times New Roman"/>
          <w:sz w:val="24"/>
          <w:szCs w:val="24"/>
          <w:lang w:eastAsia="en-GB"/>
        </w:rPr>
        <w:t xml:space="preserve">. It predicated liability on the doctrine of res ipsa loquitur as well as negligent violation of applicable statutes and San Juan County, N.M., Ordinance 10 (July 20,1982). </w:t>
      </w:r>
      <w:r w:rsidRPr="00481FE5">
        <w:rPr>
          <w:rFonts w:ascii="Georgia" w:eastAsia="Times New Roman" w:hAnsi="Georgia" w:cs="Times New Roman"/>
          <w:sz w:val="24"/>
          <w:szCs w:val="24"/>
          <w:highlight w:val="magenta"/>
          <w:lang w:eastAsia="en-GB"/>
        </w:rPr>
        <w:t>The trial court assessed no negligence against plaintiff.</w:t>
      </w:r>
      <w:r w:rsidRPr="00481FE5">
        <w:rPr>
          <w:rFonts w:ascii="Georgia" w:eastAsia="Times New Roman" w:hAnsi="Georgia" w:cs="Times New Roman"/>
          <w:sz w:val="24"/>
          <w:szCs w:val="24"/>
          <w:lang w:eastAsia="en-GB"/>
        </w:rPr>
        <w:t xml:space="preserve"> From a judgment entered on the findings, </w:t>
      </w:r>
      <w:r w:rsidRPr="00481FE5">
        <w:rPr>
          <w:rFonts w:ascii="Georgia" w:eastAsia="Times New Roman" w:hAnsi="Georgia" w:cs="Times New Roman"/>
          <w:sz w:val="24"/>
          <w:szCs w:val="24"/>
          <w:highlight w:val="magenta"/>
          <w:lang w:eastAsia="en-GB"/>
        </w:rPr>
        <w:t>Edgar and Roland appeal</w:t>
      </w:r>
      <w:r w:rsidRPr="00481FE5">
        <w:rPr>
          <w:rFonts w:ascii="Georgia" w:eastAsia="Times New Roman" w:hAnsi="Georgia" w:cs="Times New Roman"/>
          <w:sz w:val="24"/>
          <w:szCs w:val="24"/>
          <w:lang w:eastAsia="en-GB"/>
        </w:rPr>
        <w:t>.</w:t>
      </w:r>
    </w:p>
    <w:p w14:paraId="1DA8B3D2"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Although defendants raise four issues on appeal, we consolidate them for discussion as follows: (1) whether the trial court erred in finding defendants liable either under </w:t>
      </w:r>
      <w:hyperlink r:id="rId4" w:anchor="p698" w:history="1">
        <w:r w:rsidRPr="00481FE5">
          <w:rPr>
            <w:rFonts w:ascii="Georgia" w:eastAsia="Times New Roman" w:hAnsi="Georgia" w:cs="Times New Roman"/>
            <w:i/>
            <w:iCs/>
            <w:color w:val="979797"/>
            <w:sz w:val="19"/>
            <w:szCs w:val="19"/>
            <w:lang w:eastAsia="en-GB"/>
          </w:rPr>
          <w:t>*698</w:t>
        </w:r>
      </w:hyperlink>
      <w:r w:rsidRPr="00481FE5">
        <w:rPr>
          <w:rFonts w:ascii="Georgia" w:eastAsia="Times New Roman" w:hAnsi="Georgia" w:cs="Times New Roman"/>
          <w:sz w:val="24"/>
          <w:szCs w:val="24"/>
          <w:lang w:eastAsia="en-GB"/>
        </w:rPr>
        <w:t xml:space="preserve">the doctrine of res ipsa loquitur or for violation of applicable statutes and the ordinance (negligence per se); and (2) whether the trial court erred in finding defendants engaged in a joint venture, resulting in joint and several liability, and in failing to apportion fault between the two defendants. </w:t>
      </w:r>
      <w:r w:rsidRPr="00481FE5">
        <w:rPr>
          <w:rFonts w:ascii="Georgia" w:eastAsia="Times New Roman" w:hAnsi="Georgia" w:cs="Times New Roman"/>
          <w:sz w:val="24"/>
          <w:szCs w:val="24"/>
          <w:highlight w:val="green"/>
          <w:lang w:eastAsia="en-GB"/>
        </w:rPr>
        <w:t>We hold substantial evidence supports liability against both defendants for negligence per se</w:t>
      </w:r>
      <w:r w:rsidRPr="00481FE5">
        <w:rPr>
          <w:rFonts w:ascii="Georgia" w:eastAsia="Times New Roman" w:hAnsi="Georgia" w:cs="Times New Roman"/>
          <w:sz w:val="24"/>
          <w:szCs w:val="24"/>
          <w:lang w:eastAsia="en-GB"/>
        </w:rPr>
        <w:t xml:space="preserve">, and need not, therefore, discuss the trial court’s findings on res ipsa loquitur. </w:t>
      </w:r>
      <w:r w:rsidRPr="002933C5">
        <w:rPr>
          <w:rFonts w:ascii="Georgia" w:eastAsia="Times New Roman" w:hAnsi="Georgia" w:cs="Times New Roman"/>
          <w:sz w:val="24"/>
          <w:szCs w:val="24"/>
          <w:lang w:eastAsia="en-GB"/>
        </w:rPr>
        <w:t>We hold, however, that there is insufficient evidence to support the finding of joint venture. Accordingly, we set aside the judgment and remand for apportionment of negligence between defendants. Under the circumstances of this case, it cannot be determined which defendant was more at fault. Therefore, we hold the burden was on defendants, not plaintiff, to prove apportionment.</w:t>
      </w:r>
    </w:p>
    <w:p w14:paraId="1DA8B3D3"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FACTS</w:t>
      </w:r>
    </w:p>
    <w:p w14:paraId="1DA8B3D4"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lastRenderedPageBreak/>
        <w:t xml:space="preserve">Summarizing the trial court’s findings of fact, </w:t>
      </w:r>
      <w:r w:rsidRPr="00481FE5">
        <w:rPr>
          <w:rFonts w:ascii="Georgia" w:eastAsia="Times New Roman" w:hAnsi="Georgia" w:cs="Times New Roman"/>
          <w:sz w:val="24"/>
          <w:szCs w:val="24"/>
          <w:highlight w:val="yellow"/>
          <w:lang w:eastAsia="en-GB"/>
        </w:rPr>
        <w:t>plaintiff was traveling west on County Road 6700 in San Juan County at approximately 6:00 p.m. on December 24, 1985, in a safe and lawful manner, when two horses darted onto the highway in front of him. “It was dark at the time * * * and the horses were dark colored.”</w:t>
      </w:r>
      <w:r w:rsidRPr="00481FE5">
        <w:rPr>
          <w:rFonts w:ascii="Georgia" w:eastAsia="Times New Roman" w:hAnsi="Georgia" w:cs="Times New Roman"/>
          <w:sz w:val="24"/>
          <w:szCs w:val="24"/>
          <w:lang w:eastAsia="en-GB"/>
        </w:rPr>
        <w:t xml:space="preserve"> </w:t>
      </w:r>
      <w:r w:rsidRPr="00481FE5">
        <w:rPr>
          <w:rFonts w:ascii="Georgia" w:eastAsia="Times New Roman" w:hAnsi="Georgia" w:cs="Times New Roman"/>
          <w:sz w:val="24"/>
          <w:szCs w:val="24"/>
          <w:highlight w:val="yellow"/>
          <w:lang w:eastAsia="en-GB"/>
        </w:rPr>
        <w:t>Plaintiff did not have time to brake and recalled no details of the accident. He suffered serious injuries.</w:t>
      </w:r>
    </w:p>
    <w:p w14:paraId="1DA8B3D5"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highlight w:val="yellow"/>
          <w:lang w:eastAsia="en-GB"/>
        </w:rPr>
        <w:t>Robert owned the land adjacent to the county road. His brother, Edgar, kept several of his horses there, including one of the horses involved in the accident. Roland, an associate and trainer for Edgar, owned the other horse and also kept it on Robert’s property.</w:t>
      </w:r>
    </w:p>
    <w:p w14:paraId="1DA8B3D6"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highlight w:val="yellow"/>
          <w:lang w:eastAsia="en-GB"/>
        </w:rPr>
        <w:t>Edgar had brought the two horses from the racetrack around 3:30 p.m. the day of the accident and fed them at 5:00 p.m., after which Edgar left. Roland remained there.</w:t>
      </w:r>
      <w:r w:rsidRPr="00481FE5">
        <w:rPr>
          <w:rFonts w:ascii="Georgia" w:eastAsia="Times New Roman" w:hAnsi="Georgia" w:cs="Times New Roman"/>
          <w:sz w:val="24"/>
          <w:szCs w:val="24"/>
          <w:lang w:eastAsia="en-GB"/>
        </w:rPr>
        <w:t xml:space="preserve"> Since Roland did not testify, we are not told if he left subsequent to Edgar and before the accident or remained there until the accident occurred.</w:t>
      </w:r>
    </w:p>
    <w:p w14:paraId="1DA8B3D7"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 xml:space="preserve">There was testimony that </w:t>
      </w:r>
      <w:r w:rsidRPr="00481FE5">
        <w:rPr>
          <w:rFonts w:ascii="Georgia" w:eastAsia="Times New Roman" w:hAnsi="Georgia" w:cs="Times New Roman"/>
          <w:sz w:val="24"/>
          <w:szCs w:val="24"/>
          <w:highlight w:val="yellow"/>
          <w:lang w:eastAsia="en-GB"/>
        </w:rPr>
        <w:t>the horses could not escape except through the gate. After the accident the gate was found “sprung open.” The latch on the gate confining the horses had been left open.</w:t>
      </w:r>
    </w:p>
    <w:p w14:paraId="1DA8B3D8"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DISCUSSION</w:t>
      </w:r>
    </w:p>
    <w:p w14:paraId="1DA8B3D9"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1. </w:t>
      </w:r>
      <w:r w:rsidRPr="00481FE5">
        <w:rPr>
          <w:rFonts w:ascii="Georgia" w:eastAsia="Times New Roman" w:hAnsi="Georgia" w:cs="Times New Roman"/>
          <w:i/>
          <w:iCs/>
          <w:sz w:val="24"/>
          <w:szCs w:val="24"/>
          <w:lang w:eastAsia="en-GB"/>
        </w:rPr>
        <w:t>Liability</w:t>
      </w:r>
    </w:p>
    <w:p w14:paraId="1DA8B3DA"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 xml:space="preserve">Plaintiff alleged that two state statutes and one local ordinance are applicable to this case. He alleged that violation of these statutes and ordinance constitutes negligence per se. </w:t>
      </w:r>
      <w:r w:rsidRPr="00481FE5">
        <w:rPr>
          <w:rFonts w:ascii="Georgia" w:eastAsia="Times New Roman" w:hAnsi="Georgia" w:cs="Times New Roman"/>
          <w:sz w:val="24"/>
          <w:szCs w:val="24"/>
          <w:highlight w:val="cyan"/>
          <w:lang w:eastAsia="en-GB"/>
        </w:rPr>
        <w:t>NMSA 1978, Section 30-8-13(A) (Repl.Pamp.1984)</w:t>
      </w:r>
      <w:r w:rsidRPr="00481FE5">
        <w:rPr>
          <w:rFonts w:ascii="Georgia" w:eastAsia="Times New Roman" w:hAnsi="Georgia" w:cs="Times New Roman"/>
          <w:sz w:val="24"/>
          <w:szCs w:val="24"/>
          <w:lang w:eastAsia="en-GB"/>
        </w:rPr>
        <w:t xml:space="preserve"> provides that “[ujnlawfully permitting livestock upon public highways consists of any owner or custodian of livestock negligently permitting his livestock to run at large upon any part of a public highway which is fenced on both sides.” </w:t>
      </w:r>
      <w:r w:rsidRPr="00481FE5">
        <w:rPr>
          <w:rFonts w:ascii="Georgia" w:eastAsia="Times New Roman" w:hAnsi="Georgia" w:cs="Times New Roman"/>
          <w:sz w:val="24"/>
          <w:szCs w:val="24"/>
          <w:highlight w:val="cyan"/>
          <w:lang w:eastAsia="en-GB"/>
        </w:rPr>
        <w:t>Section 30-8-13(B)</w:t>
      </w:r>
      <w:r w:rsidRPr="00481FE5">
        <w:rPr>
          <w:rFonts w:ascii="Georgia" w:eastAsia="Times New Roman" w:hAnsi="Georgia" w:cs="Times New Roman"/>
          <w:sz w:val="24"/>
          <w:szCs w:val="24"/>
          <w:lang w:eastAsia="en-GB"/>
        </w:rPr>
        <w:t xml:space="preserve"> further provides that “[ejvery owner or custodian of livestock shall exercise diligence to keep his livestock off the state public fenced highways.” </w:t>
      </w:r>
      <w:r w:rsidRPr="00481FE5">
        <w:rPr>
          <w:rFonts w:ascii="Georgia" w:eastAsia="Times New Roman" w:hAnsi="Georgia" w:cs="Times New Roman"/>
          <w:sz w:val="24"/>
          <w:szCs w:val="24"/>
          <w:highlight w:val="cyan"/>
          <w:lang w:eastAsia="en-GB"/>
        </w:rPr>
        <w:t>NMSA 1978, Section 66-7-363(B) (Repl.Pamp.1987)</w:t>
      </w:r>
      <w:r w:rsidRPr="00481FE5">
        <w:rPr>
          <w:rFonts w:ascii="Georgia" w:eastAsia="Times New Roman" w:hAnsi="Georgia" w:cs="Times New Roman"/>
          <w:sz w:val="24"/>
          <w:szCs w:val="24"/>
          <w:lang w:eastAsia="en-GB"/>
        </w:rPr>
        <w:t xml:space="preserve"> provides that “[i]t is unlawful for any person negligently to permit livestock to wander or graze upon any fenced highway at any time.” </w:t>
      </w:r>
      <w:r w:rsidRPr="00481FE5">
        <w:rPr>
          <w:rFonts w:ascii="Georgia" w:eastAsia="Times New Roman" w:hAnsi="Georgia" w:cs="Times New Roman"/>
          <w:sz w:val="24"/>
          <w:szCs w:val="24"/>
          <w:highlight w:val="cyan"/>
          <w:lang w:eastAsia="en-GB"/>
        </w:rPr>
        <w:t>San Juan County Ordinance 10</w:t>
      </w:r>
      <w:r w:rsidRPr="00481FE5">
        <w:rPr>
          <w:rFonts w:ascii="Georgia" w:eastAsia="Times New Roman" w:hAnsi="Georgia" w:cs="Times New Roman"/>
          <w:sz w:val="24"/>
          <w:szCs w:val="24"/>
          <w:lang w:eastAsia="en-GB"/>
        </w:rPr>
        <w:t xml:space="preserve"> provides, “Any person owning or having charge, custody, care or control of any animal shall keep such animal on his premises.”</w:t>
      </w:r>
    </w:p>
    <w:p w14:paraId="1DA8B3DB" w14:textId="14112B88"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In tort actions, negligence is the ultimate fact. Proof of the violation of a statute is proof of that ultimate fact. </w:t>
      </w:r>
      <w:r w:rsidRPr="004B5DD6">
        <w:rPr>
          <w:rFonts w:ascii="Georgia" w:eastAsia="Times New Roman" w:hAnsi="Georgia" w:cs="Times New Roman"/>
          <w:i/>
          <w:iCs/>
          <w:sz w:val="24"/>
          <w:szCs w:val="24"/>
          <w:highlight w:val="cyan"/>
          <w:lang w:eastAsia="en-GB"/>
        </w:rPr>
        <w:t>Mitchell v. Ridgway, </w:t>
      </w:r>
      <w:r w:rsidRPr="004B5DD6">
        <w:rPr>
          <w:rFonts w:ascii="Georgia" w:eastAsia="Times New Roman" w:hAnsi="Georgia" w:cs="Times New Roman"/>
          <w:color w:val="007BFF"/>
          <w:sz w:val="24"/>
          <w:szCs w:val="24"/>
          <w:highlight w:val="cyan"/>
          <w:lang w:eastAsia="en-GB"/>
        </w:rPr>
        <w:t>77 N.M. 249</w:t>
      </w:r>
      <w:r w:rsidRPr="00481FE5">
        <w:rPr>
          <w:rFonts w:ascii="Georgia" w:eastAsia="Times New Roman" w:hAnsi="Georgia" w:cs="Times New Roman"/>
          <w:sz w:val="24"/>
          <w:szCs w:val="24"/>
          <w:highlight w:val="cyan"/>
          <w:lang w:eastAsia="en-GB"/>
        </w:rPr>
        <w:t>, </w:t>
      </w:r>
      <w:hyperlink r:id="rId5" w:history="1">
        <w:r w:rsidRPr="004B5DD6">
          <w:rPr>
            <w:rFonts w:ascii="Georgia" w:eastAsia="Times New Roman" w:hAnsi="Georgia" w:cs="Times New Roman"/>
            <w:color w:val="007BFF"/>
            <w:sz w:val="24"/>
            <w:szCs w:val="24"/>
            <w:highlight w:val="cyan"/>
            <w:lang w:eastAsia="en-GB"/>
          </w:rPr>
          <w:t>421 P.2d 778</w:t>
        </w:r>
      </w:hyperlink>
      <w:r w:rsidRPr="00481FE5">
        <w:rPr>
          <w:rFonts w:ascii="Georgia" w:eastAsia="Times New Roman" w:hAnsi="Georgia" w:cs="Times New Roman"/>
          <w:sz w:val="24"/>
          <w:szCs w:val="24"/>
          <w:highlight w:val="cyan"/>
          <w:lang w:eastAsia="en-GB"/>
        </w:rPr>
        <w:t> (1966)</w:t>
      </w:r>
      <w:r w:rsidRPr="00481FE5">
        <w:rPr>
          <w:rFonts w:ascii="Georgia" w:eastAsia="Times New Roman" w:hAnsi="Georgia" w:cs="Times New Roman"/>
          <w:sz w:val="24"/>
          <w:szCs w:val="24"/>
          <w:lang w:eastAsia="en-GB"/>
        </w:rPr>
        <w:t>. In New Mexico, four factors must be present to find negligence per se.</w:t>
      </w:r>
    </w:p>
    <w:p w14:paraId="1DA8B3DC" w14:textId="77777777" w:rsidR="00481FE5" w:rsidRPr="00481FE5" w:rsidRDefault="00481FE5" w:rsidP="00481FE5">
      <w:pPr>
        <w:spacing w:after="100" w:line="240" w:lineRule="auto"/>
        <w:rPr>
          <w:rFonts w:ascii="Georgia" w:eastAsia="Times New Roman" w:hAnsi="Georgia" w:cs="Times New Roman"/>
          <w:color w:val="004FB3"/>
          <w:sz w:val="24"/>
          <w:szCs w:val="24"/>
          <w:lang w:eastAsia="en-GB"/>
        </w:rPr>
      </w:pPr>
      <w:r w:rsidRPr="00481FE5">
        <w:rPr>
          <w:rFonts w:ascii="Georgia" w:eastAsia="Times New Roman" w:hAnsi="Georgia" w:cs="Times New Roman"/>
          <w:color w:val="004FB3"/>
          <w:sz w:val="24"/>
          <w:szCs w:val="24"/>
          <w:lang w:eastAsia="en-GB"/>
        </w:rPr>
        <w:t>“(1) [T]here must be a statute which prescribes certain actions or defines a standard of conduct, either explicitly or implicitly, (2) the defendant must violate the statute, (3) the plaintiff must be in the class of persons sought to be protected by the statute, and (4) the harm or injury to the plaintiff must generally be of the type the legislature through the statute sought to prevent.”</w:t>
      </w:r>
    </w:p>
    <w:p w14:paraId="1DA8B3DD" w14:textId="2761D54C"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B5DD6">
        <w:rPr>
          <w:rFonts w:ascii="Georgia" w:eastAsia="Times New Roman" w:hAnsi="Georgia" w:cs="Times New Roman"/>
          <w:i/>
          <w:iCs/>
          <w:sz w:val="24"/>
          <w:szCs w:val="24"/>
          <w:highlight w:val="cyan"/>
          <w:lang w:eastAsia="en-GB"/>
        </w:rPr>
        <w:t>Valdez v. Cillessen &amp; Son, Inc., </w:t>
      </w:r>
      <w:r w:rsidRPr="004B5DD6">
        <w:rPr>
          <w:rFonts w:ascii="Georgia" w:eastAsia="Times New Roman" w:hAnsi="Georgia" w:cs="Times New Roman"/>
          <w:color w:val="007BFF"/>
          <w:sz w:val="24"/>
          <w:szCs w:val="24"/>
          <w:highlight w:val="cyan"/>
          <w:lang w:eastAsia="en-GB"/>
        </w:rPr>
        <w:t>105 N.M. 575</w:t>
      </w:r>
      <w:r w:rsidRPr="00481FE5">
        <w:rPr>
          <w:rFonts w:ascii="Georgia" w:eastAsia="Times New Roman" w:hAnsi="Georgia" w:cs="Times New Roman"/>
          <w:sz w:val="24"/>
          <w:szCs w:val="24"/>
          <w:highlight w:val="cyan"/>
          <w:lang w:eastAsia="en-GB"/>
        </w:rPr>
        <w:t>, 577, </w:t>
      </w:r>
      <w:hyperlink r:id="rId6" w:history="1">
        <w:r w:rsidRPr="004B5DD6">
          <w:rPr>
            <w:rFonts w:ascii="Georgia" w:eastAsia="Times New Roman" w:hAnsi="Georgia" w:cs="Times New Roman"/>
            <w:color w:val="007BFF"/>
            <w:sz w:val="24"/>
            <w:szCs w:val="24"/>
            <w:highlight w:val="cyan"/>
            <w:lang w:eastAsia="en-GB"/>
          </w:rPr>
          <w:t>734 P.2d 1258</w:t>
        </w:r>
      </w:hyperlink>
      <w:r w:rsidRPr="00481FE5">
        <w:rPr>
          <w:rFonts w:ascii="Georgia" w:eastAsia="Times New Roman" w:hAnsi="Georgia" w:cs="Times New Roman"/>
          <w:sz w:val="24"/>
          <w:szCs w:val="24"/>
          <w:highlight w:val="cyan"/>
          <w:lang w:eastAsia="en-GB"/>
        </w:rPr>
        <w:t>, 1260 (1987)</w:t>
      </w:r>
      <w:r w:rsidRPr="00481FE5">
        <w:rPr>
          <w:rFonts w:ascii="Georgia" w:eastAsia="Times New Roman" w:hAnsi="Georgia" w:cs="Times New Roman"/>
          <w:sz w:val="24"/>
          <w:szCs w:val="24"/>
          <w:lang w:eastAsia="en-GB"/>
        </w:rPr>
        <w:t xml:space="preserve"> (quoting </w:t>
      </w:r>
      <w:r w:rsidRPr="00481FE5">
        <w:rPr>
          <w:rFonts w:ascii="Georgia" w:eastAsia="Times New Roman" w:hAnsi="Georgia" w:cs="Times New Roman"/>
          <w:i/>
          <w:iCs/>
          <w:sz w:val="24"/>
          <w:szCs w:val="24"/>
          <w:lang w:eastAsia="en-GB"/>
        </w:rPr>
        <w:t>Archibeque v. Homrich, </w:t>
      </w:r>
      <w:r w:rsidRPr="00481FE5">
        <w:rPr>
          <w:rFonts w:ascii="Georgia" w:eastAsia="Times New Roman" w:hAnsi="Georgia" w:cs="Times New Roman"/>
          <w:color w:val="007BFF"/>
          <w:sz w:val="24"/>
          <w:szCs w:val="24"/>
          <w:lang w:eastAsia="en-GB"/>
        </w:rPr>
        <w:t>88 N.M. 527</w:t>
      </w:r>
      <w:r w:rsidRPr="00481FE5">
        <w:rPr>
          <w:rFonts w:ascii="Georgia" w:eastAsia="Times New Roman" w:hAnsi="Georgia" w:cs="Times New Roman"/>
          <w:sz w:val="24"/>
          <w:szCs w:val="24"/>
          <w:lang w:eastAsia="en-GB"/>
        </w:rPr>
        <w:t>, 532, </w:t>
      </w:r>
      <w:hyperlink r:id="rId7" w:history="1">
        <w:r w:rsidRPr="00481FE5">
          <w:rPr>
            <w:rFonts w:ascii="Georgia" w:eastAsia="Times New Roman" w:hAnsi="Georgia" w:cs="Times New Roman"/>
            <w:color w:val="007BFF"/>
            <w:sz w:val="24"/>
            <w:szCs w:val="24"/>
            <w:lang w:eastAsia="en-GB"/>
          </w:rPr>
          <w:t>543 P.2d 820</w:t>
        </w:r>
      </w:hyperlink>
      <w:r w:rsidRPr="00481FE5">
        <w:rPr>
          <w:rFonts w:ascii="Georgia" w:eastAsia="Times New Roman" w:hAnsi="Georgia" w:cs="Times New Roman"/>
          <w:sz w:val="24"/>
          <w:szCs w:val="24"/>
          <w:lang w:eastAsia="en-GB"/>
        </w:rPr>
        <w:t>, 825 (1975). </w:t>
      </w:r>
      <w:r w:rsidRPr="00481FE5">
        <w:rPr>
          <w:rFonts w:ascii="Georgia" w:eastAsia="Times New Roman" w:hAnsi="Georgia" w:cs="Times New Roman"/>
          <w:i/>
          <w:iCs/>
          <w:sz w:val="24"/>
          <w:szCs w:val="24"/>
          <w:lang w:eastAsia="en-GB"/>
        </w:rPr>
        <w:t xml:space="preserve">See also, e.g., </w:t>
      </w:r>
      <w:r w:rsidRPr="004B5DD6">
        <w:rPr>
          <w:rFonts w:ascii="Georgia" w:eastAsia="Times New Roman" w:hAnsi="Georgia" w:cs="Times New Roman"/>
          <w:i/>
          <w:iCs/>
          <w:sz w:val="24"/>
          <w:szCs w:val="24"/>
          <w:highlight w:val="cyan"/>
          <w:lang w:eastAsia="en-GB"/>
        </w:rPr>
        <w:t>Bouldin v. Sategna, </w:t>
      </w:r>
      <w:r w:rsidRPr="004B5DD6">
        <w:rPr>
          <w:rFonts w:ascii="Georgia" w:eastAsia="Times New Roman" w:hAnsi="Georgia" w:cs="Times New Roman"/>
          <w:color w:val="007BFF"/>
          <w:sz w:val="24"/>
          <w:szCs w:val="24"/>
          <w:highlight w:val="cyan"/>
          <w:lang w:eastAsia="en-GB"/>
        </w:rPr>
        <w:t>71 N.M. 329</w:t>
      </w:r>
      <w:r w:rsidRPr="00481FE5">
        <w:rPr>
          <w:rFonts w:ascii="Georgia" w:eastAsia="Times New Roman" w:hAnsi="Georgia" w:cs="Times New Roman"/>
          <w:sz w:val="24"/>
          <w:szCs w:val="24"/>
          <w:highlight w:val="cyan"/>
          <w:lang w:eastAsia="en-GB"/>
        </w:rPr>
        <w:t>, </w:t>
      </w:r>
      <w:hyperlink r:id="rId8" w:history="1">
        <w:r w:rsidRPr="004B5DD6">
          <w:rPr>
            <w:rFonts w:ascii="Georgia" w:eastAsia="Times New Roman" w:hAnsi="Georgia" w:cs="Times New Roman"/>
            <w:color w:val="007BFF"/>
            <w:sz w:val="24"/>
            <w:szCs w:val="24"/>
            <w:highlight w:val="cyan"/>
            <w:lang w:eastAsia="en-GB"/>
          </w:rPr>
          <w:t>378 P.2d 370</w:t>
        </w:r>
      </w:hyperlink>
      <w:r w:rsidRPr="00481FE5">
        <w:rPr>
          <w:rFonts w:ascii="Georgia" w:eastAsia="Times New Roman" w:hAnsi="Georgia" w:cs="Times New Roman"/>
          <w:sz w:val="24"/>
          <w:szCs w:val="24"/>
          <w:highlight w:val="cyan"/>
          <w:lang w:eastAsia="en-GB"/>
        </w:rPr>
        <w:t> (1963)</w:t>
      </w:r>
      <w:r w:rsidRPr="00481FE5">
        <w:rPr>
          <w:rFonts w:ascii="Georgia" w:eastAsia="Times New Roman" w:hAnsi="Georgia" w:cs="Times New Roman"/>
          <w:sz w:val="24"/>
          <w:szCs w:val="24"/>
          <w:lang w:eastAsia="en-GB"/>
        </w:rPr>
        <w:t>; </w:t>
      </w:r>
      <w:r w:rsidRPr="004B5DD6">
        <w:rPr>
          <w:rFonts w:ascii="Georgia" w:eastAsia="Times New Roman" w:hAnsi="Georgia" w:cs="Times New Roman"/>
          <w:i/>
          <w:iCs/>
          <w:sz w:val="24"/>
          <w:szCs w:val="24"/>
          <w:highlight w:val="cyan"/>
          <w:lang w:eastAsia="en-GB"/>
        </w:rPr>
        <w:t>Srader v. Pecos Const. Co., </w:t>
      </w:r>
      <w:r w:rsidRPr="004B5DD6">
        <w:rPr>
          <w:rFonts w:ascii="Georgia" w:eastAsia="Times New Roman" w:hAnsi="Georgia" w:cs="Times New Roman"/>
          <w:color w:val="007BFF"/>
          <w:sz w:val="24"/>
          <w:szCs w:val="24"/>
          <w:highlight w:val="cyan"/>
          <w:lang w:eastAsia="en-GB"/>
        </w:rPr>
        <w:t>71 N.M. 320</w:t>
      </w:r>
      <w:r w:rsidRPr="00481FE5">
        <w:rPr>
          <w:rFonts w:ascii="Georgia" w:eastAsia="Times New Roman" w:hAnsi="Georgia" w:cs="Times New Roman"/>
          <w:sz w:val="24"/>
          <w:szCs w:val="24"/>
          <w:highlight w:val="cyan"/>
          <w:lang w:eastAsia="en-GB"/>
        </w:rPr>
        <w:t>, </w:t>
      </w:r>
      <w:hyperlink r:id="rId9" w:history="1">
        <w:r w:rsidRPr="004B5DD6">
          <w:rPr>
            <w:rFonts w:ascii="Georgia" w:eastAsia="Times New Roman" w:hAnsi="Georgia" w:cs="Times New Roman"/>
            <w:color w:val="007BFF"/>
            <w:sz w:val="24"/>
            <w:szCs w:val="24"/>
            <w:highlight w:val="cyan"/>
            <w:lang w:eastAsia="en-GB"/>
          </w:rPr>
          <w:t>378 P.2d 364</w:t>
        </w:r>
      </w:hyperlink>
      <w:r w:rsidRPr="00481FE5">
        <w:rPr>
          <w:rFonts w:ascii="Georgia" w:eastAsia="Times New Roman" w:hAnsi="Georgia" w:cs="Times New Roman"/>
          <w:sz w:val="24"/>
          <w:szCs w:val="24"/>
          <w:highlight w:val="cyan"/>
          <w:lang w:eastAsia="en-GB"/>
        </w:rPr>
        <w:t> (1963)</w:t>
      </w:r>
      <w:r w:rsidRPr="00481FE5">
        <w:rPr>
          <w:rFonts w:ascii="Georgia" w:eastAsia="Times New Roman" w:hAnsi="Georgia" w:cs="Times New Roman"/>
          <w:sz w:val="24"/>
          <w:szCs w:val="24"/>
          <w:lang w:eastAsia="en-GB"/>
        </w:rPr>
        <w:t>.</w:t>
      </w:r>
    </w:p>
    <w:p w14:paraId="1DA8B3DE" w14:textId="3B1BA80D"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i/>
          <w:iCs/>
          <w:color w:val="979797"/>
          <w:sz w:val="19"/>
          <w:szCs w:val="19"/>
          <w:lang w:eastAsia="en-GB"/>
        </w:rPr>
        <w:lastRenderedPageBreak/>
        <w:t>*699</w:t>
      </w:r>
      <w:r w:rsidRPr="00481FE5">
        <w:rPr>
          <w:rFonts w:ascii="Georgia" w:eastAsia="Times New Roman" w:hAnsi="Georgia" w:cs="Times New Roman"/>
          <w:sz w:val="24"/>
          <w:szCs w:val="24"/>
          <w:lang w:eastAsia="en-GB"/>
        </w:rPr>
        <w:t xml:space="preserve">All these factors are present in this case. </w:t>
      </w:r>
      <w:r w:rsidRPr="00481FE5">
        <w:rPr>
          <w:rFonts w:ascii="Georgia" w:eastAsia="Times New Roman" w:hAnsi="Georgia" w:cs="Times New Roman"/>
          <w:sz w:val="24"/>
          <w:szCs w:val="24"/>
          <w:highlight w:val="green"/>
          <w:lang w:eastAsia="en-GB"/>
        </w:rPr>
        <w:t xml:space="preserve">The statutes and ordinance quoted above clearly proscribe allowing animals to run at large on fenced public highways, such as the road involved </w:t>
      </w:r>
      <w:r w:rsidRPr="00B91775">
        <w:rPr>
          <w:rFonts w:ascii="Georgia" w:eastAsia="Times New Roman" w:hAnsi="Georgia" w:cs="Times New Roman"/>
          <w:sz w:val="24"/>
          <w:szCs w:val="24"/>
          <w:highlight w:val="green"/>
          <w:lang w:eastAsia="en-GB"/>
        </w:rPr>
        <w:t xml:space="preserve">here; the </w:t>
      </w:r>
      <w:r w:rsidRPr="00481FE5">
        <w:rPr>
          <w:rFonts w:ascii="Georgia" w:eastAsia="Times New Roman" w:hAnsi="Georgia" w:cs="Times New Roman"/>
          <w:sz w:val="24"/>
          <w:szCs w:val="24"/>
          <w:highlight w:val="green"/>
          <w:lang w:eastAsia="en-GB"/>
        </w:rPr>
        <w:t>horses were running free at the time of the accident; plaintiff, a member of the motoring public, was in the class of persons sought to be protected; and his injuries were of the type the legislature sought to avoid.</w:t>
      </w:r>
      <w:r w:rsidRPr="00481FE5">
        <w:rPr>
          <w:rFonts w:ascii="Georgia" w:eastAsia="Times New Roman" w:hAnsi="Georgia" w:cs="Times New Roman"/>
          <w:sz w:val="24"/>
          <w:szCs w:val="24"/>
          <w:lang w:eastAsia="en-GB"/>
        </w:rPr>
        <w:t xml:space="preserve"> According to </w:t>
      </w:r>
      <w:r w:rsidRPr="004B5DD6">
        <w:rPr>
          <w:rFonts w:ascii="Georgia" w:eastAsia="Times New Roman" w:hAnsi="Georgia" w:cs="Times New Roman"/>
          <w:i/>
          <w:iCs/>
          <w:sz w:val="24"/>
          <w:szCs w:val="24"/>
          <w:highlight w:val="cyan"/>
          <w:lang w:eastAsia="en-GB"/>
        </w:rPr>
        <w:t>Mitchell </w:t>
      </w:r>
      <w:r w:rsidRPr="00481FE5">
        <w:rPr>
          <w:rFonts w:ascii="Georgia" w:eastAsia="Times New Roman" w:hAnsi="Georgia" w:cs="Times New Roman"/>
          <w:sz w:val="24"/>
          <w:szCs w:val="24"/>
          <w:highlight w:val="cyan"/>
          <w:lang w:eastAsia="en-GB"/>
        </w:rPr>
        <w:t>and </w:t>
      </w:r>
      <w:r w:rsidRPr="004B5DD6">
        <w:rPr>
          <w:rFonts w:ascii="Georgia" w:eastAsia="Times New Roman" w:hAnsi="Georgia" w:cs="Times New Roman"/>
          <w:i/>
          <w:iCs/>
          <w:sz w:val="24"/>
          <w:szCs w:val="24"/>
          <w:highlight w:val="cyan"/>
          <w:lang w:eastAsia="en-GB"/>
        </w:rPr>
        <w:t>Fireman’s Fund Insurance Co. v. Tucker, </w:t>
      </w:r>
      <w:hyperlink r:id="rId10" w:history="1">
        <w:r w:rsidRPr="004B5DD6">
          <w:rPr>
            <w:rFonts w:ascii="Georgia" w:eastAsia="Times New Roman" w:hAnsi="Georgia" w:cs="Times New Roman"/>
            <w:color w:val="007BFF"/>
            <w:sz w:val="24"/>
            <w:szCs w:val="24"/>
            <w:highlight w:val="cyan"/>
            <w:lang w:eastAsia="en-GB"/>
          </w:rPr>
          <w:t>95 N.M. 56</w:t>
        </w:r>
      </w:hyperlink>
      <w:r w:rsidRPr="00481FE5">
        <w:rPr>
          <w:rFonts w:ascii="Georgia" w:eastAsia="Times New Roman" w:hAnsi="Georgia" w:cs="Times New Roman"/>
          <w:sz w:val="24"/>
          <w:szCs w:val="24"/>
          <w:highlight w:val="cyan"/>
          <w:lang w:eastAsia="en-GB"/>
        </w:rPr>
        <w:t>, </w:t>
      </w:r>
      <w:r w:rsidRPr="004B5DD6">
        <w:rPr>
          <w:rFonts w:ascii="Georgia" w:eastAsia="Times New Roman" w:hAnsi="Georgia" w:cs="Times New Roman"/>
          <w:color w:val="007BFF"/>
          <w:sz w:val="24"/>
          <w:szCs w:val="24"/>
          <w:highlight w:val="cyan"/>
          <w:lang w:eastAsia="en-GB"/>
        </w:rPr>
        <w:t>618 P.2d 894</w:t>
      </w:r>
      <w:r w:rsidRPr="00481FE5">
        <w:rPr>
          <w:rFonts w:ascii="Georgia" w:eastAsia="Times New Roman" w:hAnsi="Georgia" w:cs="Times New Roman"/>
          <w:sz w:val="24"/>
          <w:szCs w:val="24"/>
          <w:highlight w:val="cyan"/>
          <w:lang w:eastAsia="en-GB"/>
        </w:rPr>
        <w:t> (Ct.App.1980)</w:t>
      </w:r>
      <w:r w:rsidRPr="00481FE5">
        <w:rPr>
          <w:rFonts w:ascii="Georgia" w:eastAsia="Times New Roman" w:hAnsi="Georgia" w:cs="Times New Roman"/>
          <w:sz w:val="24"/>
          <w:szCs w:val="24"/>
          <w:lang w:eastAsia="en-GB"/>
        </w:rPr>
        <w:t>, the purpose of Sections 30-8-13 and 66-7-363 is to protect the motoring public.</w:t>
      </w:r>
    </w:p>
    <w:p w14:paraId="1DA8B3DF"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 xml:space="preserve">Evidence presented at trial showed that </w:t>
      </w:r>
      <w:r w:rsidRPr="002933C5">
        <w:rPr>
          <w:rFonts w:ascii="Georgia" w:eastAsia="Times New Roman" w:hAnsi="Georgia" w:cs="Times New Roman"/>
          <w:sz w:val="24"/>
          <w:szCs w:val="24"/>
          <w:highlight w:val="yellow"/>
          <w:lang w:eastAsia="en-GB"/>
        </w:rPr>
        <w:t>livestock had never escaped from the property, and that the horses could not have gotten out of their enclosure unless someone left the gate open</w:t>
      </w:r>
      <w:r w:rsidRPr="00481FE5">
        <w:rPr>
          <w:rFonts w:ascii="Georgia" w:eastAsia="Times New Roman" w:hAnsi="Georgia" w:cs="Times New Roman"/>
          <w:sz w:val="24"/>
          <w:szCs w:val="24"/>
          <w:lang w:eastAsia="en-GB"/>
        </w:rPr>
        <w:t xml:space="preserve">. Robert testified that </w:t>
      </w:r>
      <w:r w:rsidRPr="002933C5">
        <w:rPr>
          <w:rFonts w:ascii="Georgia" w:eastAsia="Times New Roman" w:hAnsi="Georgia" w:cs="Times New Roman"/>
          <w:sz w:val="24"/>
          <w:szCs w:val="24"/>
          <w:highlight w:val="yellow"/>
          <w:lang w:eastAsia="en-GB"/>
        </w:rPr>
        <w:t>a person leaving the gate open would have been negligent.</w:t>
      </w:r>
      <w:r w:rsidRPr="00481FE5">
        <w:rPr>
          <w:rFonts w:ascii="Georgia" w:eastAsia="Times New Roman" w:hAnsi="Georgia" w:cs="Times New Roman"/>
          <w:sz w:val="24"/>
          <w:szCs w:val="24"/>
          <w:lang w:eastAsia="en-GB"/>
        </w:rPr>
        <w:t xml:space="preserve"> Edgar contends that, since he testified without contradiction that he secured the gate when he left, that the fence was sufficiently high to contain the horses, and that there was testimony the gate was found open following the accident, the only possible inference is that someone following Edgar failed to properly close the gate. That was one possible inference, particularly if we know whether Roland left after Edgar and before the accident occurred. But we do not know that. For reasons that do not appear in the record, Roland did not testify. The trial court could just as easily infer that Roland did not leave and that Edgar was the last to open the gate before the accident, given the proximity in time from when he left, shortly after 5:00 p.m., and when the accident occurred, 6:00 p.m.</w:t>
      </w:r>
    </w:p>
    <w:p w14:paraId="1DA8B3E0"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Edgar argues that an inference of negligence on his part is not permissible in face of his testimony that he closed the gate. He also testified, in response to the question of whether the horses could ordinarily get out, absent something wrong with the fence or the gate being left open, “Somebody had to open the gate. I don’t know who did, but somebody had to.” The trial court may have questioned Edgar’s credibility in light of the fact that Roland, his associate and trainer, absented himself from the trial, and Edgar said he never discussed with Roland when he left the evening of the accident.</w:t>
      </w:r>
    </w:p>
    <w:p w14:paraId="1DA8B3E1" w14:textId="53B82DA3"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The trier of fact determines the credibility of the witnesses and resolves conflicts in the evidence. </w:t>
      </w:r>
      <w:r w:rsidRPr="00481FE5">
        <w:rPr>
          <w:rFonts w:ascii="Georgia" w:eastAsia="Times New Roman" w:hAnsi="Georgia" w:cs="Times New Roman"/>
          <w:i/>
          <w:iCs/>
          <w:sz w:val="24"/>
          <w:szCs w:val="24"/>
          <w:lang w:eastAsia="en-GB"/>
        </w:rPr>
        <w:t>Getz v. Equitable Life Assurance Soc’y of United States, </w:t>
      </w:r>
      <w:hyperlink r:id="rId11" w:history="1">
        <w:r w:rsidRPr="00481FE5">
          <w:rPr>
            <w:rFonts w:ascii="Georgia" w:eastAsia="Times New Roman" w:hAnsi="Georgia" w:cs="Times New Roman"/>
            <w:color w:val="007BFF"/>
            <w:sz w:val="24"/>
            <w:szCs w:val="24"/>
            <w:lang w:eastAsia="en-GB"/>
          </w:rPr>
          <w:t>90 N.M. 195</w:t>
        </w:r>
      </w:hyperlink>
      <w:r w:rsidRPr="00481FE5">
        <w:rPr>
          <w:rFonts w:ascii="Georgia" w:eastAsia="Times New Roman" w:hAnsi="Georgia" w:cs="Times New Roman"/>
          <w:sz w:val="24"/>
          <w:szCs w:val="24"/>
          <w:lang w:eastAsia="en-GB"/>
        </w:rPr>
        <w:t>, </w:t>
      </w:r>
      <w:r w:rsidRPr="00481FE5">
        <w:rPr>
          <w:rFonts w:ascii="Georgia" w:eastAsia="Times New Roman" w:hAnsi="Georgia" w:cs="Times New Roman"/>
          <w:color w:val="007BFF"/>
          <w:sz w:val="24"/>
          <w:szCs w:val="24"/>
          <w:lang w:eastAsia="en-GB"/>
        </w:rPr>
        <w:t>561 P.2d 468</w:t>
      </w:r>
      <w:r w:rsidRPr="00481FE5">
        <w:rPr>
          <w:rFonts w:ascii="Georgia" w:eastAsia="Times New Roman" w:hAnsi="Georgia" w:cs="Times New Roman"/>
          <w:sz w:val="24"/>
          <w:szCs w:val="24"/>
          <w:lang w:eastAsia="en-GB"/>
        </w:rPr>
        <w:t>, </w:t>
      </w:r>
      <w:r w:rsidRPr="00481FE5">
        <w:rPr>
          <w:rFonts w:ascii="Georgia" w:eastAsia="Times New Roman" w:hAnsi="Georgia" w:cs="Times New Roman"/>
          <w:i/>
          <w:iCs/>
          <w:sz w:val="24"/>
          <w:szCs w:val="24"/>
          <w:lang w:eastAsia="en-GB"/>
        </w:rPr>
        <w:t>cert. denied, </w:t>
      </w:r>
      <w:hyperlink r:id="rId12" w:history="1">
        <w:r w:rsidRPr="00481FE5">
          <w:rPr>
            <w:rFonts w:ascii="Georgia" w:eastAsia="Times New Roman" w:hAnsi="Georgia" w:cs="Times New Roman"/>
            <w:color w:val="007BFF"/>
            <w:sz w:val="24"/>
            <w:szCs w:val="24"/>
            <w:lang w:eastAsia="en-GB"/>
          </w:rPr>
          <w:t>434 U.S. 834</w:t>
        </w:r>
      </w:hyperlink>
      <w:r w:rsidRPr="00481FE5">
        <w:rPr>
          <w:rFonts w:ascii="Georgia" w:eastAsia="Times New Roman" w:hAnsi="Georgia" w:cs="Times New Roman"/>
          <w:sz w:val="24"/>
          <w:szCs w:val="24"/>
          <w:lang w:eastAsia="en-GB"/>
        </w:rPr>
        <w:t>, </w:t>
      </w:r>
      <w:r w:rsidRPr="007D4314">
        <w:rPr>
          <w:rFonts w:ascii="Georgia" w:eastAsia="Times New Roman" w:hAnsi="Georgia" w:cs="Times New Roman"/>
          <w:color w:val="007BFF"/>
          <w:sz w:val="24"/>
          <w:szCs w:val="24"/>
          <w:lang w:eastAsia="en-GB"/>
        </w:rPr>
        <w:t>98 S.Ct. 121</w:t>
      </w:r>
      <w:r w:rsidRPr="00481FE5">
        <w:rPr>
          <w:rFonts w:ascii="Georgia" w:eastAsia="Times New Roman" w:hAnsi="Georgia" w:cs="Times New Roman"/>
          <w:sz w:val="24"/>
          <w:szCs w:val="24"/>
          <w:lang w:eastAsia="en-GB"/>
        </w:rPr>
        <w:t>, </w:t>
      </w:r>
      <w:hyperlink r:id="rId13" w:history="1">
        <w:r w:rsidRPr="007D4314">
          <w:rPr>
            <w:rFonts w:ascii="Georgia" w:eastAsia="Times New Roman" w:hAnsi="Georgia" w:cs="Times New Roman"/>
            <w:color w:val="007BFF"/>
            <w:sz w:val="24"/>
            <w:szCs w:val="24"/>
            <w:lang w:eastAsia="en-GB"/>
          </w:rPr>
          <w:t>54 L.Ed.2d 95</w:t>
        </w:r>
      </w:hyperlink>
      <w:r w:rsidRPr="00481FE5">
        <w:rPr>
          <w:rFonts w:ascii="Georgia" w:eastAsia="Times New Roman" w:hAnsi="Georgia" w:cs="Times New Roman"/>
          <w:sz w:val="24"/>
          <w:szCs w:val="24"/>
          <w:lang w:eastAsia="en-GB"/>
        </w:rPr>
        <w:t> (1977); </w:t>
      </w:r>
      <w:r w:rsidRPr="007D4314">
        <w:rPr>
          <w:rFonts w:ascii="Georgia" w:eastAsia="Times New Roman" w:hAnsi="Georgia" w:cs="Times New Roman"/>
          <w:i/>
          <w:iCs/>
          <w:sz w:val="24"/>
          <w:szCs w:val="24"/>
          <w:lang w:eastAsia="en-GB"/>
        </w:rPr>
        <w:t>Tapia v. Panhandle Steel Erectors Co., </w:t>
      </w:r>
      <w:r w:rsidRPr="007D4314">
        <w:rPr>
          <w:rFonts w:ascii="Georgia" w:eastAsia="Times New Roman" w:hAnsi="Georgia" w:cs="Times New Roman"/>
          <w:color w:val="007BFF"/>
          <w:sz w:val="24"/>
          <w:szCs w:val="24"/>
          <w:lang w:eastAsia="en-GB"/>
        </w:rPr>
        <w:t>78 N.M. 86</w:t>
      </w:r>
      <w:r w:rsidRPr="00481FE5">
        <w:rPr>
          <w:rFonts w:ascii="Georgia" w:eastAsia="Times New Roman" w:hAnsi="Georgia" w:cs="Times New Roman"/>
          <w:sz w:val="24"/>
          <w:szCs w:val="24"/>
          <w:lang w:eastAsia="en-GB"/>
        </w:rPr>
        <w:t>, </w:t>
      </w:r>
      <w:hyperlink r:id="rId14" w:history="1">
        <w:r w:rsidRPr="007D4314">
          <w:rPr>
            <w:rFonts w:ascii="Georgia" w:eastAsia="Times New Roman" w:hAnsi="Georgia" w:cs="Times New Roman"/>
            <w:color w:val="007BFF"/>
            <w:sz w:val="24"/>
            <w:szCs w:val="24"/>
            <w:lang w:eastAsia="en-GB"/>
          </w:rPr>
          <w:t>428 P.2d 625</w:t>
        </w:r>
      </w:hyperlink>
      <w:r w:rsidRPr="00481FE5">
        <w:rPr>
          <w:rFonts w:ascii="Georgia" w:eastAsia="Times New Roman" w:hAnsi="Georgia" w:cs="Times New Roman"/>
          <w:sz w:val="24"/>
          <w:szCs w:val="24"/>
          <w:lang w:eastAsia="en-GB"/>
        </w:rPr>
        <w:t> (1967). We do not reweigh the evidence, nor do we substitute our judgment for the trial court’s, so long as the trial court’s findings are supported by substantial evidence. </w:t>
      </w:r>
      <w:r w:rsidRPr="007D4314">
        <w:rPr>
          <w:rFonts w:ascii="Georgia" w:eastAsia="Times New Roman" w:hAnsi="Georgia" w:cs="Times New Roman"/>
          <w:i/>
          <w:iCs/>
          <w:sz w:val="24"/>
          <w:szCs w:val="24"/>
          <w:lang w:eastAsia="en-GB"/>
        </w:rPr>
        <w:t>Getz v. Equitable Life Assurance Soc’y of United States.</w:t>
      </w:r>
    </w:p>
    <w:p w14:paraId="1DA8B3E2" w14:textId="478ACFAC" w:rsidR="00481FE5" w:rsidRPr="00481FE5" w:rsidRDefault="00481FE5" w:rsidP="00481FE5">
      <w:pPr>
        <w:spacing w:before="100" w:beforeAutospacing="1" w:after="0"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As to Roland, if the trial court inferred that he remained after Edgar left, it could find him negligent for not observing the unlatched gate or the horses running loose.</w:t>
      </w:r>
      <w:r w:rsidRPr="00481FE5">
        <w:rPr>
          <w:rFonts w:ascii="Georgia" w:eastAsia="Times New Roman" w:hAnsi="Georgia" w:cs="Times New Roman"/>
          <w:b/>
          <w:bCs/>
          <w:color w:val="E878FF"/>
          <w:sz w:val="24"/>
          <w:szCs w:val="24"/>
          <w:vertAlign w:val="superscript"/>
          <w:lang w:eastAsia="en-GB"/>
        </w:rPr>
        <w:t>1</w:t>
      </w:r>
    </w:p>
    <w:p w14:paraId="1DA8B3E3" w14:textId="4C18642B"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 xml:space="preserve">In this case, </w:t>
      </w:r>
      <w:r w:rsidRPr="00481FE5">
        <w:rPr>
          <w:rFonts w:ascii="Georgia" w:eastAsia="Times New Roman" w:hAnsi="Georgia" w:cs="Times New Roman"/>
          <w:sz w:val="24"/>
          <w:szCs w:val="24"/>
          <w:highlight w:val="green"/>
          <w:lang w:eastAsia="en-GB"/>
        </w:rPr>
        <w:t xml:space="preserve">because it is undisputed that the animals were running at large, and that they could not have escaped without someone’s negligence, plaintiff carried his burden of showing a violation of the </w:t>
      </w:r>
      <w:r w:rsidRPr="002933C5">
        <w:rPr>
          <w:rFonts w:ascii="Georgia" w:eastAsia="Times New Roman" w:hAnsi="Georgia" w:cs="Times New Roman"/>
          <w:sz w:val="24"/>
          <w:szCs w:val="24"/>
          <w:highlight w:val="green"/>
          <w:lang w:eastAsia="en-GB"/>
        </w:rPr>
        <w:t>statute.</w:t>
      </w:r>
      <w:r w:rsidRPr="002933C5">
        <w:rPr>
          <w:rFonts w:ascii="Georgia" w:eastAsia="Times New Roman" w:hAnsi="Georgia" w:cs="Times New Roman"/>
          <w:sz w:val="24"/>
          <w:szCs w:val="24"/>
          <w:lang w:eastAsia="en-GB"/>
        </w:rPr>
        <w:t xml:space="preserve"> </w:t>
      </w:r>
      <w:r w:rsidRPr="002933C5">
        <w:rPr>
          <w:rFonts w:ascii="Georgia" w:eastAsia="Times New Roman" w:hAnsi="Georgia" w:cs="Times New Roman"/>
          <w:sz w:val="24"/>
          <w:szCs w:val="24"/>
          <w:highlight w:val="green"/>
          <w:lang w:eastAsia="en-GB"/>
        </w:rPr>
        <w:t>Defendants have not pointed to any evidence which would excuse the violation of the statute</w:t>
      </w:r>
      <w:r w:rsidRPr="00481FE5">
        <w:rPr>
          <w:rFonts w:ascii="Georgia" w:eastAsia="Times New Roman" w:hAnsi="Georgia" w:cs="Times New Roman"/>
          <w:sz w:val="24"/>
          <w:szCs w:val="24"/>
          <w:lang w:eastAsia="en-GB"/>
        </w:rPr>
        <w:t>, that is, that they did what might reasonably be expected of a person of ordinary prudence, under similar circumstances, who desired to comply with the law. </w:t>
      </w:r>
      <w:r w:rsidRPr="00481FE5">
        <w:rPr>
          <w:rFonts w:ascii="Georgia" w:eastAsia="Times New Roman" w:hAnsi="Georgia" w:cs="Times New Roman"/>
          <w:i/>
          <w:iCs/>
          <w:sz w:val="24"/>
          <w:szCs w:val="24"/>
          <w:lang w:eastAsia="en-GB"/>
        </w:rPr>
        <w:t xml:space="preserve">See </w:t>
      </w:r>
      <w:r w:rsidRPr="004B5DD6">
        <w:rPr>
          <w:rFonts w:ascii="Georgia" w:eastAsia="Times New Roman" w:hAnsi="Georgia" w:cs="Times New Roman"/>
          <w:i/>
          <w:iCs/>
          <w:sz w:val="24"/>
          <w:szCs w:val="24"/>
          <w:highlight w:val="cyan"/>
          <w:lang w:eastAsia="en-GB"/>
        </w:rPr>
        <w:t>Sanchez v. J. Barron Rice, Inc., </w:t>
      </w:r>
      <w:hyperlink r:id="rId15" w:history="1">
        <w:r w:rsidRPr="004B5DD6">
          <w:rPr>
            <w:rFonts w:ascii="Georgia" w:eastAsia="Times New Roman" w:hAnsi="Georgia" w:cs="Times New Roman"/>
            <w:color w:val="007BFF"/>
            <w:sz w:val="24"/>
            <w:szCs w:val="24"/>
            <w:highlight w:val="cyan"/>
            <w:lang w:eastAsia="en-GB"/>
          </w:rPr>
          <w:t>77 N.M. 717</w:t>
        </w:r>
      </w:hyperlink>
      <w:r w:rsidRPr="00481FE5">
        <w:rPr>
          <w:rFonts w:ascii="Georgia" w:eastAsia="Times New Roman" w:hAnsi="Georgia" w:cs="Times New Roman"/>
          <w:sz w:val="24"/>
          <w:szCs w:val="24"/>
          <w:highlight w:val="cyan"/>
          <w:lang w:eastAsia="en-GB"/>
        </w:rPr>
        <w:t>, </w:t>
      </w:r>
      <w:r w:rsidRPr="004B5DD6">
        <w:rPr>
          <w:rFonts w:ascii="Georgia" w:eastAsia="Times New Roman" w:hAnsi="Georgia" w:cs="Times New Roman"/>
          <w:color w:val="007BFF"/>
          <w:sz w:val="24"/>
          <w:szCs w:val="24"/>
          <w:highlight w:val="cyan"/>
          <w:lang w:eastAsia="en-GB"/>
        </w:rPr>
        <w:t>427 P.2d 240</w:t>
      </w:r>
      <w:r w:rsidRPr="00481FE5">
        <w:rPr>
          <w:rFonts w:ascii="Georgia" w:eastAsia="Times New Roman" w:hAnsi="Georgia" w:cs="Times New Roman"/>
          <w:sz w:val="24"/>
          <w:szCs w:val="24"/>
          <w:highlight w:val="cyan"/>
          <w:lang w:eastAsia="en-GB"/>
        </w:rPr>
        <w:t> (1967)</w:t>
      </w:r>
      <w:r w:rsidRPr="00481FE5">
        <w:rPr>
          <w:rFonts w:ascii="Georgia" w:eastAsia="Times New Roman" w:hAnsi="Georgia" w:cs="Times New Roman"/>
          <w:sz w:val="24"/>
          <w:szCs w:val="24"/>
          <w:lang w:eastAsia="en-GB"/>
        </w:rPr>
        <w:t>.</w:t>
      </w:r>
    </w:p>
    <w:p w14:paraId="1DA8B3E4"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highlight w:val="red"/>
          <w:lang w:eastAsia="en-GB"/>
        </w:rPr>
        <w:t xml:space="preserve">We therefore affirm the trial court’s finding that defendants’ violation of the statutes and ordinance constituted negligence for which they were </w:t>
      </w:r>
      <w:r w:rsidRPr="002933C5">
        <w:rPr>
          <w:rFonts w:ascii="Georgia" w:eastAsia="Times New Roman" w:hAnsi="Georgia" w:cs="Times New Roman"/>
          <w:sz w:val="24"/>
          <w:szCs w:val="24"/>
          <w:highlight w:val="red"/>
          <w:lang w:eastAsia="en-GB"/>
        </w:rPr>
        <w:t>liable.</w:t>
      </w:r>
    </w:p>
    <w:p w14:paraId="1DA8B3E5"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2. </w:t>
      </w:r>
      <w:r w:rsidRPr="00481FE5">
        <w:rPr>
          <w:rFonts w:ascii="Georgia" w:eastAsia="Times New Roman" w:hAnsi="Georgia" w:cs="Times New Roman"/>
          <w:i/>
          <w:iCs/>
          <w:sz w:val="24"/>
          <w:szCs w:val="24"/>
          <w:lang w:eastAsia="en-GB"/>
        </w:rPr>
        <w:t>Joint and Several Liability Versus Apportionment</w:t>
      </w:r>
    </w:p>
    <w:p w14:paraId="1DA8B3E6" w14:textId="6764F579"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Except to the extent modified by statute, NMSA 1978, Section 41-3A-1 (Cum.Supp</w:t>
      </w:r>
      <w:r w:rsidRPr="002933C5">
        <w:rPr>
          <w:rFonts w:ascii="Georgia" w:eastAsia="Times New Roman" w:hAnsi="Georgia" w:cs="Times New Roman"/>
          <w:sz w:val="24"/>
          <w:szCs w:val="24"/>
          <w:lang w:eastAsia="en-GB"/>
        </w:rPr>
        <w:t>.1988), which the parties agree does not apply to this case, joint and sever</w:t>
      </w:r>
      <w:hyperlink r:id="rId16" w:anchor="p700" w:history="1">
        <w:r w:rsidRPr="002933C5">
          <w:rPr>
            <w:rFonts w:ascii="Georgia" w:eastAsia="Times New Roman" w:hAnsi="Georgia" w:cs="Times New Roman"/>
            <w:i/>
            <w:iCs/>
            <w:color w:val="979797"/>
            <w:sz w:val="19"/>
            <w:szCs w:val="19"/>
            <w:lang w:eastAsia="en-GB"/>
          </w:rPr>
          <w:t>*700</w:t>
        </w:r>
      </w:hyperlink>
      <w:r w:rsidRPr="002933C5">
        <w:rPr>
          <w:rFonts w:ascii="Georgia" w:eastAsia="Times New Roman" w:hAnsi="Georgia" w:cs="Times New Roman"/>
          <w:sz w:val="24"/>
          <w:szCs w:val="24"/>
          <w:lang w:eastAsia="en-GB"/>
        </w:rPr>
        <w:t>al liability among concurrent tortfeasors no longer exists in New Mexico. </w:t>
      </w:r>
      <w:r w:rsidRPr="002933C5">
        <w:rPr>
          <w:rFonts w:ascii="Georgia" w:eastAsia="Times New Roman" w:hAnsi="Georgia" w:cs="Times New Roman"/>
          <w:i/>
          <w:iCs/>
          <w:sz w:val="24"/>
          <w:szCs w:val="24"/>
          <w:lang w:eastAsia="en-GB"/>
        </w:rPr>
        <w:t>Bartlett v. New Mexico Welding Supply, Inc., </w:t>
      </w:r>
      <w:r w:rsidRPr="002933C5">
        <w:rPr>
          <w:rFonts w:ascii="Georgia" w:eastAsia="Times New Roman" w:hAnsi="Georgia" w:cs="Times New Roman"/>
          <w:color w:val="007BFF"/>
          <w:sz w:val="24"/>
          <w:szCs w:val="24"/>
          <w:lang w:eastAsia="en-GB"/>
        </w:rPr>
        <w:t>98 N.M. 152</w:t>
      </w:r>
      <w:r w:rsidRPr="002933C5">
        <w:rPr>
          <w:rFonts w:ascii="Georgia" w:eastAsia="Times New Roman" w:hAnsi="Georgia" w:cs="Times New Roman"/>
          <w:sz w:val="24"/>
          <w:szCs w:val="24"/>
          <w:lang w:eastAsia="en-GB"/>
        </w:rPr>
        <w:t>, </w:t>
      </w:r>
      <w:hyperlink r:id="rId17" w:history="1">
        <w:r w:rsidRPr="002933C5">
          <w:rPr>
            <w:rFonts w:ascii="Georgia" w:eastAsia="Times New Roman" w:hAnsi="Georgia" w:cs="Times New Roman"/>
            <w:color w:val="007BFF"/>
            <w:sz w:val="24"/>
            <w:szCs w:val="24"/>
            <w:lang w:eastAsia="en-GB"/>
          </w:rPr>
          <w:t>646 P.2d 579</w:t>
        </w:r>
      </w:hyperlink>
      <w:r w:rsidRPr="002933C5">
        <w:rPr>
          <w:rFonts w:ascii="Georgia" w:eastAsia="Times New Roman" w:hAnsi="Georgia" w:cs="Times New Roman"/>
          <w:sz w:val="24"/>
          <w:szCs w:val="24"/>
          <w:lang w:eastAsia="en-GB"/>
        </w:rPr>
        <w:t> (Ct.App.1982). </w:t>
      </w:r>
      <w:r w:rsidRPr="002933C5">
        <w:rPr>
          <w:rFonts w:ascii="Georgia" w:eastAsia="Times New Roman" w:hAnsi="Georgia" w:cs="Times New Roman"/>
          <w:i/>
          <w:iCs/>
          <w:sz w:val="24"/>
          <w:szCs w:val="24"/>
          <w:lang w:eastAsia="en-GB"/>
        </w:rPr>
        <w:t>See also Wilson v. Galt, </w:t>
      </w:r>
      <w:r w:rsidRPr="002933C5">
        <w:rPr>
          <w:rFonts w:ascii="Georgia" w:eastAsia="Times New Roman" w:hAnsi="Georgia" w:cs="Times New Roman"/>
          <w:color w:val="007BFF"/>
          <w:sz w:val="24"/>
          <w:szCs w:val="24"/>
          <w:lang w:eastAsia="en-GB"/>
        </w:rPr>
        <w:t>100 N.M. 227</w:t>
      </w:r>
      <w:r w:rsidRPr="002933C5">
        <w:rPr>
          <w:rFonts w:ascii="Georgia" w:eastAsia="Times New Roman" w:hAnsi="Georgia" w:cs="Times New Roman"/>
          <w:sz w:val="24"/>
          <w:szCs w:val="24"/>
          <w:lang w:eastAsia="en-GB"/>
        </w:rPr>
        <w:t>, </w:t>
      </w:r>
      <w:hyperlink r:id="rId18" w:history="1">
        <w:r w:rsidRPr="002933C5">
          <w:rPr>
            <w:rFonts w:ascii="Georgia" w:eastAsia="Times New Roman" w:hAnsi="Georgia" w:cs="Times New Roman"/>
            <w:color w:val="007BFF"/>
            <w:sz w:val="24"/>
            <w:szCs w:val="24"/>
            <w:lang w:eastAsia="en-GB"/>
          </w:rPr>
          <w:t>668 P.2d 1104</w:t>
        </w:r>
      </w:hyperlink>
      <w:r w:rsidRPr="002933C5">
        <w:rPr>
          <w:rFonts w:ascii="Georgia" w:eastAsia="Times New Roman" w:hAnsi="Georgia" w:cs="Times New Roman"/>
          <w:sz w:val="24"/>
          <w:szCs w:val="24"/>
          <w:lang w:eastAsia="en-GB"/>
        </w:rPr>
        <w:t> (Ct.App.1983). Each concurrent tortfeasor is liable only for his apportioned fault or negligence. </w:t>
      </w:r>
      <w:r w:rsidRPr="002933C5">
        <w:rPr>
          <w:rFonts w:ascii="Georgia" w:eastAsia="Times New Roman" w:hAnsi="Georgia" w:cs="Times New Roman"/>
          <w:i/>
          <w:iCs/>
          <w:sz w:val="24"/>
          <w:szCs w:val="24"/>
          <w:lang w:eastAsia="en-GB"/>
        </w:rPr>
        <w:t>Bartlett v. New Mexico Welding Supply, Inc. </w:t>
      </w:r>
      <w:r w:rsidRPr="002933C5">
        <w:rPr>
          <w:rFonts w:ascii="Georgia" w:eastAsia="Times New Roman" w:hAnsi="Georgia" w:cs="Times New Roman"/>
          <w:sz w:val="24"/>
          <w:szCs w:val="24"/>
          <w:lang w:eastAsia="en-GB"/>
        </w:rPr>
        <w:t>The appellate courts have not heretofore considered whether the relationship between concurrent tortfeasors and the manner in which they transact their business that gives rise to the damages inflicted makes any difference. The trial court determined it did in this case.</w:t>
      </w:r>
    </w:p>
    <w:p w14:paraId="1DA8B3E7"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(a) </w:t>
      </w:r>
      <w:r w:rsidRPr="002933C5">
        <w:rPr>
          <w:rFonts w:ascii="Georgia" w:eastAsia="Times New Roman" w:hAnsi="Georgia" w:cs="Times New Roman"/>
          <w:i/>
          <w:iCs/>
          <w:sz w:val="24"/>
          <w:szCs w:val="24"/>
          <w:lang w:eastAsia="en-GB"/>
        </w:rPr>
        <w:t>Joint Venture</w:t>
      </w:r>
    </w:p>
    <w:p w14:paraId="1DA8B3E8" w14:textId="09518D52"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The trial court found that a joint venture existed between defendants “regarding the care, maintenance and control of the fenced enclousre [sic] holding the two horses.” Because a joint venture is a partnership for a single transaction, </w:t>
      </w:r>
      <w:r w:rsidRPr="002933C5">
        <w:rPr>
          <w:rFonts w:ascii="Georgia" w:eastAsia="Times New Roman" w:hAnsi="Georgia" w:cs="Times New Roman"/>
          <w:i/>
          <w:iCs/>
          <w:sz w:val="24"/>
          <w:szCs w:val="24"/>
          <w:lang w:eastAsia="en-GB"/>
        </w:rPr>
        <w:t>Hansler v. Bass, </w:t>
      </w:r>
      <w:r w:rsidRPr="002933C5">
        <w:rPr>
          <w:rFonts w:ascii="Georgia" w:eastAsia="Times New Roman" w:hAnsi="Georgia" w:cs="Times New Roman"/>
          <w:color w:val="007BFF"/>
          <w:sz w:val="24"/>
          <w:szCs w:val="24"/>
          <w:lang w:eastAsia="en-GB"/>
        </w:rPr>
        <w:t>106 N.M. 382</w:t>
      </w:r>
      <w:r w:rsidRPr="002933C5">
        <w:rPr>
          <w:rFonts w:ascii="Georgia" w:eastAsia="Times New Roman" w:hAnsi="Georgia" w:cs="Times New Roman"/>
          <w:sz w:val="24"/>
          <w:szCs w:val="24"/>
          <w:lang w:eastAsia="en-GB"/>
        </w:rPr>
        <w:t>, </w:t>
      </w:r>
      <w:hyperlink r:id="rId19" w:history="1">
        <w:r w:rsidRPr="002933C5">
          <w:rPr>
            <w:rFonts w:ascii="Georgia" w:eastAsia="Times New Roman" w:hAnsi="Georgia" w:cs="Times New Roman"/>
            <w:color w:val="007BFF"/>
            <w:sz w:val="24"/>
            <w:szCs w:val="24"/>
            <w:lang w:eastAsia="en-GB"/>
          </w:rPr>
          <w:t>743 P.2d 1031</w:t>
        </w:r>
      </w:hyperlink>
      <w:r w:rsidRPr="002933C5">
        <w:rPr>
          <w:rFonts w:ascii="Georgia" w:eastAsia="Times New Roman" w:hAnsi="Georgia" w:cs="Times New Roman"/>
          <w:sz w:val="24"/>
          <w:szCs w:val="24"/>
          <w:lang w:eastAsia="en-GB"/>
        </w:rPr>
        <w:t> (Ct.App.1987), and partners are jointly and severally liable for the obligations of the partnership, NMSA 1978, Section 54-1-15 (Repl.Pamp.1988), the trial court found Edgar and Roland jointly and severally liable for the full amount of plaintiffs damages. </w:t>
      </w:r>
      <w:r w:rsidRPr="002933C5">
        <w:rPr>
          <w:rFonts w:ascii="Georgia" w:eastAsia="Times New Roman" w:hAnsi="Georgia" w:cs="Times New Roman"/>
          <w:i/>
          <w:iCs/>
          <w:sz w:val="24"/>
          <w:szCs w:val="24"/>
          <w:lang w:eastAsia="en-GB"/>
        </w:rPr>
        <w:t>See Boise City Farmers Coop. v. Layton, </w:t>
      </w:r>
      <w:r w:rsidRPr="002933C5">
        <w:rPr>
          <w:rFonts w:ascii="Georgia" w:eastAsia="Times New Roman" w:hAnsi="Georgia" w:cs="Times New Roman"/>
          <w:color w:val="007BFF"/>
          <w:sz w:val="24"/>
          <w:szCs w:val="24"/>
          <w:lang w:eastAsia="en-GB"/>
        </w:rPr>
        <w:t>83 N.M. 248</w:t>
      </w:r>
      <w:r w:rsidRPr="002933C5">
        <w:rPr>
          <w:rFonts w:ascii="Georgia" w:eastAsia="Times New Roman" w:hAnsi="Georgia" w:cs="Times New Roman"/>
          <w:sz w:val="24"/>
          <w:szCs w:val="24"/>
          <w:lang w:eastAsia="en-GB"/>
        </w:rPr>
        <w:t>, </w:t>
      </w:r>
      <w:hyperlink r:id="rId20" w:history="1">
        <w:r w:rsidRPr="002933C5">
          <w:rPr>
            <w:rFonts w:ascii="Georgia" w:eastAsia="Times New Roman" w:hAnsi="Georgia" w:cs="Times New Roman"/>
            <w:color w:val="007BFF"/>
            <w:sz w:val="24"/>
            <w:szCs w:val="24"/>
            <w:lang w:eastAsia="en-GB"/>
          </w:rPr>
          <w:t>490 P.2d 965</w:t>
        </w:r>
      </w:hyperlink>
      <w:r w:rsidRPr="002933C5">
        <w:rPr>
          <w:rFonts w:ascii="Georgia" w:eastAsia="Times New Roman" w:hAnsi="Georgia" w:cs="Times New Roman"/>
          <w:sz w:val="24"/>
          <w:szCs w:val="24"/>
          <w:lang w:eastAsia="en-GB"/>
        </w:rPr>
        <w:t> (1971).</w:t>
      </w:r>
    </w:p>
    <w:p w14:paraId="1DA8B3E9" w14:textId="6412C6C4"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i/>
          <w:iCs/>
          <w:sz w:val="24"/>
          <w:szCs w:val="24"/>
          <w:lang w:eastAsia="en-GB"/>
        </w:rPr>
        <w:t>Cooper v. Curry, </w:t>
      </w:r>
      <w:r w:rsidRPr="002933C5">
        <w:rPr>
          <w:rFonts w:ascii="Georgia" w:eastAsia="Times New Roman" w:hAnsi="Georgia" w:cs="Times New Roman"/>
          <w:color w:val="007BFF"/>
          <w:sz w:val="24"/>
          <w:szCs w:val="24"/>
          <w:lang w:eastAsia="en-GB"/>
        </w:rPr>
        <w:t>92 N.M. 417</w:t>
      </w:r>
      <w:r w:rsidRPr="002933C5">
        <w:rPr>
          <w:rFonts w:ascii="Georgia" w:eastAsia="Times New Roman" w:hAnsi="Georgia" w:cs="Times New Roman"/>
          <w:sz w:val="24"/>
          <w:szCs w:val="24"/>
          <w:lang w:eastAsia="en-GB"/>
        </w:rPr>
        <w:t>, </w:t>
      </w:r>
      <w:hyperlink r:id="rId21" w:history="1">
        <w:r w:rsidRPr="002933C5">
          <w:rPr>
            <w:rFonts w:ascii="Georgia" w:eastAsia="Times New Roman" w:hAnsi="Georgia" w:cs="Times New Roman"/>
            <w:color w:val="007BFF"/>
            <w:sz w:val="24"/>
            <w:szCs w:val="24"/>
            <w:lang w:eastAsia="en-GB"/>
          </w:rPr>
          <w:t>589 P.2d 201</w:t>
        </w:r>
      </w:hyperlink>
      <w:r w:rsidRPr="002933C5">
        <w:rPr>
          <w:rFonts w:ascii="Georgia" w:eastAsia="Times New Roman" w:hAnsi="Georgia" w:cs="Times New Roman"/>
          <w:sz w:val="24"/>
          <w:szCs w:val="24"/>
          <w:lang w:eastAsia="en-GB"/>
        </w:rPr>
        <w:t> (Ct.App.1978), holds,</w:t>
      </w:r>
    </w:p>
    <w:p w14:paraId="1DA8B3EA" w14:textId="77777777" w:rsidR="00481FE5" w:rsidRPr="002933C5" w:rsidRDefault="00481FE5" w:rsidP="00481FE5">
      <w:pPr>
        <w:spacing w:after="100" w:line="240" w:lineRule="auto"/>
        <w:rPr>
          <w:rFonts w:ascii="Georgia" w:eastAsia="Times New Roman" w:hAnsi="Georgia" w:cs="Times New Roman"/>
          <w:color w:val="004FB3"/>
          <w:sz w:val="24"/>
          <w:szCs w:val="24"/>
          <w:lang w:eastAsia="en-GB"/>
        </w:rPr>
      </w:pPr>
      <w:r w:rsidRPr="002933C5">
        <w:rPr>
          <w:rFonts w:ascii="Georgia" w:eastAsia="Times New Roman" w:hAnsi="Georgia" w:cs="Times New Roman"/>
          <w:color w:val="004FB3"/>
          <w:sz w:val="24"/>
          <w:szCs w:val="24"/>
          <w:lang w:eastAsia="en-GB"/>
        </w:rPr>
        <w:t>“As a general rule, in order to constitute a joint adventure there must be a community of interest in the performance of a common purpose, a joint proprietary interest in the subject matter, a mutual right to control, a right to share in the profits, and a duty to share in any losses which may be sustained.”</w:t>
      </w:r>
    </w:p>
    <w:p w14:paraId="1DA8B3EB" w14:textId="6AE87313"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92 N.M. at 421, 589 P.2d at 205 (quoting </w:t>
      </w:r>
      <w:r w:rsidRPr="002933C5">
        <w:rPr>
          <w:rFonts w:ascii="Georgia" w:eastAsia="Times New Roman" w:hAnsi="Georgia" w:cs="Times New Roman"/>
          <w:i/>
          <w:iCs/>
          <w:sz w:val="24"/>
          <w:szCs w:val="24"/>
          <w:lang w:eastAsia="en-GB"/>
        </w:rPr>
        <w:t>Underwood v. Holy Name of Jesus Hosp., </w:t>
      </w:r>
      <w:r w:rsidRPr="002933C5">
        <w:rPr>
          <w:rFonts w:ascii="Georgia" w:eastAsia="Times New Roman" w:hAnsi="Georgia" w:cs="Times New Roman"/>
          <w:color w:val="007BFF"/>
          <w:sz w:val="24"/>
          <w:szCs w:val="24"/>
          <w:lang w:eastAsia="en-GB"/>
        </w:rPr>
        <w:t>289 Ala. 216</w:t>
      </w:r>
      <w:r w:rsidRPr="002933C5">
        <w:rPr>
          <w:rFonts w:ascii="Georgia" w:eastAsia="Times New Roman" w:hAnsi="Georgia" w:cs="Times New Roman"/>
          <w:sz w:val="24"/>
          <w:szCs w:val="24"/>
          <w:lang w:eastAsia="en-GB"/>
        </w:rPr>
        <w:t>, 219, </w:t>
      </w:r>
      <w:hyperlink r:id="rId22" w:history="1">
        <w:r w:rsidRPr="002933C5">
          <w:rPr>
            <w:rFonts w:ascii="Georgia" w:eastAsia="Times New Roman" w:hAnsi="Georgia" w:cs="Times New Roman"/>
            <w:color w:val="007BFF"/>
            <w:sz w:val="24"/>
            <w:szCs w:val="24"/>
            <w:lang w:eastAsia="en-GB"/>
          </w:rPr>
          <w:t>266 So.2d 773</w:t>
        </w:r>
      </w:hyperlink>
      <w:r w:rsidRPr="002933C5">
        <w:rPr>
          <w:rFonts w:ascii="Georgia" w:eastAsia="Times New Roman" w:hAnsi="Georgia" w:cs="Times New Roman"/>
          <w:sz w:val="24"/>
          <w:szCs w:val="24"/>
          <w:lang w:eastAsia="en-GB"/>
        </w:rPr>
        <w:t>, 776 (1972).</w:t>
      </w:r>
    </w:p>
    <w:p w14:paraId="1DA8B3EC"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We agree with Edgar that proof of several of the elements was missing. In fact, the only evidence suggesting a joint venture was testimony that Edgar and Roland kept their respective horses on Robert’s property, and that they shared responsibility for feeding and watering the horses and for keeping them from running loose. They usually performed these chores several times a day and usually did it together. There was also evidence of mutual exclusive control over the responsibilities for restraining the horses.</w:t>
      </w:r>
    </w:p>
    <w:p w14:paraId="1DA8B3ED"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Lacking, however, is any proof of a joint proprietary interest, a right to share in the profits, and a duty to share in any losses. In fact, the evidence indicates Edgar maintained several horses on the property; Roland had only one. The evidence is more indicative of an arrangement of convenience.</w:t>
      </w:r>
    </w:p>
    <w:p w14:paraId="1DA8B3EE" w14:textId="2152E183"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A joint venture is never presumed and the burden to establish it remains with the party who alleges or relies on it. </w:t>
      </w:r>
      <w:r w:rsidRPr="002933C5">
        <w:rPr>
          <w:rFonts w:ascii="Georgia" w:eastAsia="Times New Roman" w:hAnsi="Georgia" w:cs="Times New Roman"/>
          <w:i/>
          <w:iCs/>
          <w:sz w:val="24"/>
          <w:szCs w:val="24"/>
          <w:lang w:eastAsia="en-GB"/>
        </w:rPr>
        <w:t>Dean Vincent, Inc. v. Russell’s Realty, Inc., </w:t>
      </w:r>
      <w:r w:rsidRPr="002933C5">
        <w:rPr>
          <w:rFonts w:ascii="Georgia" w:eastAsia="Times New Roman" w:hAnsi="Georgia" w:cs="Times New Roman"/>
          <w:color w:val="007BFF"/>
          <w:sz w:val="24"/>
          <w:szCs w:val="24"/>
          <w:lang w:eastAsia="en-GB"/>
        </w:rPr>
        <w:t>268 Or. 456</w:t>
      </w:r>
      <w:r w:rsidRPr="002933C5">
        <w:rPr>
          <w:rFonts w:ascii="Georgia" w:eastAsia="Times New Roman" w:hAnsi="Georgia" w:cs="Times New Roman"/>
          <w:sz w:val="24"/>
          <w:szCs w:val="24"/>
          <w:lang w:eastAsia="en-GB"/>
        </w:rPr>
        <w:t>, </w:t>
      </w:r>
      <w:hyperlink r:id="rId23" w:history="1">
        <w:r w:rsidRPr="002933C5">
          <w:rPr>
            <w:rFonts w:ascii="Georgia" w:eastAsia="Times New Roman" w:hAnsi="Georgia" w:cs="Times New Roman"/>
            <w:color w:val="007BFF"/>
            <w:sz w:val="24"/>
            <w:szCs w:val="24"/>
            <w:lang w:eastAsia="en-GB"/>
          </w:rPr>
          <w:t>521 P.2d 334</w:t>
        </w:r>
      </w:hyperlink>
      <w:r w:rsidRPr="002933C5">
        <w:rPr>
          <w:rFonts w:ascii="Georgia" w:eastAsia="Times New Roman" w:hAnsi="Georgia" w:cs="Times New Roman"/>
          <w:sz w:val="24"/>
          <w:szCs w:val="24"/>
          <w:lang w:eastAsia="en-GB"/>
        </w:rPr>
        <w:t> (1974) (In Banc). Here plaintiff did not plead a joint venture. In fact, the subject did not come up until the trial court raised it at the conclusion of the proof.</w:t>
      </w:r>
    </w:p>
    <w:p w14:paraId="1DA8B3EF"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Assuming, without deciding, that a joint venture between two or more concurrent tortfeasors would make them jointly and severally liable, the evidence here did not make out a joint venture. We defer that issue to a case in which joint venture has been established.</w:t>
      </w:r>
    </w:p>
    <w:p w14:paraId="1DA8B3F0"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(b) </w:t>
      </w:r>
      <w:r w:rsidRPr="002933C5">
        <w:rPr>
          <w:rFonts w:ascii="Georgia" w:eastAsia="Times New Roman" w:hAnsi="Georgia" w:cs="Times New Roman"/>
          <w:i/>
          <w:iCs/>
          <w:sz w:val="24"/>
          <w:szCs w:val="24"/>
          <w:lang w:eastAsia="en-GB"/>
        </w:rPr>
        <w:t>Apportionment</w:t>
      </w:r>
    </w:p>
    <w:p w14:paraId="1DA8B3F1"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Defendants’ brief-in-chief, relying on </w:t>
      </w:r>
      <w:r w:rsidRPr="002933C5">
        <w:rPr>
          <w:rFonts w:ascii="Georgia" w:eastAsia="Times New Roman" w:hAnsi="Georgia" w:cs="Times New Roman"/>
          <w:i/>
          <w:iCs/>
          <w:sz w:val="24"/>
          <w:szCs w:val="24"/>
          <w:lang w:eastAsia="en-GB"/>
        </w:rPr>
        <w:t>Bartlett, </w:t>
      </w:r>
      <w:r w:rsidRPr="002933C5">
        <w:rPr>
          <w:rFonts w:ascii="Georgia" w:eastAsia="Times New Roman" w:hAnsi="Georgia" w:cs="Times New Roman"/>
          <w:sz w:val="24"/>
          <w:szCs w:val="24"/>
          <w:lang w:eastAsia="en-GB"/>
        </w:rPr>
        <w:t>argues that the trial court erred in not apportioning fault between them, suggesting, “The evidence in this case and the only permissible inference is that Mr. Hohenberg was the more negligent party.”</w:t>
      </w:r>
    </w:p>
    <w:p w14:paraId="1DA8B3F2"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We agree that the trial court must apportion fault in this case, and remand for that purpose. Because of the rather unusual circumstances, we offer guidance to the trial court.</w:t>
      </w:r>
    </w:p>
    <w:p w14:paraId="1DA8B3F3" w14:textId="7BCFA584"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The question presented is, How does the trier of fact apportion fault or negligence when there is no direct evidence as to which concurrent tortfeasor caused the harm? Ancillary to that question is the further question of which party bears the </w:t>
      </w:r>
      <w:r w:rsidRPr="002933C5">
        <w:rPr>
          <w:rFonts w:ascii="Georgia" w:eastAsia="Times New Roman" w:hAnsi="Georgia" w:cs="Times New Roman"/>
          <w:i/>
          <w:iCs/>
          <w:color w:val="979797"/>
          <w:sz w:val="19"/>
          <w:szCs w:val="19"/>
          <w:lang w:eastAsia="en-GB"/>
        </w:rPr>
        <w:t>*701</w:t>
      </w:r>
      <w:r w:rsidRPr="002933C5">
        <w:rPr>
          <w:rFonts w:ascii="Georgia" w:eastAsia="Times New Roman" w:hAnsi="Georgia" w:cs="Times New Roman"/>
          <w:sz w:val="24"/>
          <w:szCs w:val="24"/>
          <w:lang w:eastAsia="en-GB"/>
        </w:rPr>
        <w:t>burden of proving apportionment under these circumstances.</w:t>
      </w:r>
    </w:p>
    <w:p w14:paraId="1DA8B3F4"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Normally, of course, the plaintiff bears the burden of proving that a defendant’s negligence caused his injury. In cases such as this, however, we hold that, where defendants are independent but concurrent tortfeasors and thus each liable for the damage caused by him alone, but the matter of apportionment is incapable of proof, the innocent wronged party should not be deprived of redress. Rather, the wrongdoers should be left to work out between themselves any apportionment. Under the circumstances present in this case, the burden shifts to each defendant to absolve himself, if he can, thereby relieving the wronged party of the duty of apportioning fault as between defendants.</w:t>
      </w:r>
    </w:p>
    <w:p w14:paraId="1DA8B3F5" w14:textId="71D581A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i/>
          <w:iCs/>
          <w:sz w:val="24"/>
          <w:szCs w:val="24"/>
          <w:lang w:eastAsia="en-GB"/>
        </w:rPr>
        <w:t>Summers v. Tice, </w:t>
      </w:r>
      <w:hyperlink r:id="rId24" w:history="1">
        <w:r w:rsidRPr="002933C5">
          <w:rPr>
            <w:rFonts w:ascii="Georgia" w:eastAsia="Times New Roman" w:hAnsi="Georgia" w:cs="Times New Roman"/>
            <w:color w:val="007BFF"/>
            <w:sz w:val="24"/>
            <w:szCs w:val="24"/>
            <w:lang w:eastAsia="en-GB"/>
          </w:rPr>
          <w:t>33 Cal.2d 80</w:t>
        </w:r>
      </w:hyperlink>
      <w:r w:rsidRPr="002933C5">
        <w:rPr>
          <w:rFonts w:ascii="Georgia" w:eastAsia="Times New Roman" w:hAnsi="Georgia" w:cs="Times New Roman"/>
          <w:sz w:val="24"/>
          <w:szCs w:val="24"/>
          <w:lang w:eastAsia="en-GB"/>
        </w:rPr>
        <w:t>, </w:t>
      </w:r>
      <w:r w:rsidRPr="002933C5">
        <w:rPr>
          <w:rFonts w:ascii="Georgia" w:eastAsia="Times New Roman" w:hAnsi="Georgia" w:cs="Times New Roman"/>
          <w:color w:val="007BFF"/>
          <w:sz w:val="24"/>
          <w:szCs w:val="24"/>
          <w:lang w:eastAsia="en-GB"/>
        </w:rPr>
        <w:t>199 P.2d 1</w:t>
      </w:r>
      <w:r w:rsidRPr="002933C5">
        <w:rPr>
          <w:rFonts w:ascii="Georgia" w:eastAsia="Times New Roman" w:hAnsi="Georgia" w:cs="Times New Roman"/>
          <w:sz w:val="24"/>
          <w:szCs w:val="24"/>
          <w:lang w:eastAsia="en-GB"/>
        </w:rPr>
        <w:t> (1948) (In Bank) provides guidance. In that case, the plaintiff sued two members of a hunting party for injuries to the plaintiff’s right eye and face caused by birdshot discharged from a shotgun. The plaintiff and the two defendants were hunting quail on the open range. Each of the defendants was armed with a shotgun loaded with shells containing the same size shot. In the course of hunting, the plaintiff proceeded up a hill, thus placing the defendants at the points of a triangle. One of the defendants flushed a quail, whereupon both defendants shot at the quail, shooting in the plaintiff’s direction. One shot struck the plaintiff in his eye and another in his upper lip. The trial court found that, as a direct result of the shooting by the defendants, the shots struck the plaintiff, that the defendants were negligent in so shooting, and that the plaintiff was not contributorily negligent.</w:t>
      </w:r>
    </w:p>
    <w:p w14:paraId="1DA8B3F6"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On appeal by both defendants, the California Supreme Court held that, under these facts, the burden of proving which defendant’s shot struck the plaintiff shifted to the defendants. The court went on to hold that, if defendants are independent tortfeasors each liable for the damage caused by him alone, and the matter of apportionment is incapable of proof, the injured wronged party should not be deprived of his right to redress. The wrongdoers should be left to work out between themselves any apportionment. </w:t>
      </w:r>
      <w:r w:rsidRPr="002933C5">
        <w:rPr>
          <w:rFonts w:ascii="Georgia" w:eastAsia="Times New Roman" w:hAnsi="Georgia" w:cs="Times New Roman"/>
          <w:i/>
          <w:iCs/>
          <w:sz w:val="24"/>
          <w:szCs w:val="24"/>
          <w:lang w:eastAsia="en-GB"/>
        </w:rPr>
        <w:t>See also Bowman v. Redding &amp; Co., </w:t>
      </w:r>
      <w:hyperlink r:id="rId25" w:history="1">
        <w:r w:rsidRPr="002933C5">
          <w:rPr>
            <w:rFonts w:ascii="Georgia" w:eastAsia="Times New Roman" w:hAnsi="Georgia" w:cs="Times New Roman"/>
            <w:color w:val="007BFF"/>
            <w:sz w:val="24"/>
            <w:szCs w:val="24"/>
            <w:lang w:eastAsia="en-GB"/>
          </w:rPr>
          <w:t>449 F.2d 956</w:t>
        </w:r>
      </w:hyperlink>
      <w:r w:rsidRPr="002933C5">
        <w:rPr>
          <w:rFonts w:ascii="Georgia" w:eastAsia="Times New Roman" w:hAnsi="Georgia" w:cs="Times New Roman"/>
          <w:sz w:val="24"/>
          <w:szCs w:val="24"/>
          <w:lang w:eastAsia="en-GB"/>
        </w:rPr>
        <w:t> (D.C.Cir.1971) (applying </w:t>
      </w:r>
      <w:r w:rsidRPr="002933C5">
        <w:rPr>
          <w:rFonts w:ascii="Georgia" w:eastAsia="Times New Roman" w:hAnsi="Georgia" w:cs="Times New Roman"/>
          <w:i/>
          <w:iCs/>
          <w:sz w:val="24"/>
          <w:szCs w:val="24"/>
          <w:lang w:eastAsia="en-GB"/>
        </w:rPr>
        <w:t>Summers </w:t>
      </w:r>
      <w:r w:rsidRPr="002933C5">
        <w:rPr>
          <w:rFonts w:ascii="Georgia" w:eastAsia="Times New Roman" w:hAnsi="Georgia" w:cs="Times New Roman"/>
          <w:sz w:val="24"/>
          <w:szCs w:val="24"/>
          <w:lang w:eastAsia="en-GB"/>
        </w:rPr>
        <w:t>rule).</w:t>
      </w:r>
    </w:p>
    <w:p w14:paraId="1DA8B3F7"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The </w:t>
      </w:r>
      <w:r w:rsidRPr="002933C5">
        <w:rPr>
          <w:rFonts w:ascii="Georgia" w:eastAsia="Times New Roman" w:hAnsi="Georgia" w:cs="Times New Roman"/>
          <w:i/>
          <w:iCs/>
          <w:sz w:val="24"/>
          <w:szCs w:val="24"/>
          <w:lang w:eastAsia="en-GB"/>
        </w:rPr>
        <w:t>Restatement (Second) of Torts </w:t>
      </w:r>
      <w:r w:rsidRPr="002933C5">
        <w:rPr>
          <w:rFonts w:ascii="Georgia" w:eastAsia="Times New Roman" w:hAnsi="Georgia" w:cs="Times New Roman"/>
          <w:sz w:val="24"/>
          <w:szCs w:val="24"/>
          <w:lang w:eastAsia="en-GB"/>
        </w:rPr>
        <w:t>Section 433B (1965) embodies the rule of </w:t>
      </w:r>
      <w:r w:rsidRPr="002933C5">
        <w:rPr>
          <w:rFonts w:ascii="Georgia" w:eastAsia="Times New Roman" w:hAnsi="Georgia" w:cs="Times New Roman"/>
          <w:i/>
          <w:iCs/>
          <w:sz w:val="24"/>
          <w:szCs w:val="24"/>
          <w:lang w:eastAsia="en-GB"/>
        </w:rPr>
        <w:t>Summers. </w:t>
      </w:r>
      <w:r w:rsidRPr="002933C5">
        <w:rPr>
          <w:rFonts w:ascii="Georgia" w:eastAsia="Times New Roman" w:hAnsi="Georgia" w:cs="Times New Roman"/>
          <w:sz w:val="24"/>
          <w:szCs w:val="24"/>
          <w:lang w:eastAsia="en-GB"/>
        </w:rPr>
        <w:t>Subsections (2) and (3) of that section provide:</w:t>
      </w:r>
    </w:p>
    <w:p w14:paraId="1DA8B3F8" w14:textId="77777777" w:rsidR="00481FE5" w:rsidRPr="002933C5" w:rsidRDefault="00481FE5" w:rsidP="00481FE5">
      <w:pPr>
        <w:spacing w:after="100" w:line="240" w:lineRule="auto"/>
        <w:rPr>
          <w:rFonts w:ascii="Georgia" w:eastAsia="Times New Roman" w:hAnsi="Georgia" w:cs="Times New Roman"/>
          <w:color w:val="004FB3"/>
          <w:sz w:val="24"/>
          <w:szCs w:val="24"/>
          <w:lang w:eastAsia="en-GB"/>
        </w:rPr>
      </w:pPr>
      <w:r w:rsidRPr="002933C5">
        <w:rPr>
          <w:rFonts w:ascii="Georgia" w:eastAsia="Times New Roman" w:hAnsi="Georgia" w:cs="Times New Roman"/>
          <w:color w:val="004FB3"/>
          <w:sz w:val="24"/>
          <w:szCs w:val="24"/>
          <w:lang w:eastAsia="en-GB"/>
        </w:rPr>
        <w:t>(2) Where the tortious conduct of two or more actors has combined to bring about harm to the plaintiff, and one or more of the actors seeks to limit his liability on the ground that the harm is capable of apportionment among them, the burden of proof as to the apportionment is upon each such actor.</w:t>
      </w:r>
    </w:p>
    <w:p w14:paraId="1DA8B3F9" w14:textId="77777777" w:rsidR="00481FE5" w:rsidRPr="002933C5" w:rsidRDefault="00481FE5" w:rsidP="00481FE5">
      <w:pPr>
        <w:spacing w:after="100" w:line="240" w:lineRule="auto"/>
        <w:rPr>
          <w:rFonts w:ascii="Georgia" w:eastAsia="Times New Roman" w:hAnsi="Georgia" w:cs="Times New Roman"/>
          <w:color w:val="004FB3"/>
          <w:sz w:val="24"/>
          <w:szCs w:val="24"/>
          <w:lang w:eastAsia="en-GB"/>
        </w:rPr>
      </w:pPr>
      <w:r w:rsidRPr="002933C5">
        <w:rPr>
          <w:rFonts w:ascii="Georgia" w:eastAsia="Times New Roman" w:hAnsi="Georgia" w:cs="Times New Roman"/>
          <w:color w:val="004FB3"/>
          <w:sz w:val="24"/>
          <w:szCs w:val="24"/>
          <w:lang w:eastAsia="en-GB"/>
        </w:rPr>
        <w:t>(3) Where the conduct of two or more actors is tortious, and it is proved that harm has been caused to the plaintiff by only one of them, but there is uncertainty as to which one has caused it, the burden is upon each such actor to prove that he has not caused the harm.</w:t>
      </w:r>
    </w:p>
    <w:p w14:paraId="1DA8B3FA"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Comment (f) explains the purpose of these sections, which provide an exception to the general rule that a plaintiff bears the burden of proving that a wrongdoer has caused his or her harm.</w:t>
      </w:r>
    </w:p>
    <w:p w14:paraId="1DA8B3FB" w14:textId="77777777" w:rsidR="00481FE5" w:rsidRPr="002933C5" w:rsidRDefault="00481FE5" w:rsidP="00481FE5">
      <w:pPr>
        <w:spacing w:after="100" w:line="240" w:lineRule="auto"/>
        <w:rPr>
          <w:rFonts w:ascii="Georgia" w:eastAsia="Times New Roman" w:hAnsi="Georgia" w:cs="Times New Roman"/>
          <w:color w:val="004FB3"/>
          <w:sz w:val="24"/>
          <w:szCs w:val="24"/>
          <w:lang w:eastAsia="en-GB"/>
        </w:rPr>
      </w:pPr>
      <w:r w:rsidRPr="002933C5">
        <w:rPr>
          <w:rFonts w:ascii="Georgia" w:eastAsia="Times New Roman" w:hAnsi="Georgia" w:cs="Times New Roman"/>
          <w:color w:val="004FB3"/>
          <w:sz w:val="24"/>
          <w:szCs w:val="24"/>
          <w:lang w:eastAsia="en-GB"/>
        </w:rPr>
        <w:t>[T]he reason for the exception^] is the injustice of permitting proved wrongdoers, who among them have inflicted an injury upon the entirely innocent plaintiff, to escape liability merely because the nature of their conduct and the resulting harm has made it difficult or impossible to prove which of them has caused the harm.</w:t>
      </w:r>
    </w:p>
    <w:p w14:paraId="1DA8B3FC" w14:textId="77777777" w:rsidR="00481FE5" w:rsidRPr="002933C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We adopt this rule in New Mexico as the fairest and most logical way to determine the amount of fault of two or more tortfeasors in the unusual circumstances of cases such as this one, where plaintiff can prove defendants were negligent, but cannot prove which defendant’s negligence caused the injury, or which defendant was more at fault.</w:t>
      </w:r>
    </w:p>
    <w:p w14:paraId="1DA8B3FD" w14:textId="5DB04919"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2933C5">
        <w:rPr>
          <w:rFonts w:ascii="Georgia" w:eastAsia="Times New Roman" w:hAnsi="Georgia" w:cs="Times New Roman"/>
          <w:sz w:val="24"/>
          <w:szCs w:val="24"/>
          <w:lang w:eastAsia="en-GB"/>
        </w:rPr>
        <w:t>On remand the trial court should consider apportionment between defendants, based upon this burden which rests with them, not plaintiff. While this task is difficult, we do not believe it impossible. As </w:t>
      </w:r>
      <w:r w:rsidRPr="002933C5">
        <w:rPr>
          <w:rFonts w:ascii="Georgia" w:eastAsia="Times New Roman" w:hAnsi="Georgia" w:cs="Times New Roman"/>
          <w:i/>
          <w:iCs/>
          <w:color w:val="979797"/>
          <w:sz w:val="19"/>
          <w:szCs w:val="19"/>
          <w:lang w:eastAsia="en-GB"/>
        </w:rPr>
        <w:t>*702</w:t>
      </w:r>
      <w:r w:rsidRPr="002933C5">
        <w:rPr>
          <w:rFonts w:ascii="Georgia" w:eastAsia="Times New Roman" w:hAnsi="Georgia" w:cs="Times New Roman"/>
          <w:sz w:val="24"/>
          <w:szCs w:val="24"/>
          <w:lang w:eastAsia="en-GB"/>
        </w:rPr>
        <w:t>we have previously discussed, there is evidence from which the court could infer that Edgar was the last one to leave the gate before the horses escaped, and that Roland remained on the property but was somewhere else at the time Edgar left. If the trial court infers that Roland did not leave before the accident, then his negligence would</w:t>
      </w:r>
      <w:r w:rsidRPr="00481FE5">
        <w:rPr>
          <w:rFonts w:ascii="Georgia" w:eastAsia="Times New Roman" w:hAnsi="Georgia" w:cs="Times New Roman"/>
          <w:sz w:val="24"/>
          <w:szCs w:val="24"/>
          <w:lang w:eastAsia="en-GB"/>
        </w:rPr>
        <w:t xml:space="preserve"> be for not observing the improperly secured gate or the fact that the horses had escaped. We express no opinion as to how such apportionment should be made based on these and other relevant facts before the court.</w:t>
      </w:r>
    </w:p>
    <w:p w14:paraId="1DA8B3FE"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CONCLUSION</w:t>
      </w:r>
    </w:p>
    <w:p w14:paraId="1DA8B3FF"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highlight w:val="red"/>
          <w:lang w:eastAsia="en-GB"/>
        </w:rPr>
        <w:t>We affirm the trial court’s judgment as to liability and damages</w:t>
      </w:r>
      <w:r w:rsidRPr="002933C5">
        <w:rPr>
          <w:rFonts w:ascii="Georgia" w:eastAsia="Times New Roman" w:hAnsi="Georgia" w:cs="Times New Roman"/>
          <w:sz w:val="24"/>
          <w:szCs w:val="24"/>
          <w:lang w:eastAsia="en-GB"/>
        </w:rPr>
        <w:t>, except for the finding of a joint venture and the conclusion as to joint and several liability based thereon. We remand solely for the purpose of apportioning fault between the two defendants. Defendants shall pay the cost of appeal.</w:t>
      </w:r>
    </w:p>
    <w:p w14:paraId="1DA8B400"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IT IS SO ORDERED.</w:t>
      </w:r>
    </w:p>
    <w:p w14:paraId="1DA8B401" w14:textId="77777777" w:rsidR="00481FE5" w:rsidRPr="00481FE5" w:rsidRDefault="00481FE5" w:rsidP="00481FE5">
      <w:pPr>
        <w:spacing w:before="100" w:beforeAutospacing="1" w:after="225"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MINZNER and CHAVEZ, JJ., concur.</w:t>
      </w:r>
    </w:p>
    <w:p w14:paraId="1DA8B402" w14:textId="77777777" w:rsidR="00481FE5" w:rsidRPr="00481FE5" w:rsidRDefault="00D1551E" w:rsidP="00481FE5">
      <w:pPr>
        <w:spacing w:after="0" w:line="240" w:lineRule="auto"/>
        <w:rPr>
          <w:rFonts w:ascii="Times New Roman" w:eastAsia="Times New Roman" w:hAnsi="Times New Roman" w:cs="Times New Roman"/>
          <w:sz w:val="24"/>
          <w:szCs w:val="24"/>
          <w:lang w:eastAsia="en-GB"/>
        </w:rPr>
      </w:pPr>
      <w:hyperlink r:id="rId26" w:anchor="ref_footnote_1_1" w:history="1">
        <w:r w:rsidR="00481FE5" w:rsidRPr="00481FE5">
          <w:rPr>
            <w:rFonts w:ascii="Georgia" w:eastAsia="Times New Roman" w:hAnsi="Georgia" w:cs="Times New Roman"/>
            <w:b/>
            <w:bCs/>
            <w:color w:val="E878FF"/>
            <w:sz w:val="24"/>
            <w:szCs w:val="24"/>
            <w:lang w:eastAsia="en-GB"/>
          </w:rPr>
          <w:t>1</w:t>
        </w:r>
      </w:hyperlink>
    </w:p>
    <w:p w14:paraId="1DA8B403" w14:textId="77777777" w:rsidR="00481FE5" w:rsidRPr="00481FE5" w:rsidRDefault="00481FE5" w:rsidP="00481FE5">
      <w:pPr>
        <w:spacing w:after="120" w:line="240" w:lineRule="auto"/>
        <w:rPr>
          <w:rFonts w:ascii="Georgia" w:eastAsia="Times New Roman" w:hAnsi="Georgia" w:cs="Times New Roman"/>
          <w:sz w:val="24"/>
          <w:szCs w:val="24"/>
          <w:lang w:eastAsia="en-GB"/>
        </w:rPr>
      </w:pPr>
      <w:r w:rsidRPr="00481FE5">
        <w:rPr>
          <w:rFonts w:ascii="Georgia" w:eastAsia="Times New Roman" w:hAnsi="Georgia" w:cs="Times New Roman"/>
          <w:sz w:val="24"/>
          <w:szCs w:val="24"/>
          <w:lang w:eastAsia="en-GB"/>
        </w:rPr>
        <w:t>. Curiously, in their brief-in-chief, defendants in effect concede Roland’s liability under the doctrine of res ipsa loquitur.</w:t>
      </w:r>
    </w:p>
    <w:p w14:paraId="1DA8B404" w14:textId="77777777" w:rsidR="003C7770" w:rsidRDefault="003C7770"/>
    <w:p w14:paraId="1DA8B405" w14:textId="77777777" w:rsidR="007D4314" w:rsidRPr="009456D4" w:rsidRDefault="007D4314" w:rsidP="007D4314">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DA8B406" w14:textId="77777777" w:rsidR="007D4314" w:rsidRPr="00187E7F" w:rsidRDefault="00187E7F" w:rsidP="007D4314">
      <w:pPr>
        <w:spacing w:before="100" w:beforeAutospacing="1" w:after="225" w:line="240" w:lineRule="auto"/>
      </w:pPr>
      <w:r>
        <w:rPr>
          <w:rFonts w:ascii="Georgia" w:eastAsia="Times New Roman" w:hAnsi="Georgia" w:cs="Times New Roman"/>
          <w:sz w:val="28"/>
          <w:szCs w:val="24"/>
          <w:lang w:eastAsia="en-GB"/>
        </w:rPr>
        <w:t>The defendants’ horses ran out into the road under the plaintiff’s vehicle, causing the plaintiff injury</w:t>
      </w:r>
      <w:r w:rsidR="007D4314"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question was whether negligence against the defendants could be assumed </w:t>
      </w:r>
      <w:r w:rsidR="00BB1545">
        <w:rPr>
          <w:rFonts w:ascii="Georgia" w:eastAsia="Times New Roman" w:hAnsi="Georgia" w:cs="Times New Roman"/>
          <w:sz w:val="28"/>
          <w:szCs w:val="24"/>
          <w:lang w:eastAsia="en-GB"/>
        </w:rPr>
        <w:t>in light of</w:t>
      </w:r>
      <w:r>
        <w:rPr>
          <w:rFonts w:ascii="Georgia" w:eastAsia="Times New Roman" w:hAnsi="Georgia" w:cs="Times New Roman"/>
          <w:sz w:val="28"/>
          <w:szCs w:val="24"/>
          <w:lang w:eastAsia="en-GB"/>
        </w:rPr>
        <w:t xml:space="preserve"> the facts of the case</w:t>
      </w:r>
      <w:r w:rsidR="00BB1545">
        <w:rPr>
          <w:rFonts w:ascii="Georgia" w:eastAsia="Times New Roman" w:hAnsi="Georgia" w:cs="Times New Roman"/>
          <w:sz w:val="28"/>
          <w:szCs w:val="24"/>
          <w:lang w:eastAsia="en-GB"/>
        </w:rPr>
        <w:t xml:space="preserve"> (under the doctrine res ipsa loquitur)</w:t>
      </w:r>
      <w:r>
        <w:rPr>
          <w:rFonts w:ascii="Georgia" w:eastAsia="Times New Roman" w:hAnsi="Georgia" w:cs="Times New Roman"/>
          <w:sz w:val="28"/>
          <w:szCs w:val="24"/>
          <w:lang w:eastAsia="en-GB"/>
        </w:rPr>
        <w:t xml:space="preserve">, and how the liability should be apportioned between the defendants. </w:t>
      </w:r>
    </w:p>
    <w:p w14:paraId="1DA8B407" w14:textId="77777777" w:rsidR="007D4314" w:rsidRDefault="007D4314"/>
    <w:sectPr w:rsidR="007D4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FE5"/>
    <w:rsid w:val="000065F8"/>
    <w:rsid w:val="00187E7F"/>
    <w:rsid w:val="002933C5"/>
    <w:rsid w:val="0036748D"/>
    <w:rsid w:val="0039656B"/>
    <w:rsid w:val="003C7770"/>
    <w:rsid w:val="00481FE5"/>
    <w:rsid w:val="004B5DD6"/>
    <w:rsid w:val="007D4314"/>
    <w:rsid w:val="00961C76"/>
    <w:rsid w:val="00B91775"/>
    <w:rsid w:val="00BB1545"/>
    <w:rsid w:val="00CA61FC"/>
    <w:rsid w:val="00D01DEF"/>
    <w:rsid w:val="00D0450E"/>
    <w:rsid w:val="00D15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B3C6"/>
  <w15:docId w15:val="{2EE222EA-D7CF-4BA3-B6B0-591CD8B3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1F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FE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481FE5"/>
  </w:style>
  <w:style w:type="character" w:customStyle="1" w:styleId="court-name">
    <w:name w:val="court-name"/>
    <w:basedOn w:val="DefaultParagraphFont"/>
    <w:rsid w:val="00481FE5"/>
  </w:style>
  <w:style w:type="character" w:customStyle="1" w:styleId="docket-number">
    <w:name w:val="docket-number"/>
    <w:basedOn w:val="DefaultParagraphFont"/>
    <w:rsid w:val="00481FE5"/>
  </w:style>
  <w:style w:type="character" w:customStyle="1" w:styleId="case-name-v">
    <w:name w:val="case-name-v"/>
    <w:basedOn w:val="DefaultParagraphFont"/>
    <w:rsid w:val="00481FE5"/>
  </w:style>
  <w:style w:type="paragraph" w:customStyle="1" w:styleId="citation">
    <w:name w:val="citation"/>
    <w:basedOn w:val="Normal"/>
    <w:rsid w:val="00481F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81FE5"/>
    <w:rPr>
      <w:i/>
      <w:iCs/>
    </w:rPr>
  </w:style>
  <w:style w:type="paragraph" w:customStyle="1" w:styleId="court">
    <w:name w:val="court"/>
    <w:basedOn w:val="Normal"/>
    <w:rsid w:val="00481F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481F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481F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81FE5"/>
    <w:rPr>
      <w:color w:val="0000FF"/>
      <w:u w:val="single"/>
    </w:rPr>
  </w:style>
  <w:style w:type="paragraph" w:styleId="NormalWeb">
    <w:name w:val="Normal (Web)"/>
    <w:basedOn w:val="Normal"/>
    <w:uiPriority w:val="99"/>
    <w:semiHidden/>
    <w:unhideWhenUsed/>
    <w:rsid w:val="00481F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481F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481FE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716926">
      <w:bodyDiv w:val="1"/>
      <w:marLeft w:val="0"/>
      <w:marRight w:val="0"/>
      <w:marTop w:val="0"/>
      <w:marBottom w:val="0"/>
      <w:divBdr>
        <w:top w:val="none" w:sz="0" w:space="0" w:color="auto"/>
        <w:left w:val="none" w:sz="0" w:space="0" w:color="auto"/>
        <w:bottom w:val="none" w:sz="0" w:space="0" w:color="auto"/>
        <w:right w:val="none" w:sz="0" w:space="0" w:color="auto"/>
      </w:divBdr>
      <w:divsChild>
        <w:div w:id="1558975537">
          <w:marLeft w:val="0"/>
          <w:marRight w:val="0"/>
          <w:marTop w:val="0"/>
          <w:marBottom w:val="0"/>
          <w:divBdr>
            <w:top w:val="none" w:sz="0" w:space="0" w:color="auto"/>
            <w:left w:val="none" w:sz="0" w:space="0" w:color="auto"/>
            <w:bottom w:val="none" w:sz="0" w:space="0" w:color="auto"/>
            <w:right w:val="none" w:sz="0" w:space="0" w:color="auto"/>
          </w:divBdr>
        </w:div>
        <w:div w:id="435100943">
          <w:marLeft w:val="0"/>
          <w:marRight w:val="0"/>
          <w:marTop w:val="0"/>
          <w:marBottom w:val="0"/>
          <w:divBdr>
            <w:top w:val="none" w:sz="0" w:space="0" w:color="auto"/>
            <w:left w:val="none" w:sz="0" w:space="0" w:color="auto"/>
            <w:bottom w:val="none" w:sz="0" w:space="0" w:color="auto"/>
            <w:right w:val="none" w:sz="0" w:space="0" w:color="auto"/>
          </w:divBdr>
        </w:div>
        <w:div w:id="1234240453">
          <w:marLeft w:val="0"/>
          <w:marRight w:val="0"/>
          <w:marTop w:val="0"/>
          <w:marBottom w:val="0"/>
          <w:divBdr>
            <w:top w:val="none" w:sz="0" w:space="0" w:color="auto"/>
            <w:left w:val="none" w:sz="0" w:space="0" w:color="auto"/>
            <w:bottom w:val="none" w:sz="0" w:space="0" w:color="auto"/>
            <w:right w:val="none" w:sz="0" w:space="0" w:color="auto"/>
          </w:divBdr>
          <w:divsChild>
            <w:div w:id="1677800317">
              <w:marLeft w:val="1275"/>
              <w:marRight w:val="0"/>
              <w:marTop w:val="0"/>
              <w:marBottom w:val="0"/>
              <w:divBdr>
                <w:top w:val="none" w:sz="0" w:space="0" w:color="auto"/>
                <w:left w:val="none" w:sz="0" w:space="0" w:color="auto"/>
                <w:bottom w:val="none" w:sz="0" w:space="0" w:color="auto"/>
                <w:right w:val="none" w:sz="0" w:space="0" w:color="auto"/>
              </w:divBdr>
            </w:div>
          </w:divsChild>
        </w:div>
        <w:div w:id="85939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07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909208">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9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2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378/370/" TargetMode="External"/><Relationship Id="rId13" Type="http://schemas.openxmlformats.org/officeDocument/2006/relationships/hyperlink" Target="https://cite.case.law/led2d/54/95/" TargetMode="External"/><Relationship Id="rId18" Type="http://schemas.openxmlformats.org/officeDocument/2006/relationships/hyperlink" Target="https://cite.case.law/p2d/668/1104/" TargetMode="External"/><Relationship Id="rId26" Type="http://schemas.openxmlformats.org/officeDocument/2006/relationships/hyperlink" Target="https://cite.case.law/nm/108/696/" TargetMode="External"/><Relationship Id="rId3" Type="http://schemas.openxmlformats.org/officeDocument/2006/relationships/webSettings" Target="webSettings.xml"/><Relationship Id="rId21" Type="http://schemas.openxmlformats.org/officeDocument/2006/relationships/hyperlink" Target="https://cite.case.law/p2d/589/201/" TargetMode="External"/><Relationship Id="rId7" Type="http://schemas.openxmlformats.org/officeDocument/2006/relationships/hyperlink" Target="https://cite.case.law/p2d/543/820/" TargetMode="External"/><Relationship Id="rId12" Type="http://schemas.openxmlformats.org/officeDocument/2006/relationships/hyperlink" Target="https://cite.case.law/us/434/834/" TargetMode="External"/><Relationship Id="rId17" Type="http://schemas.openxmlformats.org/officeDocument/2006/relationships/hyperlink" Target="https://cite.case.law/p2d/646/579/" TargetMode="External"/><Relationship Id="rId25" Type="http://schemas.openxmlformats.org/officeDocument/2006/relationships/hyperlink" Target="https://cite.case.law/f2d/449/956/" TargetMode="External"/><Relationship Id="rId2" Type="http://schemas.openxmlformats.org/officeDocument/2006/relationships/settings" Target="settings.xml"/><Relationship Id="rId16" Type="http://schemas.openxmlformats.org/officeDocument/2006/relationships/hyperlink" Target="https://cite.case.law/nm/108/696/" TargetMode="External"/><Relationship Id="rId20" Type="http://schemas.openxmlformats.org/officeDocument/2006/relationships/hyperlink" Target="https://cite.case.law/p2d/490/965/" TargetMode="External"/><Relationship Id="rId1" Type="http://schemas.openxmlformats.org/officeDocument/2006/relationships/styles" Target="styles.xml"/><Relationship Id="rId6" Type="http://schemas.openxmlformats.org/officeDocument/2006/relationships/hyperlink" Target="https://cite.case.law/p2d/734/1258/" TargetMode="External"/><Relationship Id="rId11" Type="http://schemas.openxmlformats.org/officeDocument/2006/relationships/hyperlink" Target="https://cite.case.law/nm/90/195/" TargetMode="External"/><Relationship Id="rId24" Type="http://schemas.openxmlformats.org/officeDocument/2006/relationships/hyperlink" Target="https://cite.case.law/cal2d/33/80/" TargetMode="External"/><Relationship Id="rId5" Type="http://schemas.openxmlformats.org/officeDocument/2006/relationships/hyperlink" Target="https://cite.case.law/p2d/421/778/" TargetMode="External"/><Relationship Id="rId15" Type="http://schemas.openxmlformats.org/officeDocument/2006/relationships/hyperlink" Target="https://cite.case.law/nm/77/717/" TargetMode="External"/><Relationship Id="rId23" Type="http://schemas.openxmlformats.org/officeDocument/2006/relationships/hyperlink" Target="https://cite.case.law/p2d/521/334/" TargetMode="External"/><Relationship Id="rId28" Type="http://schemas.openxmlformats.org/officeDocument/2006/relationships/theme" Target="theme/theme1.xml"/><Relationship Id="rId10" Type="http://schemas.openxmlformats.org/officeDocument/2006/relationships/hyperlink" Target="https://cite.case.law/nm/95/56/" TargetMode="External"/><Relationship Id="rId19" Type="http://schemas.openxmlformats.org/officeDocument/2006/relationships/hyperlink" Target="https://cite.case.law/p2d/743/1031/" TargetMode="External"/><Relationship Id="rId4" Type="http://schemas.openxmlformats.org/officeDocument/2006/relationships/hyperlink" Target="https://cite.case.law/nm/108/696/" TargetMode="External"/><Relationship Id="rId9" Type="http://schemas.openxmlformats.org/officeDocument/2006/relationships/hyperlink" Target="https://cite.case.law/p2d/378/364/" TargetMode="External"/><Relationship Id="rId14" Type="http://schemas.openxmlformats.org/officeDocument/2006/relationships/hyperlink" Target="https://cite.case.law/p2d/428/625/" TargetMode="External"/><Relationship Id="rId22" Type="http://schemas.openxmlformats.org/officeDocument/2006/relationships/hyperlink" Target="https://cite.case.law/so2d/266/77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2995</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2024-09-17T13:05:00Z</dcterms:created>
  <dcterms:modified xsi:type="dcterms:W3CDTF">2024-09-17T13:05:00Z</dcterms:modified>
</cp:coreProperties>
</file>