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02B3A" w14:textId="77777777" w:rsidR="0059683D" w:rsidRPr="0059683D" w:rsidRDefault="0059683D" w:rsidP="0059683D">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59683D">
        <w:rPr>
          <w:rFonts w:ascii="Times New Roman" w:eastAsia="Times New Roman" w:hAnsi="Times New Roman" w:cs="Times New Roman"/>
          <w:b/>
          <w:bCs/>
          <w:kern w:val="36"/>
          <w:sz w:val="48"/>
          <w:szCs w:val="48"/>
          <w:lang w:eastAsia="en-AU"/>
        </w:rPr>
        <w:t>Moya v. Warren, 88 N.M. 565, 544 P.2d 280 (1975)</w:t>
      </w:r>
    </w:p>
    <w:p w14:paraId="457702B9" w14:textId="77777777" w:rsidR="0059683D" w:rsidRPr="0059683D" w:rsidRDefault="0059683D" w:rsidP="0059683D">
      <w:pPr>
        <w:spacing w:after="0"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 xml:space="preserve">Dec. 23, 1975 · Court of Appeals of New Mexico · No. 2033 </w:t>
      </w:r>
    </w:p>
    <w:p w14:paraId="01B044F5" w14:textId="77777777" w:rsidR="0059683D" w:rsidRPr="0059683D" w:rsidRDefault="0059683D" w:rsidP="0059683D">
      <w:pPr>
        <w:spacing w:after="0"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 xml:space="preserve">88 N.M. 565, 544 P.2d 280 </w:t>
      </w:r>
    </w:p>
    <w:p w14:paraId="625224FF" w14:textId="77777777" w:rsidR="0059683D" w:rsidRPr="0059683D" w:rsidRDefault="0059683D" w:rsidP="0059683D">
      <w:pPr>
        <w:spacing w:after="0"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 xml:space="preserve">Vidal MOYA, Plaintiff-Appellant, v. Ann WARREN, Defendant-Appellee </w:t>
      </w:r>
    </w:p>
    <w:p w14:paraId="04623B1C" w14:textId="77777777"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544 P.2d 280</w:t>
      </w:r>
    </w:p>
    <w:p w14:paraId="47825DF0" w14:textId="77777777"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Court of Appeals of New Mexico.</w:t>
      </w:r>
    </w:p>
    <w:p w14:paraId="6F5AA5F0" w14:textId="6181F582"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color w:val="0000FF"/>
          <w:sz w:val="24"/>
          <w:szCs w:val="24"/>
          <w:u w:val="single"/>
          <w:lang w:eastAsia="en-AU"/>
        </w:rPr>
        <w:t>*566</w:t>
      </w:r>
      <w:r w:rsidRPr="0059683D">
        <w:rPr>
          <w:rFonts w:ascii="Times New Roman" w:eastAsia="Times New Roman" w:hAnsi="Times New Roman" w:cs="Times New Roman"/>
          <w:sz w:val="24"/>
          <w:szCs w:val="24"/>
          <w:lang w:eastAsia="en-AU"/>
        </w:rPr>
        <w:t>John J. Duhigg, Duhigg &amp; Cronin, Albuquerque, for plaintiff-appellant.</w:t>
      </w:r>
    </w:p>
    <w:p w14:paraId="039CDBA8" w14:textId="77777777"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John A. Klecan, Klecan &amp; Roach, P.A., Albuquerque, for defendant-appellee.</w:t>
      </w:r>
    </w:p>
    <w:p w14:paraId="33A36C10" w14:textId="77777777"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OPINION</w:t>
      </w:r>
    </w:p>
    <w:p w14:paraId="1F7565DA" w14:textId="77777777"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SUTIN, Judge.</w:t>
      </w:r>
    </w:p>
    <w:p w14:paraId="75D10CF8" w14:textId="77777777"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highlight w:val="magenta"/>
          <w:lang w:eastAsia="en-AU"/>
        </w:rPr>
        <w:t>Moya appeals an adverse judgment rendered in favor of Warren by way of a directed verdict at the close of plaintiff’s case.</w:t>
      </w:r>
      <w:r w:rsidRPr="0059683D">
        <w:rPr>
          <w:rFonts w:ascii="Times New Roman" w:eastAsia="Times New Roman" w:hAnsi="Times New Roman" w:cs="Times New Roman"/>
          <w:sz w:val="24"/>
          <w:szCs w:val="24"/>
          <w:lang w:eastAsia="en-AU"/>
        </w:rPr>
        <w:t xml:space="preserve"> </w:t>
      </w:r>
      <w:r w:rsidRPr="0059683D">
        <w:rPr>
          <w:rFonts w:ascii="Times New Roman" w:eastAsia="Times New Roman" w:hAnsi="Times New Roman" w:cs="Times New Roman"/>
          <w:sz w:val="24"/>
          <w:szCs w:val="24"/>
          <w:highlight w:val="red"/>
          <w:lang w:eastAsia="en-AU"/>
        </w:rPr>
        <w:t>We affirm.</w:t>
      </w:r>
    </w:p>
    <w:p w14:paraId="6FEB8FCF" w14:textId="77777777" w:rsidR="0059683D" w:rsidRPr="0059683D" w:rsidRDefault="00A838C9"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 w:anchor="p567" w:history="1">
        <w:r w:rsidR="0059683D" w:rsidRPr="0059683D">
          <w:rPr>
            <w:rFonts w:ascii="Times New Roman" w:eastAsia="Times New Roman" w:hAnsi="Times New Roman" w:cs="Times New Roman"/>
            <w:color w:val="0000FF"/>
            <w:sz w:val="24"/>
            <w:szCs w:val="24"/>
            <w:u w:val="single"/>
            <w:lang w:eastAsia="en-AU"/>
          </w:rPr>
          <w:t>*567</w:t>
        </w:r>
      </w:hyperlink>
      <w:r w:rsidR="0059683D" w:rsidRPr="0059683D">
        <w:rPr>
          <w:rFonts w:ascii="Times New Roman" w:eastAsia="Times New Roman" w:hAnsi="Times New Roman" w:cs="Times New Roman"/>
          <w:sz w:val="24"/>
          <w:szCs w:val="24"/>
          <w:lang w:eastAsia="en-AU"/>
        </w:rPr>
        <w:t xml:space="preserve">A. </w:t>
      </w:r>
      <w:r w:rsidR="0059683D" w:rsidRPr="0059683D">
        <w:rPr>
          <w:rFonts w:ascii="Times New Roman" w:eastAsia="Times New Roman" w:hAnsi="Times New Roman" w:cs="Times New Roman"/>
          <w:i/>
          <w:iCs/>
          <w:sz w:val="24"/>
          <w:szCs w:val="24"/>
          <w:lang w:eastAsia="en-AU"/>
        </w:rPr>
        <w:t>Facts Most Favorable to Plaintiff</w:t>
      </w:r>
    </w:p>
    <w:p w14:paraId="3AF8F302" w14:textId="77777777"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59683D">
        <w:rPr>
          <w:rFonts w:ascii="Times New Roman" w:eastAsia="Times New Roman" w:hAnsi="Times New Roman" w:cs="Times New Roman"/>
          <w:sz w:val="24"/>
          <w:szCs w:val="24"/>
          <w:highlight w:val="yellow"/>
          <w:lang w:eastAsia="en-AU"/>
        </w:rPr>
        <w:t>Ann Warren and Walter Miller were employed at Spartan Southwest, Inc. Warren was supervisor of shipping and receiving. Miller was a driver and helper and his work was under Warren’s supervision.</w:t>
      </w:r>
    </w:p>
    <w:p w14:paraId="7B8F6279" w14:textId="77777777"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59683D">
        <w:rPr>
          <w:rFonts w:ascii="Times New Roman" w:eastAsia="Times New Roman" w:hAnsi="Times New Roman" w:cs="Times New Roman"/>
          <w:sz w:val="24"/>
          <w:szCs w:val="24"/>
          <w:highlight w:val="yellow"/>
          <w:lang w:eastAsia="en-AU"/>
        </w:rPr>
        <w:t>Warren and Miller drove their own cars on alternate weeks to and from Albuquerque, departing from Los Lunas, New Mexico. At the time of the accident, they were going home from work. Miller was driving his car; Warren sat in the front seat as a passenger. After proceeding south on Coors Road in Albuquerque about three miles, Warren noticed that she had forgotten her purse at Spartan. She told Miller. He continued down the road to a point where he drove off the road on the right-hand shoulder to make a U-turn and drive back to Spartan. Miller’s car was facing east.</w:t>
      </w:r>
    </w:p>
    <w:p w14:paraId="46C1B87D" w14:textId="77777777"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highlight w:val="yellow"/>
          <w:lang w:eastAsia="en-AU"/>
        </w:rPr>
        <w:t>While waiting to make the turn back, they waited for traffic to subside. Both Miller and Warren were looking for traffic both ways. Warren looked for traffic coming from the north. She saw a yellow and black car coming from a distance of about a quarter of a mile or more. She looked south also and told Miller it was clear from the south and he had time to make it. “It is clear, you can go,” she said. Miller pulled out on the roadway. Miller relied upon Warren’s observations as much as his own. He did not rely on her completely because they were both looking. He relied upon her “more or less”. The moment Warren looked back north, plaintiff’s motorcycle, coming from the north, hit the left front of Miller’s car.</w:t>
      </w:r>
    </w:p>
    <w:p w14:paraId="10CF690E" w14:textId="77777777"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 xml:space="preserve">B. </w:t>
      </w:r>
      <w:r w:rsidRPr="0059683D">
        <w:rPr>
          <w:rFonts w:ascii="Times New Roman" w:eastAsia="Times New Roman" w:hAnsi="Times New Roman" w:cs="Times New Roman"/>
          <w:i/>
          <w:iCs/>
          <w:sz w:val="24"/>
          <w:szCs w:val="24"/>
          <w:lang w:eastAsia="en-AU"/>
        </w:rPr>
        <w:t>A Directed Verdict was Properly Entered.</w:t>
      </w:r>
    </w:p>
    <w:p w14:paraId="7FFE0929" w14:textId="77777777"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lastRenderedPageBreak/>
        <w:t>Moya, the driver of the motorcycle, brought suit against Warren who was the passenger in the car.</w:t>
      </w:r>
    </w:p>
    <w:p w14:paraId="4FB26A3F" w14:textId="77777777"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This case is a matter of first impression in New Mexico.</w:t>
      </w:r>
    </w:p>
    <w:p w14:paraId="0AA2D293" w14:textId="77777777"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i/>
          <w:iCs/>
          <w:sz w:val="24"/>
          <w:szCs w:val="24"/>
          <w:lang w:eastAsia="en-AU"/>
        </w:rPr>
        <w:t xml:space="preserve">First, </w:t>
      </w:r>
      <w:r w:rsidRPr="0059683D">
        <w:rPr>
          <w:rFonts w:ascii="Times New Roman" w:eastAsia="Times New Roman" w:hAnsi="Times New Roman" w:cs="Times New Roman"/>
          <w:sz w:val="24"/>
          <w:szCs w:val="24"/>
          <w:lang w:eastAsia="en-AU"/>
        </w:rPr>
        <w:t>plaintiff claims that Restatement, Torts(2d) 324 A (1965) is applicable in this case. It reads:</w:t>
      </w:r>
    </w:p>
    <w:p w14:paraId="23750328" w14:textId="77777777" w:rsidR="0059683D" w:rsidRPr="0059683D" w:rsidRDefault="0059683D" w:rsidP="0059683D">
      <w:pPr>
        <w:spacing w:after="100"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One who undertakes, gratuitously or for consideration, to render services to another which he should recognize as necessary for the protection of a third person or his things, is subject to liability to the third person for physical harm resulting from his failure to exercise reasonable care to protect his undertaking, if</w:t>
      </w:r>
    </w:p>
    <w:p w14:paraId="5B06E062" w14:textId="77777777" w:rsidR="0059683D" w:rsidRPr="0059683D" w:rsidRDefault="0059683D" w:rsidP="0059683D">
      <w:pPr>
        <w:spacing w:after="100"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(a) his failure to exercise reasonable care increases the risk of such harm, or</w:t>
      </w:r>
    </w:p>
    <w:p w14:paraId="31DAFB0D" w14:textId="77777777" w:rsidR="0059683D" w:rsidRPr="0059683D" w:rsidRDefault="0059683D" w:rsidP="0059683D">
      <w:pPr>
        <w:spacing w:after="100"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(b) he has undertaken to perform a duty owed by the other to the third person, or</w:t>
      </w:r>
    </w:p>
    <w:p w14:paraId="38DDE755" w14:textId="77777777" w:rsidR="0059683D" w:rsidRPr="0059683D" w:rsidRDefault="0059683D" w:rsidP="0059683D">
      <w:pPr>
        <w:spacing w:after="100"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(c) the harm is suffered because of reliance of the other or the third person upon the undertaking.</w:t>
      </w:r>
    </w:p>
    <w:p w14:paraId="340077E7" w14:textId="77777777"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By placing Warren in the position of the gratuitous actor, and plaintiff in the position of the third person, plaintiff has tried to make § 324 A applicable.</w:t>
      </w:r>
    </w:p>
    <w:p w14:paraId="1104B276" w14:textId="77777777"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highlight w:val="green"/>
          <w:lang w:eastAsia="en-AU"/>
        </w:rPr>
        <w:t xml:space="preserve">Plaintiff has misconstrued the word “undertake” in § 324 A. To “undertake” means “take upon oneself solemnly or expressly: put oneself under obligation to perform: contract, covenant guarantee, promise”. </w:t>
      </w:r>
      <w:r w:rsidRPr="0059683D">
        <w:rPr>
          <w:rFonts w:ascii="Times New Roman" w:eastAsia="Times New Roman" w:hAnsi="Times New Roman" w:cs="Times New Roman"/>
          <w:sz w:val="24"/>
          <w:szCs w:val="24"/>
          <w:lang w:eastAsia="en-AU"/>
        </w:rPr>
        <w:t xml:space="preserve">Webster’s Third New International Dictionary, Unabridged (1966) at 2491. To make § 324 A applicable, </w:t>
      </w:r>
      <w:r w:rsidRPr="0059683D">
        <w:rPr>
          <w:rFonts w:ascii="Times New Roman" w:eastAsia="Times New Roman" w:hAnsi="Times New Roman" w:cs="Times New Roman"/>
          <w:sz w:val="24"/>
          <w:szCs w:val="24"/>
          <w:highlight w:val="green"/>
          <w:lang w:eastAsia="en-AU"/>
        </w:rPr>
        <w:t>plaintiff must first show that Warren, the actor, with or without compensation, promised or agreed to render services for and on behalf of Miller, the driver of the automobile, for the protection of Moya. No such evidence appears of record.</w:t>
      </w:r>
    </w:p>
    <w:p w14:paraId="7C3F0EAA" w14:textId="023718A5"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 xml:space="preserve">The most familiar types of litigation under which § 324 A has been cited and discussed are workmen’s compensation cases and federal tort claims acts, all of which involve contractual obligations. See </w:t>
      </w:r>
      <w:r w:rsidRPr="0059683D">
        <w:rPr>
          <w:rFonts w:ascii="Times New Roman" w:eastAsia="Times New Roman" w:hAnsi="Times New Roman" w:cs="Times New Roman"/>
          <w:i/>
          <w:iCs/>
          <w:sz w:val="24"/>
          <w:szCs w:val="24"/>
          <w:lang w:eastAsia="en-AU"/>
        </w:rPr>
        <w:t xml:space="preserve">Watson v. Employers Insurance Company of Wausau, </w:t>
      </w:r>
      <w:r w:rsidRPr="0059683D">
        <w:rPr>
          <w:rFonts w:ascii="Times New Roman" w:eastAsia="Times New Roman" w:hAnsi="Times New Roman" w:cs="Times New Roman"/>
          <w:color w:val="0000FF"/>
          <w:sz w:val="24"/>
          <w:szCs w:val="24"/>
          <w:u w:val="single"/>
          <w:lang w:eastAsia="en-AU"/>
        </w:rPr>
        <w:t>50 Mich.App. 597</w:t>
      </w:r>
      <w:r w:rsidRPr="0059683D">
        <w:rPr>
          <w:rFonts w:ascii="Times New Roman" w:eastAsia="Times New Roman" w:hAnsi="Times New Roman" w:cs="Times New Roman"/>
          <w:sz w:val="24"/>
          <w:szCs w:val="24"/>
          <w:lang w:eastAsia="en-AU"/>
        </w:rPr>
        <w:t xml:space="preserve">, </w:t>
      </w:r>
      <w:hyperlink r:id="rId6" w:history="1">
        <w:r w:rsidRPr="0059683D">
          <w:rPr>
            <w:rFonts w:ascii="Times New Roman" w:eastAsia="Times New Roman" w:hAnsi="Times New Roman" w:cs="Times New Roman"/>
            <w:color w:val="0000FF"/>
            <w:sz w:val="24"/>
            <w:szCs w:val="24"/>
            <w:u w:val="single"/>
            <w:lang w:eastAsia="en-AU"/>
          </w:rPr>
          <w:t>213 N.W.2d 765</w:t>
        </w:r>
      </w:hyperlink>
      <w:r w:rsidRPr="0059683D">
        <w:rPr>
          <w:rFonts w:ascii="Times New Roman" w:eastAsia="Times New Roman" w:hAnsi="Times New Roman" w:cs="Times New Roman"/>
          <w:sz w:val="24"/>
          <w:szCs w:val="24"/>
          <w:lang w:eastAsia="en-AU"/>
        </w:rPr>
        <w:t xml:space="preserve"> (1973); </w:t>
      </w:r>
      <w:r w:rsidRPr="0059683D">
        <w:rPr>
          <w:rFonts w:ascii="Times New Roman" w:eastAsia="Times New Roman" w:hAnsi="Times New Roman" w:cs="Times New Roman"/>
          <w:i/>
          <w:iCs/>
          <w:sz w:val="24"/>
          <w:szCs w:val="24"/>
          <w:lang w:eastAsia="en-AU"/>
        </w:rPr>
        <w:t xml:space="preserve">Ray v. Transamerica Insurance Company, </w:t>
      </w:r>
      <w:r w:rsidRPr="0059683D">
        <w:rPr>
          <w:rFonts w:ascii="Times New Roman" w:eastAsia="Times New Roman" w:hAnsi="Times New Roman" w:cs="Times New Roman"/>
          <w:color w:val="0000FF"/>
          <w:sz w:val="24"/>
          <w:szCs w:val="24"/>
          <w:u w:val="single"/>
          <w:lang w:eastAsia="en-AU"/>
        </w:rPr>
        <w:t>46 Mich.App. 647</w:t>
      </w:r>
      <w:r w:rsidRPr="0059683D">
        <w:rPr>
          <w:rFonts w:ascii="Times New Roman" w:eastAsia="Times New Roman" w:hAnsi="Times New Roman" w:cs="Times New Roman"/>
          <w:sz w:val="24"/>
          <w:szCs w:val="24"/>
          <w:lang w:eastAsia="en-AU"/>
        </w:rPr>
        <w:t xml:space="preserve">, </w:t>
      </w:r>
      <w:hyperlink r:id="rId7" w:history="1">
        <w:r w:rsidRPr="0059683D">
          <w:rPr>
            <w:rFonts w:ascii="Times New Roman" w:eastAsia="Times New Roman" w:hAnsi="Times New Roman" w:cs="Times New Roman"/>
            <w:color w:val="0000FF"/>
            <w:sz w:val="24"/>
            <w:szCs w:val="24"/>
            <w:u w:val="single"/>
            <w:lang w:eastAsia="en-AU"/>
          </w:rPr>
          <w:t>208 N.W.2d 610</w:t>
        </w:r>
      </w:hyperlink>
      <w:r w:rsidRPr="0059683D">
        <w:rPr>
          <w:rFonts w:ascii="Times New Roman" w:eastAsia="Times New Roman" w:hAnsi="Times New Roman" w:cs="Times New Roman"/>
          <w:sz w:val="24"/>
          <w:szCs w:val="24"/>
          <w:lang w:eastAsia="en-AU"/>
        </w:rPr>
        <w:t xml:space="preserve"> (1973); </w:t>
      </w:r>
      <w:r w:rsidRPr="0059683D">
        <w:rPr>
          <w:rFonts w:ascii="Times New Roman" w:eastAsia="Times New Roman" w:hAnsi="Times New Roman" w:cs="Times New Roman"/>
          <w:i/>
          <w:iCs/>
          <w:sz w:val="24"/>
          <w:szCs w:val="24"/>
          <w:lang w:eastAsia="en-AU"/>
        </w:rPr>
        <w:t xml:space="preserve">Stacy v. Aetna Casualty </w:t>
      </w:r>
      <w:r w:rsidRPr="0059683D">
        <w:rPr>
          <w:rFonts w:ascii="Times New Roman" w:eastAsia="Times New Roman" w:hAnsi="Times New Roman" w:cs="Times New Roman"/>
          <w:color w:val="0000FF"/>
          <w:sz w:val="24"/>
          <w:szCs w:val="24"/>
          <w:u w:val="single"/>
          <w:lang w:eastAsia="en-AU"/>
        </w:rPr>
        <w:t>*568</w:t>
      </w:r>
      <w:r w:rsidRPr="0059683D">
        <w:rPr>
          <w:rFonts w:ascii="Times New Roman" w:eastAsia="Times New Roman" w:hAnsi="Times New Roman" w:cs="Times New Roman"/>
          <w:i/>
          <w:iCs/>
          <w:sz w:val="24"/>
          <w:szCs w:val="24"/>
          <w:lang w:eastAsia="en-AU"/>
        </w:rPr>
        <w:t xml:space="preserve">&amp; Surety Company, </w:t>
      </w:r>
      <w:hyperlink r:id="rId8" w:history="1">
        <w:r w:rsidRPr="0059683D">
          <w:rPr>
            <w:rFonts w:ascii="Times New Roman" w:eastAsia="Times New Roman" w:hAnsi="Times New Roman" w:cs="Times New Roman"/>
            <w:color w:val="0000FF"/>
            <w:sz w:val="24"/>
            <w:szCs w:val="24"/>
            <w:u w:val="single"/>
            <w:lang w:eastAsia="en-AU"/>
          </w:rPr>
          <w:t>484 F.2d 289</w:t>
        </w:r>
      </w:hyperlink>
      <w:r w:rsidRPr="0059683D">
        <w:rPr>
          <w:rFonts w:ascii="Times New Roman" w:eastAsia="Times New Roman" w:hAnsi="Times New Roman" w:cs="Times New Roman"/>
          <w:sz w:val="24"/>
          <w:szCs w:val="24"/>
          <w:lang w:eastAsia="en-AU"/>
        </w:rPr>
        <w:t xml:space="preserve"> (5th Cir. 1973); </w:t>
      </w:r>
      <w:r w:rsidRPr="0059683D">
        <w:rPr>
          <w:rFonts w:ascii="Times New Roman" w:eastAsia="Times New Roman" w:hAnsi="Times New Roman" w:cs="Times New Roman"/>
          <w:i/>
          <w:iCs/>
          <w:sz w:val="24"/>
          <w:szCs w:val="24"/>
          <w:lang w:eastAsia="en-AU"/>
        </w:rPr>
        <w:t xml:space="preserve">Jeffries v. United States, </w:t>
      </w:r>
      <w:r w:rsidRPr="0059683D">
        <w:rPr>
          <w:rFonts w:ascii="Times New Roman" w:eastAsia="Times New Roman" w:hAnsi="Times New Roman" w:cs="Times New Roman"/>
          <w:color w:val="0000FF"/>
          <w:sz w:val="24"/>
          <w:szCs w:val="24"/>
          <w:u w:val="single"/>
          <w:lang w:eastAsia="en-AU"/>
        </w:rPr>
        <w:t>477 F.2d 52</w:t>
      </w:r>
      <w:r w:rsidRPr="0059683D">
        <w:rPr>
          <w:rFonts w:ascii="Times New Roman" w:eastAsia="Times New Roman" w:hAnsi="Times New Roman" w:cs="Times New Roman"/>
          <w:sz w:val="24"/>
          <w:szCs w:val="24"/>
          <w:lang w:eastAsia="en-AU"/>
        </w:rPr>
        <w:t xml:space="preserve"> (9th Cir. 1973); </w:t>
      </w:r>
      <w:r w:rsidRPr="0059683D">
        <w:rPr>
          <w:rFonts w:ascii="Times New Roman" w:eastAsia="Times New Roman" w:hAnsi="Times New Roman" w:cs="Times New Roman"/>
          <w:i/>
          <w:iCs/>
          <w:sz w:val="24"/>
          <w:szCs w:val="24"/>
          <w:lang w:eastAsia="en-AU"/>
        </w:rPr>
        <w:t xml:space="preserve">Kennard v. Liberty Mutual Insurance Co., 277 </w:t>
      </w:r>
      <w:r w:rsidRPr="0059683D">
        <w:rPr>
          <w:rFonts w:ascii="Times New Roman" w:eastAsia="Times New Roman" w:hAnsi="Times New Roman" w:cs="Times New Roman"/>
          <w:sz w:val="24"/>
          <w:szCs w:val="24"/>
          <w:lang w:eastAsia="en-AU"/>
        </w:rPr>
        <w:t xml:space="preserve">So.2d 170 (La.App.1973). Section 324 A has been cited and discussed where the actor was an employee of a construction contractor, </w:t>
      </w:r>
      <w:r w:rsidRPr="0059683D">
        <w:rPr>
          <w:rFonts w:ascii="Times New Roman" w:eastAsia="Times New Roman" w:hAnsi="Times New Roman" w:cs="Times New Roman"/>
          <w:i/>
          <w:iCs/>
          <w:sz w:val="24"/>
          <w:szCs w:val="24"/>
          <w:lang w:eastAsia="en-AU"/>
        </w:rPr>
        <w:t xml:space="preserve">Craven v. Oggero, </w:t>
      </w:r>
      <w:hyperlink r:id="rId9" w:history="1">
        <w:r w:rsidRPr="0059683D">
          <w:rPr>
            <w:rFonts w:ascii="Times New Roman" w:eastAsia="Times New Roman" w:hAnsi="Times New Roman" w:cs="Times New Roman"/>
            <w:color w:val="0000FF"/>
            <w:sz w:val="24"/>
            <w:szCs w:val="24"/>
            <w:u w:val="single"/>
            <w:lang w:eastAsia="en-AU"/>
          </w:rPr>
          <w:t>213 N.W.2d 678</w:t>
        </w:r>
      </w:hyperlink>
      <w:r w:rsidRPr="0059683D">
        <w:rPr>
          <w:rFonts w:ascii="Times New Roman" w:eastAsia="Times New Roman" w:hAnsi="Times New Roman" w:cs="Times New Roman"/>
          <w:sz w:val="24"/>
          <w:szCs w:val="24"/>
          <w:lang w:eastAsia="en-AU"/>
        </w:rPr>
        <w:t xml:space="preserve"> (Iowa 1973), or cattleowner, </w:t>
      </w:r>
      <w:r w:rsidRPr="0059683D">
        <w:rPr>
          <w:rFonts w:ascii="Times New Roman" w:eastAsia="Times New Roman" w:hAnsi="Times New Roman" w:cs="Times New Roman"/>
          <w:i/>
          <w:iCs/>
          <w:sz w:val="24"/>
          <w:szCs w:val="24"/>
          <w:lang w:eastAsia="en-AU"/>
        </w:rPr>
        <w:t xml:space="preserve">Ellsworth Brothers, Inc. v. Crook, </w:t>
      </w:r>
      <w:r w:rsidRPr="0059683D">
        <w:rPr>
          <w:rFonts w:ascii="Times New Roman" w:eastAsia="Times New Roman" w:hAnsi="Times New Roman" w:cs="Times New Roman"/>
          <w:color w:val="0000FF"/>
          <w:sz w:val="24"/>
          <w:szCs w:val="24"/>
          <w:u w:val="single"/>
          <w:lang w:eastAsia="en-AU"/>
        </w:rPr>
        <w:t>406 P.2d 520</w:t>
      </w:r>
      <w:r w:rsidRPr="0059683D">
        <w:rPr>
          <w:rFonts w:ascii="Times New Roman" w:eastAsia="Times New Roman" w:hAnsi="Times New Roman" w:cs="Times New Roman"/>
          <w:sz w:val="24"/>
          <w:szCs w:val="24"/>
          <w:lang w:eastAsia="en-AU"/>
        </w:rPr>
        <w:t xml:space="preserve"> (Wyo.1965). See also, </w:t>
      </w:r>
      <w:r w:rsidRPr="0059683D">
        <w:rPr>
          <w:rFonts w:ascii="Times New Roman" w:eastAsia="Times New Roman" w:hAnsi="Times New Roman" w:cs="Times New Roman"/>
          <w:i/>
          <w:iCs/>
          <w:sz w:val="24"/>
          <w:szCs w:val="24"/>
          <w:lang w:eastAsia="en-AU"/>
        </w:rPr>
        <w:t xml:space="preserve">Buszta v. Souther, </w:t>
      </w:r>
      <w:hyperlink r:id="rId10" w:history="1">
        <w:r w:rsidRPr="0059683D">
          <w:rPr>
            <w:rFonts w:ascii="Times New Roman" w:eastAsia="Times New Roman" w:hAnsi="Times New Roman" w:cs="Times New Roman"/>
            <w:color w:val="0000FF"/>
            <w:sz w:val="24"/>
            <w:szCs w:val="24"/>
            <w:u w:val="single"/>
            <w:lang w:eastAsia="en-AU"/>
          </w:rPr>
          <w:t>102 R.I. 609</w:t>
        </w:r>
      </w:hyperlink>
      <w:r w:rsidRPr="0059683D">
        <w:rPr>
          <w:rFonts w:ascii="Times New Roman" w:eastAsia="Times New Roman" w:hAnsi="Times New Roman" w:cs="Times New Roman"/>
          <w:sz w:val="24"/>
          <w:szCs w:val="24"/>
          <w:lang w:eastAsia="en-AU"/>
        </w:rPr>
        <w:t xml:space="preserve">, </w:t>
      </w:r>
      <w:r w:rsidRPr="0059683D">
        <w:rPr>
          <w:rFonts w:ascii="Times New Roman" w:eastAsia="Times New Roman" w:hAnsi="Times New Roman" w:cs="Times New Roman"/>
          <w:color w:val="0000FF"/>
          <w:sz w:val="24"/>
          <w:szCs w:val="24"/>
          <w:u w:val="single"/>
          <w:lang w:eastAsia="en-AU"/>
        </w:rPr>
        <w:t>232 A.2d 396</w:t>
      </w:r>
      <w:r w:rsidRPr="0059683D">
        <w:rPr>
          <w:rFonts w:ascii="Times New Roman" w:eastAsia="Times New Roman" w:hAnsi="Times New Roman" w:cs="Times New Roman"/>
          <w:sz w:val="24"/>
          <w:szCs w:val="24"/>
          <w:lang w:eastAsia="en-AU"/>
        </w:rPr>
        <w:t xml:space="preserve"> (1967); </w:t>
      </w:r>
      <w:r w:rsidRPr="0059683D">
        <w:rPr>
          <w:rFonts w:ascii="Times New Roman" w:eastAsia="Times New Roman" w:hAnsi="Times New Roman" w:cs="Times New Roman"/>
          <w:i/>
          <w:iCs/>
          <w:sz w:val="24"/>
          <w:szCs w:val="24"/>
          <w:lang w:eastAsia="en-AU"/>
        </w:rPr>
        <w:t xml:space="preserve">Hempstead v. General Fire Extinguisher Corporation, </w:t>
      </w:r>
      <w:hyperlink r:id="rId11" w:history="1">
        <w:r w:rsidRPr="0059683D">
          <w:rPr>
            <w:rFonts w:ascii="Times New Roman" w:eastAsia="Times New Roman" w:hAnsi="Times New Roman" w:cs="Times New Roman"/>
            <w:color w:val="0000FF"/>
            <w:sz w:val="24"/>
            <w:szCs w:val="24"/>
            <w:u w:val="single"/>
            <w:lang w:eastAsia="en-AU"/>
          </w:rPr>
          <w:t>269 F.Supp. 109</w:t>
        </w:r>
      </w:hyperlink>
      <w:r w:rsidRPr="0059683D">
        <w:rPr>
          <w:rFonts w:ascii="Times New Roman" w:eastAsia="Times New Roman" w:hAnsi="Times New Roman" w:cs="Times New Roman"/>
          <w:sz w:val="24"/>
          <w:szCs w:val="24"/>
          <w:lang w:eastAsia="en-AU"/>
        </w:rPr>
        <w:t xml:space="preserve"> (D.Del.1967).</w:t>
      </w:r>
    </w:p>
    <w:p w14:paraId="1A2279A2" w14:textId="77777777"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No authority has been cited and we have found none which suggests that § 324 A is applicable to the fact situation in this case.</w:t>
      </w:r>
    </w:p>
    <w:p w14:paraId="37A108A7" w14:textId="76151A60"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i/>
          <w:iCs/>
          <w:sz w:val="24"/>
          <w:szCs w:val="24"/>
          <w:lang w:eastAsia="en-AU"/>
        </w:rPr>
        <w:t xml:space="preserve">Second, </w:t>
      </w:r>
      <w:r w:rsidRPr="0059683D">
        <w:rPr>
          <w:rFonts w:ascii="Times New Roman" w:eastAsia="Times New Roman" w:hAnsi="Times New Roman" w:cs="Times New Roman"/>
          <w:sz w:val="24"/>
          <w:szCs w:val="24"/>
          <w:lang w:eastAsia="en-AU"/>
        </w:rPr>
        <w:t xml:space="preserve">plaintiff contends there was a joint venture. The only authority cited is 60A C.J.S. Motor Vehicles § 444, a portion of which discusses “Joint enterprise; joint control.” We add, 8 Am.Jur. 2d Automobiles and Highway Traffic § 679. </w:t>
      </w:r>
      <w:r w:rsidRPr="0059683D">
        <w:rPr>
          <w:rFonts w:ascii="Times New Roman" w:eastAsia="Times New Roman" w:hAnsi="Times New Roman" w:cs="Times New Roman"/>
          <w:sz w:val="24"/>
          <w:szCs w:val="24"/>
          <w:highlight w:val="green"/>
          <w:lang w:eastAsia="en-AU"/>
        </w:rPr>
        <w:t>One of the factors missing from the Miller-Warren relationship necessary to the creation of a joint venture was the lack of authority or control by Warren over Miller or any authority of Warren to control the Miller vehicle.</w:t>
      </w:r>
      <w:r w:rsidRPr="0059683D">
        <w:rPr>
          <w:rFonts w:ascii="Times New Roman" w:eastAsia="Times New Roman" w:hAnsi="Times New Roman" w:cs="Times New Roman"/>
          <w:sz w:val="24"/>
          <w:szCs w:val="24"/>
          <w:lang w:eastAsia="en-AU"/>
        </w:rPr>
        <w:t xml:space="preserve"> </w:t>
      </w:r>
      <w:r w:rsidRPr="0059683D">
        <w:rPr>
          <w:rFonts w:ascii="Times New Roman" w:eastAsia="Times New Roman" w:hAnsi="Times New Roman" w:cs="Times New Roman"/>
          <w:i/>
          <w:iCs/>
          <w:sz w:val="24"/>
          <w:szCs w:val="24"/>
          <w:highlight w:val="cyan"/>
          <w:lang w:eastAsia="en-AU"/>
        </w:rPr>
        <w:t xml:space="preserve">Silva v. Waldie, </w:t>
      </w:r>
      <w:r w:rsidRPr="0059683D">
        <w:rPr>
          <w:rFonts w:ascii="Times New Roman" w:eastAsia="Times New Roman" w:hAnsi="Times New Roman" w:cs="Times New Roman"/>
          <w:color w:val="0000FF"/>
          <w:sz w:val="24"/>
          <w:szCs w:val="24"/>
          <w:highlight w:val="cyan"/>
          <w:u w:val="single"/>
          <w:lang w:eastAsia="en-AU"/>
        </w:rPr>
        <w:t>42 N.M. 514</w:t>
      </w:r>
      <w:r w:rsidRPr="0059683D">
        <w:rPr>
          <w:rFonts w:ascii="Times New Roman" w:eastAsia="Times New Roman" w:hAnsi="Times New Roman" w:cs="Times New Roman"/>
          <w:sz w:val="24"/>
          <w:szCs w:val="24"/>
          <w:highlight w:val="cyan"/>
          <w:lang w:eastAsia="en-AU"/>
        </w:rPr>
        <w:t xml:space="preserve">, </w:t>
      </w:r>
      <w:hyperlink r:id="rId12" w:history="1">
        <w:r w:rsidRPr="0059683D">
          <w:rPr>
            <w:rFonts w:ascii="Times New Roman" w:eastAsia="Times New Roman" w:hAnsi="Times New Roman" w:cs="Times New Roman"/>
            <w:color w:val="0000FF"/>
            <w:sz w:val="24"/>
            <w:szCs w:val="24"/>
            <w:highlight w:val="cyan"/>
            <w:u w:val="single"/>
            <w:lang w:eastAsia="en-AU"/>
          </w:rPr>
          <w:t>82 P.2d 282</w:t>
        </w:r>
      </w:hyperlink>
      <w:r w:rsidRPr="0059683D">
        <w:rPr>
          <w:rFonts w:ascii="Times New Roman" w:eastAsia="Times New Roman" w:hAnsi="Times New Roman" w:cs="Times New Roman"/>
          <w:sz w:val="24"/>
          <w:szCs w:val="24"/>
          <w:highlight w:val="cyan"/>
          <w:lang w:eastAsia="en-AU"/>
        </w:rPr>
        <w:t xml:space="preserve"> (1938); See </w:t>
      </w:r>
      <w:r w:rsidRPr="0059683D">
        <w:rPr>
          <w:rFonts w:ascii="Times New Roman" w:eastAsia="Times New Roman" w:hAnsi="Times New Roman" w:cs="Times New Roman"/>
          <w:i/>
          <w:iCs/>
          <w:sz w:val="24"/>
          <w:szCs w:val="24"/>
          <w:highlight w:val="cyan"/>
          <w:lang w:eastAsia="en-AU"/>
        </w:rPr>
        <w:t xml:space="preserve">Schall v. Mondragon, </w:t>
      </w:r>
      <w:r w:rsidRPr="0059683D">
        <w:rPr>
          <w:rFonts w:ascii="Times New Roman" w:eastAsia="Times New Roman" w:hAnsi="Times New Roman" w:cs="Times New Roman"/>
          <w:color w:val="0000FF"/>
          <w:sz w:val="24"/>
          <w:szCs w:val="24"/>
          <w:highlight w:val="cyan"/>
          <w:u w:val="single"/>
          <w:lang w:eastAsia="en-AU"/>
        </w:rPr>
        <w:t xml:space="preserve">74 </w:t>
      </w:r>
      <w:r w:rsidRPr="0059683D">
        <w:rPr>
          <w:rFonts w:ascii="Times New Roman" w:eastAsia="Times New Roman" w:hAnsi="Times New Roman" w:cs="Times New Roman"/>
          <w:color w:val="0000FF"/>
          <w:sz w:val="24"/>
          <w:szCs w:val="24"/>
          <w:highlight w:val="cyan"/>
          <w:u w:val="single"/>
          <w:lang w:eastAsia="en-AU"/>
        </w:rPr>
        <w:lastRenderedPageBreak/>
        <w:t>N.M. 348</w:t>
      </w:r>
      <w:r w:rsidRPr="0059683D">
        <w:rPr>
          <w:rFonts w:ascii="Times New Roman" w:eastAsia="Times New Roman" w:hAnsi="Times New Roman" w:cs="Times New Roman"/>
          <w:sz w:val="24"/>
          <w:szCs w:val="24"/>
          <w:highlight w:val="cyan"/>
          <w:lang w:eastAsia="en-AU"/>
        </w:rPr>
        <w:t xml:space="preserve">, </w:t>
      </w:r>
      <w:hyperlink r:id="rId13" w:history="1">
        <w:r w:rsidRPr="0059683D">
          <w:rPr>
            <w:rFonts w:ascii="Times New Roman" w:eastAsia="Times New Roman" w:hAnsi="Times New Roman" w:cs="Times New Roman"/>
            <w:color w:val="0000FF"/>
            <w:sz w:val="24"/>
            <w:szCs w:val="24"/>
            <w:highlight w:val="cyan"/>
            <w:u w:val="single"/>
            <w:lang w:eastAsia="en-AU"/>
          </w:rPr>
          <w:t>393 P.2d 457</w:t>
        </w:r>
      </w:hyperlink>
      <w:r w:rsidRPr="0059683D">
        <w:rPr>
          <w:rFonts w:ascii="Times New Roman" w:eastAsia="Times New Roman" w:hAnsi="Times New Roman" w:cs="Times New Roman"/>
          <w:sz w:val="24"/>
          <w:szCs w:val="24"/>
          <w:highlight w:val="cyan"/>
          <w:lang w:eastAsia="en-AU"/>
        </w:rPr>
        <w:t xml:space="preserve"> (1964).</w:t>
      </w:r>
      <w:r w:rsidRPr="0059683D">
        <w:rPr>
          <w:rFonts w:ascii="Times New Roman" w:eastAsia="Times New Roman" w:hAnsi="Times New Roman" w:cs="Times New Roman"/>
          <w:sz w:val="24"/>
          <w:szCs w:val="24"/>
          <w:lang w:eastAsia="en-AU"/>
        </w:rPr>
        <w:t xml:space="preserve"> </w:t>
      </w:r>
      <w:r w:rsidRPr="0059683D">
        <w:rPr>
          <w:rFonts w:ascii="Times New Roman" w:eastAsia="Times New Roman" w:hAnsi="Times New Roman" w:cs="Times New Roman"/>
          <w:sz w:val="24"/>
          <w:szCs w:val="24"/>
          <w:highlight w:val="green"/>
          <w:lang w:eastAsia="en-AU"/>
        </w:rPr>
        <w:t>No joint venture, enterprise or control existed between Warren and Miller.</w:t>
      </w:r>
    </w:p>
    <w:p w14:paraId="37D5CF7A" w14:textId="77777777"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i/>
          <w:iCs/>
          <w:sz w:val="24"/>
          <w:szCs w:val="24"/>
          <w:lang w:eastAsia="en-AU"/>
        </w:rPr>
        <w:t xml:space="preserve">Third, </w:t>
      </w:r>
      <w:r w:rsidRPr="0059683D">
        <w:rPr>
          <w:rFonts w:ascii="Times New Roman" w:eastAsia="Times New Roman" w:hAnsi="Times New Roman" w:cs="Times New Roman"/>
          <w:sz w:val="24"/>
          <w:szCs w:val="24"/>
          <w:lang w:eastAsia="en-AU"/>
        </w:rPr>
        <w:t xml:space="preserve">plaintiff contends that some language in </w:t>
      </w:r>
      <w:r w:rsidRPr="0059683D">
        <w:rPr>
          <w:rFonts w:ascii="Times New Roman" w:eastAsia="Times New Roman" w:hAnsi="Times New Roman" w:cs="Times New Roman"/>
          <w:i/>
          <w:iCs/>
          <w:sz w:val="24"/>
          <w:szCs w:val="24"/>
          <w:lang w:eastAsia="en-AU"/>
        </w:rPr>
        <w:t xml:space="preserve">Georgiadis v. Fuenfstueck, </w:t>
      </w:r>
      <w:r w:rsidRPr="0059683D">
        <w:rPr>
          <w:rFonts w:ascii="Times New Roman" w:eastAsia="Times New Roman" w:hAnsi="Times New Roman" w:cs="Times New Roman"/>
          <w:sz w:val="24"/>
          <w:szCs w:val="24"/>
          <w:lang w:eastAsia="en-AU"/>
        </w:rPr>
        <w:t xml:space="preserve">31 Leh.L.J. 121, Pa.Com.Pl. (1964) is controlling in the instant case. Here, a motion for judgment on the pleadings was made on behalf of the occupants of one of the vehicles engaged in racing with another vehicle on the public highways. The motion was dismissed because the occupants “not only acquiesced in the creation of an extremely perilous situation, it is alleged, but also incited and spurred on the drivers and thereby caused the accident which has resulted in injuries to the minor plaintiff.” By reason of this </w:t>
      </w:r>
      <w:r w:rsidRPr="0059683D">
        <w:rPr>
          <w:rFonts w:ascii="Times New Roman" w:eastAsia="Times New Roman" w:hAnsi="Times New Roman" w:cs="Times New Roman"/>
          <w:i/>
          <w:iCs/>
          <w:sz w:val="24"/>
          <w:szCs w:val="24"/>
          <w:lang w:eastAsia="en-AU"/>
        </w:rPr>
        <w:t xml:space="preserve">wrongful </w:t>
      </w:r>
      <w:r w:rsidRPr="0059683D">
        <w:rPr>
          <w:rFonts w:ascii="Times New Roman" w:eastAsia="Times New Roman" w:hAnsi="Times New Roman" w:cs="Times New Roman"/>
          <w:sz w:val="24"/>
          <w:szCs w:val="24"/>
          <w:lang w:eastAsia="en-AU"/>
        </w:rPr>
        <w:t>conduct, the trial judge concluded that an issue of fact existed whether the conduct of the occupants proximately contributed to cause plaintiff’s injuries. The difference between the wrongful conduct of the occupants of the racing car and Warren’s conduct adequately distinguishes the case.</w:t>
      </w:r>
    </w:p>
    <w:p w14:paraId="208548E0" w14:textId="5FE2B928"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 xml:space="preserve">Warren can be held liable for negligence only when she owed a duty to plaintiff and failed to observe that standard of care which the law requires of her in the performance of that duty. </w:t>
      </w:r>
      <w:r w:rsidRPr="0059683D">
        <w:rPr>
          <w:rFonts w:ascii="Times New Roman" w:eastAsia="Times New Roman" w:hAnsi="Times New Roman" w:cs="Times New Roman"/>
          <w:i/>
          <w:iCs/>
          <w:sz w:val="24"/>
          <w:szCs w:val="24"/>
          <w:highlight w:val="cyan"/>
          <w:lang w:eastAsia="en-AU"/>
        </w:rPr>
        <w:t xml:space="preserve">Giese v. Mountain States Telephone &amp; Telegraph Co., </w:t>
      </w:r>
      <w:r w:rsidRPr="0059683D">
        <w:rPr>
          <w:rFonts w:ascii="Times New Roman" w:eastAsia="Times New Roman" w:hAnsi="Times New Roman" w:cs="Times New Roman"/>
          <w:color w:val="0000FF"/>
          <w:sz w:val="24"/>
          <w:szCs w:val="24"/>
          <w:highlight w:val="cyan"/>
          <w:u w:val="single"/>
          <w:lang w:eastAsia="en-AU"/>
        </w:rPr>
        <w:t>71 N.M. 70</w:t>
      </w:r>
      <w:r w:rsidRPr="0059683D">
        <w:rPr>
          <w:rFonts w:ascii="Times New Roman" w:eastAsia="Times New Roman" w:hAnsi="Times New Roman" w:cs="Times New Roman"/>
          <w:sz w:val="24"/>
          <w:szCs w:val="24"/>
          <w:highlight w:val="cyan"/>
          <w:lang w:eastAsia="en-AU"/>
        </w:rPr>
        <w:t xml:space="preserve">, </w:t>
      </w:r>
      <w:hyperlink r:id="rId14" w:history="1">
        <w:r w:rsidRPr="0059683D">
          <w:rPr>
            <w:rFonts w:ascii="Times New Roman" w:eastAsia="Times New Roman" w:hAnsi="Times New Roman" w:cs="Times New Roman"/>
            <w:color w:val="0000FF"/>
            <w:sz w:val="24"/>
            <w:szCs w:val="24"/>
            <w:highlight w:val="cyan"/>
            <w:u w:val="single"/>
            <w:lang w:eastAsia="en-AU"/>
          </w:rPr>
          <w:t>376 P.2d 24</w:t>
        </w:r>
      </w:hyperlink>
      <w:r w:rsidRPr="0059683D">
        <w:rPr>
          <w:rFonts w:ascii="Times New Roman" w:eastAsia="Times New Roman" w:hAnsi="Times New Roman" w:cs="Times New Roman"/>
          <w:sz w:val="24"/>
          <w:szCs w:val="24"/>
          <w:highlight w:val="cyan"/>
          <w:lang w:eastAsia="en-AU"/>
        </w:rPr>
        <w:t xml:space="preserve"> (1962); </w:t>
      </w:r>
      <w:r w:rsidRPr="0059683D">
        <w:rPr>
          <w:rFonts w:ascii="Times New Roman" w:eastAsia="Times New Roman" w:hAnsi="Times New Roman" w:cs="Times New Roman"/>
          <w:i/>
          <w:iCs/>
          <w:sz w:val="24"/>
          <w:szCs w:val="24"/>
          <w:highlight w:val="cyan"/>
          <w:lang w:eastAsia="en-AU"/>
        </w:rPr>
        <w:t xml:space="preserve">Neff v. Woodmen of World Life Insurance Society, </w:t>
      </w:r>
      <w:r w:rsidRPr="0059683D">
        <w:rPr>
          <w:rFonts w:ascii="Times New Roman" w:eastAsia="Times New Roman" w:hAnsi="Times New Roman" w:cs="Times New Roman"/>
          <w:color w:val="0000FF"/>
          <w:sz w:val="24"/>
          <w:szCs w:val="24"/>
          <w:highlight w:val="cyan"/>
          <w:u w:val="single"/>
          <w:lang w:eastAsia="en-AU"/>
        </w:rPr>
        <w:t>87 N.M. 68</w:t>
      </w:r>
      <w:r w:rsidRPr="0059683D">
        <w:rPr>
          <w:rFonts w:ascii="Times New Roman" w:eastAsia="Times New Roman" w:hAnsi="Times New Roman" w:cs="Times New Roman"/>
          <w:sz w:val="24"/>
          <w:szCs w:val="24"/>
          <w:highlight w:val="cyan"/>
          <w:lang w:eastAsia="en-AU"/>
        </w:rPr>
        <w:t xml:space="preserve">, </w:t>
      </w:r>
      <w:hyperlink r:id="rId15" w:history="1">
        <w:r w:rsidRPr="0059683D">
          <w:rPr>
            <w:rFonts w:ascii="Times New Roman" w:eastAsia="Times New Roman" w:hAnsi="Times New Roman" w:cs="Times New Roman"/>
            <w:color w:val="0000FF"/>
            <w:sz w:val="24"/>
            <w:szCs w:val="24"/>
            <w:highlight w:val="cyan"/>
            <w:u w:val="single"/>
            <w:lang w:eastAsia="en-AU"/>
          </w:rPr>
          <w:t>529 P.2d 294</w:t>
        </w:r>
      </w:hyperlink>
      <w:r w:rsidRPr="0059683D">
        <w:rPr>
          <w:rFonts w:ascii="Times New Roman" w:eastAsia="Times New Roman" w:hAnsi="Times New Roman" w:cs="Times New Roman"/>
          <w:sz w:val="24"/>
          <w:szCs w:val="24"/>
          <w:highlight w:val="cyan"/>
          <w:lang w:eastAsia="en-AU"/>
        </w:rPr>
        <w:t xml:space="preserve"> (Ct.App.1974).</w:t>
      </w:r>
    </w:p>
    <w:p w14:paraId="34496CC7" w14:textId="5CAD5E36"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highlight w:val="green"/>
          <w:lang w:eastAsia="en-AU"/>
        </w:rPr>
        <w:t>Warren owed no duty to Moya.</w:t>
      </w:r>
      <w:r w:rsidRPr="0059683D">
        <w:rPr>
          <w:rFonts w:ascii="Times New Roman" w:eastAsia="Times New Roman" w:hAnsi="Times New Roman" w:cs="Times New Roman"/>
          <w:sz w:val="24"/>
          <w:szCs w:val="24"/>
          <w:lang w:eastAsia="en-AU"/>
        </w:rPr>
        <w:t xml:space="preserve"> </w:t>
      </w:r>
      <w:r w:rsidRPr="0059683D">
        <w:rPr>
          <w:rFonts w:ascii="Times New Roman" w:eastAsia="Times New Roman" w:hAnsi="Times New Roman" w:cs="Times New Roman"/>
          <w:i/>
          <w:iCs/>
          <w:sz w:val="24"/>
          <w:szCs w:val="24"/>
          <w:highlight w:val="cyan"/>
          <w:lang w:eastAsia="en-AU"/>
        </w:rPr>
        <w:t xml:space="preserve">West v. Soto, </w:t>
      </w:r>
      <w:r w:rsidRPr="0059683D">
        <w:rPr>
          <w:rFonts w:ascii="Times New Roman" w:eastAsia="Times New Roman" w:hAnsi="Times New Roman" w:cs="Times New Roman"/>
          <w:color w:val="0000FF"/>
          <w:sz w:val="24"/>
          <w:szCs w:val="24"/>
          <w:highlight w:val="cyan"/>
          <w:u w:val="single"/>
          <w:lang w:eastAsia="en-AU"/>
        </w:rPr>
        <w:t>85 Ariz. 255</w:t>
      </w:r>
      <w:r w:rsidRPr="0059683D">
        <w:rPr>
          <w:rFonts w:ascii="Times New Roman" w:eastAsia="Times New Roman" w:hAnsi="Times New Roman" w:cs="Times New Roman"/>
          <w:sz w:val="24"/>
          <w:szCs w:val="24"/>
          <w:highlight w:val="cyan"/>
          <w:lang w:eastAsia="en-AU"/>
        </w:rPr>
        <w:t xml:space="preserve">, </w:t>
      </w:r>
      <w:hyperlink r:id="rId16" w:history="1">
        <w:r w:rsidRPr="0059683D">
          <w:rPr>
            <w:rFonts w:ascii="Times New Roman" w:eastAsia="Times New Roman" w:hAnsi="Times New Roman" w:cs="Times New Roman"/>
            <w:color w:val="0000FF"/>
            <w:sz w:val="24"/>
            <w:szCs w:val="24"/>
            <w:highlight w:val="cyan"/>
            <w:u w:val="single"/>
            <w:lang w:eastAsia="en-AU"/>
          </w:rPr>
          <w:t>336 P.2d 153</w:t>
        </w:r>
      </w:hyperlink>
      <w:r w:rsidRPr="0059683D">
        <w:rPr>
          <w:rFonts w:ascii="Times New Roman" w:eastAsia="Times New Roman" w:hAnsi="Times New Roman" w:cs="Times New Roman"/>
          <w:sz w:val="24"/>
          <w:szCs w:val="24"/>
          <w:highlight w:val="cyan"/>
          <w:lang w:eastAsia="en-AU"/>
        </w:rPr>
        <w:t xml:space="preserve"> (1959); </w:t>
      </w:r>
      <w:r w:rsidRPr="0059683D">
        <w:rPr>
          <w:rFonts w:ascii="Times New Roman" w:eastAsia="Times New Roman" w:hAnsi="Times New Roman" w:cs="Times New Roman"/>
          <w:i/>
          <w:iCs/>
          <w:sz w:val="24"/>
          <w:szCs w:val="24"/>
          <w:highlight w:val="cyan"/>
          <w:lang w:eastAsia="en-AU"/>
        </w:rPr>
        <w:t xml:space="preserve">Sloan v. Flack, </w:t>
      </w:r>
      <w:r w:rsidRPr="0059683D">
        <w:rPr>
          <w:rFonts w:ascii="Times New Roman" w:eastAsia="Times New Roman" w:hAnsi="Times New Roman" w:cs="Times New Roman"/>
          <w:color w:val="0000FF"/>
          <w:sz w:val="24"/>
          <w:szCs w:val="24"/>
          <w:highlight w:val="cyan"/>
          <w:u w:val="single"/>
          <w:lang w:eastAsia="en-AU"/>
        </w:rPr>
        <w:t>150 So.2d 646</w:t>
      </w:r>
      <w:r w:rsidRPr="0059683D">
        <w:rPr>
          <w:rFonts w:ascii="Times New Roman" w:eastAsia="Times New Roman" w:hAnsi="Times New Roman" w:cs="Times New Roman"/>
          <w:sz w:val="24"/>
          <w:szCs w:val="24"/>
          <w:highlight w:val="cyan"/>
          <w:lang w:eastAsia="en-AU"/>
        </w:rPr>
        <w:t xml:space="preserve"> (La.App.1963); </w:t>
      </w:r>
      <w:r w:rsidRPr="0059683D">
        <w:rPr>
          <w:rFonts w:ascii="Times New Roman" w:eastAsia="Times New Roman" w:hAnsi="Times New Roman" w:cs="Times New Roman"/>
          <w:i/>
          <w:iCs/>
          <w:sz w:val="24"/>
          <w:szCs w:val="24"/>
          <w:highlight w:val="cyan"/>
          <w:lang w:eastAsia="en-AU"/>
        </w:rPr>
        <w:t xml:space="preserve">Cain v. Dougherty, </w:t>
      </w:r>
      <w:hyperlink r:id="rId17" w:history="1">
        <w:r w:rsidRPr="0059683D">
          <w:rPr>
            <w:rFonts w:ascii="Times New Roman" w:eastAsia="Times New Roman" w:hAnsi="Times New Roman" w:cs="Times New Roman"/>
            <w:color w:val="0000FF"/>
            <w:sz w:val="24"/>
            <w:szCs w:val="24"/>
            <w:highlight w:val="cyan"/>
            <w:u w:val="single"/>
            <w:lang w:eastAsia="en-AU"/>
          </w:rPr>
          <w:t>54 Wash.2d 466</w:t>
        </w:r>
      </w:hyperlink>
      <w:r w:rsidRPr="0059683D">
        <w:rPr>
          <w:rFonts w:ascii="Times New Roman" w:eastAsia="Times New Roman" w:hAnsi="Times New Roman" w:cs="Times New Roman"/>
          <w:sz w:val="24"/>
          <w:szCs w:val="24"/>
          <w:highlight w:val="cyan"/>
          <w:lang w:eastAsia="en-AU"/>
        </w:rPr>
        <w:t xml:space="preserve">, </w:t>
      </w:r>
      <w:r w:rsidRPr="0059683D">
        <w:rPr>
          <w:rFonts w:ascii="Times New Roman" w:eastAsia="Times New Roman" w:hAnsi="Times New Roman" w:cs="Times New Roman"/>
          <w:color w:val="0000FF"/>
          <w:sz w:val="24"/>
          <w:szCs w:val="24"/>
          <w:highlight w:val="cyan"/>
          <w:u w:val="single"/>
          <w:lang w:eastAsia="en-AU"/>
        </w:rPr>
        <w:t>341 P.2d 879</w:t>
      </w:r>
      <w:r w:rsidRPr="0059683D">
        <w:rPr>
          <w:rFonts w:ascii="Times New Roman" w:eastAsia="Times New Roman" w:hAnsi="Times New Roman" w:cs="Times New Roman"/>
          <w:sz w:val="24"/>
          <w:szCs w:val="24"/>
          <w:highlight w:val="cyan"/>
          <w:lang w:eastAsia="en-AU"/>
        </w:rPr>
        <w:t xml:space="preserve"> (1959).</w:t>
      </w:r>
    </w:p>
    <w:p w14:paraId="7FDED8FE" w14:textId="77777777"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highlight w:val="red"/>
          <w:lang w:eastAsia="en-AU"/>
        </w:rPr>
        <w:t>Affirmed.</w:t>
      </w:r>
    </w:p>
    <w:p w14:paraId="23378C26" w14:textId="77777777" w:rsidR="0059683D" w:rsidRP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It is so ordered.</w:t>
      </w:r>
    </w:p>
    <w:p w14:paraId="25085BA8" w14:textId="0508F73B" w:rsidR="0059683D" w:rsidRDefault="0059683D"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9683D">
        <w:rPr>
          <w:rFonts w:ascii="Times New Roman" w:eastAsia="Times New Roman" w:hAnsi="Times New Roman" w:cs="Times New Roman"/>
          <w:sz w:val="24"/>
          <w:szCs w:val="24"/>
          <w:lang w:eastAsia="en-AU"/>
        </w:rPr>
        <w:t>WOOD, C. J., and LOPEZ, J., concur.</w:t>
      </w:r>
    </w:p>
    <w:p w14:paraId="44014310" w14:textId="7F76923A" w:rsidR="0074414A" w:rsidRDefault="0074414A"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02D4BDF9" w14:textId="7271970D" w:rsidR="0074414A" w:rsidRDefault="0074414A" w:rsidP="0059683D">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0ABCCC45" w14:textId="715B4843" w:rsidR="0074414A" w:rsidRDefault="0074414A"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 vehicle passenger could be liable for injuries caused to the plaintiff from collision with the car.</w:t>
      </w:r>
    </w:p>
    <w:p w14:paraId="55F01E63" w14:textId="42901192" w:rsidR="0074414A" w:rsidRDefault="0074414A" w:rsidP="0059683D">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2BFEDB4B" w14:textId="292A0756" w:rsidR="0074414A" w:rsidRDefault="0074414A" w:rsidP="0074414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injured in a collision with the car driven by a third party</w:t>
      </w:r>
    </w:p>
    <w:p w14:paraId="4C6832CD" w14:textId="716E331A" w:rsidR="0074414A" w:rsidRDefault="0074414A" w:rsidP="0074414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vehicle passenger had assisted the third party driver to look for oncoming vehicles when performing a turn on a road.</w:t>
      </w:r>
    </w:p>
    <w:p w14:paraId="2BAB544C" w14:textId="2BBB0A7E" w:rsidR="0074414A" w:rsidRDefault="0074414A" w:rsidP="0074414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alleged that by helping the driver look for oncoming vehicles (such as the plaintiff’s motorbike), the defendant undertook to render services on the driver’s behalf to the plaintiff.</w:t>
      </w:r>
    </w:p>
    <w:p w14:paraId="3B7B7C85" w14:textId="04FE52CC" w:rsidR="0074414A" w:rsidRDefault="0074414A" w:rsidP="0074414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court found that the defendant did not make such an undertaking, so owed no duty to the plaintiff.</w:t>
      </w:r>
    </w:p>
    <w:p w14:paraId="66484B4E" w14:textId="49C936AA" w:rsidR="0074414A" w:rsidRPr="0074414A" w:rsidRDefault="0074414A" w:rsidP="0074414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court also found that there were no circumstances that created a joint venture, so the defendant could not be liable on that basis either.</w:t>
      </w:r>
    </w:p>
    <w:p w14:paraId="3E4BE7FE"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AD45D0"/>
    <w:multiLevelType w:val="hybridMultilevel"/>
    <w:tmpl w:val="E3722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41529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3D"/>
    <w:rsid w:val="00130E7A"/>
    <w:rsid w:val="001606B4"/>
    <w:rsid w:val="0059683D"/>
    <w:rsid w:val="00636A90"/>
    <w:rsid w:val="0074414A"/>
    <w:rsid w:val="009C587D"/>
    <w:rsid w:val="00A62E8D"/>
    <w:rsid w:val="00A8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E131"/>
  <w15:chartTrackingRefBased/>
  <w15:docId w15:val="{8602EA47-3ACC-4159-A143-4050FB57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688774">
      <w:bodyDiv w:val="1"/>
      <w:marLeft w:val="0"/>
      <w:marRight w:val="0"/>
      <w:marTop w:val="0"/>
      <w:marBottom w:val="0"/>
      <w:divBdr>
        <w:top w:val="none" w:sz="0" w:space="0" w:color="auto"/>
        <w:left w:val="none" w:sz="0" w:space="0" w:color="auto"/>
        <w:bottom w:val="none" w:sz="0" w:space="0" w:color="auto"/>
        <w:right w:val="none" w:sz="0" w:space="0" w:color="auto"/>
      </w:divBdr>
      <w:divsChild>
        <w:div w:id="799610565">
          <w:marLeft w:val="0"/>
          <w:marRight w:val="0"/>
          <w:marTop w:val="0"/>
          <w:marBottom w:val="0"/>
          <w:divBdr>
            <w:top w:val="none" w:sz="0" w:space="0" w:color="auto"/>
            <w:left w:val="none" w:sz="0" w:space="0" w:color="auto"/>
            <w:bottom w:val="none" w:sz="0" w:space="0" w:color="auto"/>
            <w:right w:val="none" w:sz="0" w:space="0" w:color="auto"/>
          </w:divBdr>
          <w:divsChild>
            <w:div w:id="105270101">
              <w:marLeft w:val="0"/>
              <w:marRight w:val="0"/>
              <w:marTop w:val="0"/>
              <w:marBottom w:val="0"/>
              <w:divBdr>
                <w:top w:val="none" w:sz="0" w:space="0" w:color="auto"/>
                <w:left w:val="none" w:sz="0" w:space="0" w:color="auto"/>
                <w:bottom w:val="none" w:sz="0" w:space="0" w:color="auto"/>
                <w:right w:val="none" w:sz="0" w:space="0" w:color="auto"/>
              </w:divBdr>
              <w:divsChild>
                <w:div w:id="1513914103">
                  <w:marLeft w:val="0"/>
                  <w:marRight w:val="0"/>
                  <w:marTop w:val="0"/>
                  <w:marBottom w:val="0"/>
                  <w:divBdr>
                    <w:top w:val="none" w:sz="0" w:space="0" w:color="auto"/>
                    <w:left w:val="none" w:sz="0" w:space="0" w:color="auto"/>
                    <w:bottom w:val="none" w:sz="0" w:space="0" w:color="auto"/>
                    <w:right w:val="none" w:sz="0" w:space="0" w:color="auto"/>
                  </w:divBdr>
                  <w:divsChild>
                    <w:div w:id="1167089522">
                      <w:marLeft w:val="0"/>
                      <w:marRight w:val="0"/>
                      <w:marTop w:val="0"/>
                      <w:marBottom w:val="0"/>
                      <w:divBdr>
                        <w:top w:val="none" w:sz="0" w:space="0" w:color="auto"/>
                        <w:left w:val="none" w:sz="0" w:space="0" w:color="auto"/>
                        <w:bottom w:val="none" w:sz="0" w:space="0" w:color="auto"/>
                        <w:right w:val="none" w:sz="0" w:space="0" w:color="auto"/>
                      </w:divBdr>
                    </w:div>
                    <w:div w:id="12484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39114">
              <w:marLeft w:val="0"/>
              <w:marRight w:val="0"/>
              <w:marTop w:val="0"/>
              <w:marBottom w:val="0"/>
              <w:divBdr>
                <w:top w:val="none" w:sz="0" w:space="0" w:color="auto"/>
                <w:left w:val="none" w:sz="0" w:space="0" w:color="auto"/>
                <w:bottom w:val="none" w:sz="0" w:space="0" w:color="auto"/>
                <w:right w:val="none" w:sz="0" w:space="0" w:color="auto"/>
              </w:divBdr>
              <w:divsChild>
                <w:div w:id="761608673">
                  <w:marLeft w:val="0"/>
                  <w:marRight w:val="0"/>
                  <w:marTop w:val="0"/>
                  <w:marBottom w:val="0"/>
                  <w:divBdr>
                    <w:top w:val="none" w:sz="0" w:space="0" w:color="auto"/>
                    <w:left w:val="none" w:sz="0" w:space="0" w:color="auto"/>
                    <w:bottom w:val="none" w:sz="0" w:space="0" w:color="auto"/>
                    <w:right w:val="none" w:sz="0" w:space="0" w:color="auto"/>
                  </w:divBdr>
                </w:div>
              </w:divsChild>
            </w:div>
            <w:div w:id="6464970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36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476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108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615186">
      <w:bodyDiv w:val="1"/>
      <w:marLeft w:val="0"/>
      <w:marRight w:val="0"/>
      <w:marTop w:val="0"/>
      <w:marBottom w:val="0"/>
      <w:divBdr>
        <w:top w:val="none" w:sz="0" w:space="0" w:color="auto"/>
        <w:left w:val="none" w:sz="0" w:space="0" w:color="auto"/>
        <w:bottom w:val="none" w:sz="0" w:space="0" w:color="auto"/>
        <w:right w:val="none" w:sz="0" w:space="0" w:color="auto"/>
      </w:divBdr>
      <w:divsChild>
        <w:div w:id="832064732">
          <w:marLeft w:val="0"/>
          <w:marRight w:val="0"/>
          <w:marTop w:val="0"/>
          <w:marBottom w:val="0"/>
          <w:divBdr>
            <w:top w:val="none" w:sz="0" w:space="0" w:color="auto"/>
            <w:left w:val="none" w:sz="0" w:space="0" w:color="auto"/>
            <w:bottom w:val="none" w:sz="0" w:space="0" w:color="auto"/>
            <w:right w:val="none" w:sz="0" w:space="0" w:color="auto"/>
          </w:divBdr>
          <w:divsChild>
            <w:div w:id="1133861738">
              <w:marLeft w:val="0"/>
              <w:marRight w:val="0"/>
              <w:marTop w:val="0"/>
              <w:marBottom w:val="0"/>
              <w:divBdr>
                <w:top w:val="none" w:sz="0" w:space="0" w:color="auto"/>
                <w:left w:val="none" w:sz="0" w:space="0" w:color="auto"/>
                <w:bottom w:val="none" w:sz="0" w:space="0" w:color="auto"/>
                <w:right w:val="none" w:sz="0" w:space="0" w:color="auto"/>
              </w:divBdr>
              <w:divsChild>
                <w:div w:id="1810396880">
                  <w:marLeft w:val="0"/>
                  <w:marRight w:val="0"/>
                  <w:marTop w:val="0"/>
                  <w:marBottom w:val="0"/>
                  <w:divBdr>
                    <w:top w:val="none" w:sz="0" w:space="0" w:color="auto"/>
                    <w:left w:val="none" w:sz="0" w:space="0" w:color="auto"/>
                    <w:bottom w:val="none" w:sz="0" w:space="0" w:color="auto"/>
                    <w:right w:val="none" w:sz="0" w:space="0" w:color="auto"/>
                  </w:divBdr>
                  <w:divsChild>
                    <w:div w:id="879436857">
                      <w:marLeft w:val="0"/>
                      <w:marRight w:val="0"/>
                      <w:marTop w:val="0"/>
                      <w:marBottom w:val="0"/>
                      <w:divBdr>
                        <w:top w:val="none" w:sz="0" w:space="0" w:color="auto"/>
                        <w:left w:val="none" w:sz="0" w:space="0" w:color="auto"/>
                        <w:bottom w:val="none" w:sz="0" w:space="0" w:color="auto"/>
                        <w:right w:val="none" w:sz="0" w:space="0" w:color="auto"/>
                      </w:divBdr>
                    </w:div>
                    <w:div w:id="6429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9147">
              <w:marLeft w:val="0"/>
              <w:marRight w:val="0"/>
              <w:marTop w:val="0"/>
              <w:marBottom w:val="0"/>
              <w:divBdr>
                <w:top w:val="none" w:sz="0" w:space="0" w:color="auto"/>
                <w:left w:val="none" w:sz="0" w:space="0" w:color="auto"/>
                <w:bottom w:val="none" w:sz="0" w:space="0" w:color="auto"/>
                <w:right w:val="none" w:sz="0" w:space="0" w:color="auto"/>
              </w:divBdr>
              <w:divsChild>
                <w:div w:id="189418042">
                  <w:marLeft w:val="0"/>
                  <w:marRight w:val="0"/>
                  <w:marTop w:val="0"/>
                  <w:marBottom w:val="0"/>
                  <w:divBdr>
                    <w:top w:val="none" w:sz="0" w:space="0" w:color="auto"/>
                    <w:left w:val="none" w:sz="0" w:space="0" w:color="auto"/>
                    <w:bottom w:val="none" w:sz="0" w:space="0" w:color="auto"/>
                    <w:right w:val="none" w:sz="0" w:space="0" w:color="auto"/>
                  </w:divBdr>
                </w:div>
              </w:divsChild>
            </w:div>
            <w:div w:id="475950950">
              <w:blockQuote w:val="1"/>
              <w:marLeft w:val="720"/>
              <w:marRight w:val="720"/>
              <w:marTop w:val="100"/>
              <w:marBottom w:val="100"/>
              <w:divBdr>
                <w:top w:val="none" w:sz="0" w:space="0" w:color="auto"/>
                <w:left w:val="none" w:sz="0" w:space="0" w:color="auto"/>
                <w:bottom w:val="none" w:sz="0" w:space="0" w:color="auto"/>
                <w:right w:val="none" w:sz="0" w:space="0" w:color="auto"/>
              </w:divBdr>
            </w:div>
            <w:div w:id="9232967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50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41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f2d/484/289/" TargetMode="External"/><Relationship Id="rId13" Type="http://schemas.openxmlformats.org/officeDocument/2006/relationships/hyperlink" Target="https://cite.case.law/p2d/393/45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te.case.law/nw2d/208/610/" TargetMode="External"/><Relationship Id="rId12" Type="http://schemas.openxmlformats.org/officeDocument/2006/relationships/hyperlink" Target="https://cite.case.law/p2d/82/282/" TargetMode="External"/><Relationship Id="rId17" Type="http://schemas.openxmlformats.org/officeDocument/2006/relationships/hyperlink" Target="https://cite.case.law/wash2d/54/466/" TargetMode="External"/><Relationship Id="rId2" Type="http://schemas.openxmlformats.org/officeDocument/2006/relationships/styles" Target="styles.xml"/><Relationship Id="rId16" Type="http://schemas.openxmlformats.org/officeDocument/2006/relationships/hyperlink" Target="https://cite.case.law/p2d/336/153/" TargetMode="External"/><Relationship Id="rId1" Type="http://schemas.openxmlformats.org/officeDocument/2006/relationships/numbering" Target="numbering.xml"/><Relationship Id="rId6" Type="http://schemas.openxmlformats.org/officeDocument/2006/relationships/hyperlink" Target="https://cite.case.law/nw2d/213/765/" TargetMode="External"/><Relationship Id="rId11" Type="http://schemas.openxmlformats.org/officeDocument/2006/relationships/hyperlink" Target="https://cite.case.law/fsupp/269/109/" TargetMode="External"/><Relationship Id="rId5" Type="http://schemas.openxmlformats.org/officeDocument/2006/relationships/hyperlink" Target="https://cite.case.law/nm/88/565/" TargetMode="External"/><Relationship Id="rId15" Type="http://schemas.openxmlformats.org/officeDocument/2006/relationships/hyperlink" Target="https://cite.case.law/p2d/529/294/" TargetMode="External"/><Relationship Id="rId10" Type="http://schemas.openxmlformats.org/officeDocument/2006/relationships/hyperlink" Target="https://cite.case.law/ri/102/60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ite.case.law/nw2d/213/678/" TargetMode="External"/><Relationship Id="rId14" Type="http://schemas.openxmlformats.org/officeDocument/2006/relationships/hyperlink" Target="https://cite.case.law/p2d/376/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2024-09-17T13:10:00Z</dcterms:created>
  <dcterms:modified xsi:type="dcterms:W3CDTF">2024-09-17T13:10:00Z</dcterms:modified>
</cp:coreProperties>
</file>