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19FC2E" w14:textId="77777777" w:rsidR="00045FC1" w:rsidRPr="00045FC1" w:rsidRDefault="00045FC1" w:rsidP="00045FC1">
      <w:pPr>
        <w:shd w:val="clear" w:color="auto" w:fill="FFFFFF"/>
        <w:spacing w:line="336" w:lineRule="atLeast"/>
        <w:jc w:val="center"/>
        <w:outlineLvl w:val="0"/>
        <w:rPr>
          <w:rFonts w:ascii="Baskerville" w:eastAsia="Times New Roman" w:hAnsi="Baskerville" w:cs="Arial"/>
          <w:b/>
          <w:bCs/>
          <w:color w:val="2F2F2F"/>
          <w:spacing w:val="3"/>
          <w:kern w:val="36"/>
          <w:sz w:val="35"/>
          <w:szCs w:val="35"/>
          <w:lang w:eastAsia="en-GB"/>
        </w:rPr>
      </w:pPr>
      <w:r w:rsidRPr="00045FC1">
        <w:rPr>
          <w:rFonts w:ascii="Baskerville" w:eastAsia="Times New Roman" w:hAnsi="Baskerville" w:cs="Arial"/>
          <w:b/>
          <w:bCs/>
          <w:color w:val="2F2F2F"/>
          <w:spacing w:val="3"/>
          <w:kern w:val="36"/>
          <w:sz w:val="35"/>
          <w:szCs w:val="35"/>
          <w:lang w:eastAsia="en-GB"/>
        </w:rPr>
        <w:t>Jaramillo v. Kellogg, 126 N.M. 84, 966 P.2d 792, 1998-NMCA-142 (1998)</w:t>
      </w:r>
    </w:p>
    <w:p w14:paraId="3BEC5BB6" w14:textId="77777777" w:rsidR="00045FC1" w:rsidRPr="00045FC1" w:rsidRDefault="00045FC1" w:rsidP="00045FC1">
      <w:pPr>
        <w:shd w:val="clear" w:color="auto" w:fill="FFFFFF"/>
        <w:jc w:val="center"/>
        <w:rPr>
          <w:rFonts w:ascii="Baskerville" w:eastAsia="Times New Roman" w:hAnsi="Baskerville" w:cs="Arial"/>
          <w:color w:val="2F2F2F"/>
          <w:spacing w:val="3"/>
          <w:sz w:val="27"/>
          <w:szCs w:val="27"/>
          <w:lang w:eastAsia="en-GB"/>
        </w:rPr>
      </w:pPr>
      <w:r w:rsidRPr="00045FC1">
        <w:rPr>
          <w:rFonts w:ascii="Baskerville" w:eastAsia="Times New Roman" w:hAnsi="Baskerville" w:cs="Arial"/>
          <w:color w:val="2F2F2F"/>
          <w:spacing w:val="3"/>
          <w:sz w:val="27"/>
          <w:szCs w:val="27"/>
          <w:lang w:eastAsia="en-GB"/>
        </w:rPr>
        <w:t>Sept. 24, 1998 · Court of Appeals of New Mexico · No. 18,647</w:t>
      </w:r>
    </w:p>
    <w:p w14:paraId="75871747" w14:textId="77777777" w:rsidR="00045FC1" w:rsidRPr="00045FC1" w:rsidRDefault="00045FC1" w:rsidP="00045FC1">
      <w:pPr>
        <w:shd w:val="clear" w:color="auto" w:fill="FFFFFF"/>
        <w:spacing w:line="480" w:lineRule="atLeast"/>
        <w:jc w:val="center"/>
        <w:rPr>
          <w:rFonts w:ascii="Baskerville" w:eastAsia="Times New Roman" w:hAnsi="Baskerville" w:cs="Arial"/>
          <w:color w:val="2F2F2F"/>
          <w:spacing w:val="3"/>
          <w:sz w:val="27"/>
          <w:szCs w:val="27"/>
          <w:lang w:eastAsia="en-GB"/>
        </w:rPr>
      </w:pPr>
      <w:r w:rsidRPr="00045FC1">
        <w:rPr>
          <w:rFonts w:ascii="Baskerville" w:eastAsia="Times New Roman" w:hAnsi="Baskerville" w:cs="Arial"/>
          <w:color w:val="2F2F2F"/>
          <w:spacing w:val="3"/>
          <w:sz w:val="27"/>
          <w:szCs w:val="27"/>
          <w:lang w:eastAsia="en-GB"/>
        </w:rPr>
        <w:t>126 N.M. 84, 966 P.2d 792, 1998-NMCA-142</w:t>
      </w:r>
    </w:p>
    <w:p w14:paraId="5A94E78B" w14:textId="77777777" w:rsidR="00045FC1" w:rsidRPr="00045FC1" w:rsidRDefault="00045FC1" w:rsidP="00045FC1">
      <w:pPr>
        <w:shd w:val="clear" w:color="auto" w:fill="FFFFFF"/>
        <w:rPr>
          <w:rFonts w:ascii="Baskerville" w:eastAsia="Times New Roman" w:hAnsi="Baskerville" w:cs="Arial"/>
          <w:color w:val="2F2F2F"/>
          <w:spacing w:val="3"/>
          <w:sz w:val="30"/>
          <w:szCs w:val="30"/>
          <w:lang w:eastAsia="en-GB"/>
        </w:rPr>
      </w:pPr>
      <w:r w:rsidRPr="00045FC1">
        <w:rPr>
          <w:rFonts w:ascii="Baskerville" w:eastAsia="Times New Roman" w:hAnsi="Baskerville" w:cs="Arial"/>
          <w:color w:val="2F2F2F"/>
          <w:spacing w:val="3"/>
          <w:sz w:val="30"/>
          <w:szCs w:val="30"/>
          <w:lang w:eastAsia="en-GB"/>
        </w:rPr>
        <w:t>Theresa JARAMILLO, as Personal Representative of the Estate of Ralph E. Jaramillo, Plaintiff-Appellee/Cross-Appellant,</w:t>
      </w:r>
      <w:r w:rsidRPr="00045FC1">
        <w:rPr>
          <w:rFonts w:ascii="Baskerville" w:eastAsia="Times New Roman" w:hAnsi="Baskerville" w:cs="Arial"/>
          <w:i/>
          <w:iCs/>
          <w:color w:val="2F2F2F"/>
          <w:spacing w:val="3"/>
          <w:sz w:val="30"/>
          <w:szCs w:val="30"/>
          <w:lang w:eastAsia="en-GB"/>
        </w:rPr>
        <w:t>v.</w:t>
      </w:r>
      <w:r w:rsidRPr="00045FC1">
        <w:rPr>
          <w:rFonts w:ascii="Baskerville" w:eastAsia="Times New Roman" w:hAnsi="Baskerville" w:cs="Arial"/>
          <w:color w:val="2F2F2F"/>
          <w:spacing w:val="3"/>
          <w:sz w:val="30"/>
          <w:szCs w:val="30"/>
          <w:lang w:eastAsia="en-GB"/>
        </w:rPr>
        <w:t>Robert T. KELLOGG, Defendant-Appellant/Cross-Appellee</w:t>
      </w:r>
    </w:p>
    <w:p w14:paraId="1D8396F1" w14:textId="77777777" w:rsidR="00045FC1" w:rsidRPr="00045FC1" w:rsidRDefault="00045FC1" w:rsidP="00045FC1">
      <w:pPr>
        <w:spacing w:before="100" w:beforeAutospacing="1" w:after="100" w:afterAutospacing="1"/>
        <w:rPr>
          <w:rFonts w:ascii="Baskerville" w:eastAsia="Times New Roman" w:hAnsi="Baskerville" w:cs="Times New Roman"/>
          <w:lang w:eastAsia="en-GB"/>
        </w:rPr>
      </w:pPr>
      <w:r w:rsidRPr="00045FC1">
        <w:rPr>
          <w:rFonts w:ascii="Baskerville" w:eastAsia="Times New Roman" w:hAnsi="Baskerville" w:cs="Times New Roman"/>
          <w:lang w:eastAsia="en-GB"/>
        </w:rPr>
        <w:t>1998-NMCA-142</w:t>
      </w:r>
    </w:p>
    <w:p w14:paraId="5C424E0D" w14:textId="77777777" w:rsidR="00045FC1" w:rsidRPr="00045FC1" w:rsidRDefault="00045FC1" w:rsidP="00045FC1">
      <w:pPr>
        <w:spacing w:before="100" w:beforeAutospacing="1" w:after="100" w:afterAutospacing="1"/>
        <w:rPr>
          <w:rFonts w:ascii="Baskerville" w:eastAsia="Times New Roman" w:hAnsi="Baskerville" w:cs="Times New Roman"/>
          <w:lang w:eastAsia="en-GB"/>
        </w:rPr>
      </w:pPr>
      <w:r w:rsidRPr="00045FC1">
        <w:rPr>
          <w:rFonts w:ascii="Baskerville" w:eastAsia="Times New Roman" w:hAnsi="Baskerville" w:cs="Times New Roman"/>
          <w:lang w:eastAsia="en-GB"/>
        </w:rPr>
        <w:t>966 P.2d 792</w:t>
      </w:r>
    </w:p>
    <w:p w14:paraId="76B932E5" w14:textId="77777777" w:rsidR="00045FC1" w:rsidRPr="00045FC1" w:rsidRDefault="00045FC1" w:rsidP="00045FC1">
      <w:pPr>
        <w:spacing w:before="100" w:beforeAutospacing="1" w:after="100" w:afterAutospacing="1"/>
        <w:rPr>
          <w:rFonts w:ascii="Baskerville" w:eastAsia="Times New Roman" w:hAnsi="Baskerville" w:cs="Times New Roman"/>
          <w:lang w:eastAsia="en-GB"/>
        </w:rPr>
      </w:pPr>
      <w:r w:rsidRPr="00045FC1">
        <w:rPr>
          <w:rFonts w:ascii="Baskerville" w:eastAsia="Times New Roman" w:hAnsi="Baskerville" w:cs="Times New Roman"/>
          <w:lang w:eastAsia="en-GB"/>
        </w:rPr>
        <w:t>Court of Appeals of New Mexico.</w:t>
      </w:r>
    </w:p>
    <w:p w14:paraId="39E263CB" w14:textId="5A8CD27A" w:rsidR="00045FC1" w:rsidRPr="00045FC1" w:rsidRDefault="00045FC1" w:rsidP="00045FC1">
      <w:pPr>
        <w:shd w:val="clear" w:color="auto" w:fill="F7F7F9"/>
        <w:spacing w:before="100" w:beforeAutospacing="1"/>
        <w:rPr>
          <w:rFonts w:ascii="Baskerville" w:eastAsia="Times New Roman" w:hAnsi="Baskerville" w:cs="Times New Roman"/>
          <w:lang w:eastAsia="en-GB"/>
        </w:rPr>
      </w:pPr>
      <w:r w:rsidRPr="00045FC1">
        <w:rPr>
          <w:rFonts w:ascii="Baskerville" w:eastAsia="Times New Roman" w:hAnsi="Baskerville" w:cs="Times New Roman"/>
          <w:i/>
          <w:iCs/>
          <w:color w:val="979797"/>
          <w:sz w:val="19"/>
          <w:szCs w:val="19"/>
          <w:u w:val="single"/>
          <w:lang w:eastAsia="en-GB"/>
        </w:rPr>
        <w:t>*85</w:t>
      </w:r>
      <w:r w:rsidRPr="00045FC1">
        <w:rPr>
          <w:rFonts w:ascii="Baskerville" w:eastAsia="Times New Roman" w:hAnsi="Baskerville" w:cs="Times New Roman"/>
          <w:lang w:eastAsia="en-GB"/>
        </w:rPr>
        <w:t>Edward L. Chávez, David I. Stout, Carpenter &amp; Chávez, Ltd., Albuquerque, NM, for appellee/cross-appellant.</w:t>
      </w:r>
    </w:p>
    <w:p w14:paraId="3D1B2C1A" w14:textId="77777777" w:rsidR="00045FC1" w:rsidRPr="00045FC1" w:rsidRDefault="00045FC1" w:rsidP="00045FC1">
      <w:pPr>
        <w:shd w:val="clear" w:color="auto" w:fill="F7F7F9"/>
        <w:rPr>
          <w:rFonts w:ascii="Baskerville" w:eastAsia="Times New Roman" w:hAnsi="Baskerville" w:cs="Times New Roman"/>
          <w:lang w:eastAsia="en-GB"/>
        </w:rPr>
      </w:pPr>
      <w:r w:rsidRPr="00045FC1">
        <w:rPr>
          <w:rFonts w:ascii="Baskerville" w:eastAsia="Times New Roman" w:hAnsi="Baskerville" w:cs="Times New Roman"/>
          <w:lang w:eastAsia="en-GB"/>
        </w:rPr>
        <w:t>Kathleen C. Horan, Richard M. Padilla, Hatch, Allen &amp; Shepherd, P .A., Albuquerque, NM, for appellant/cross-appellee.</w:t>
      </w:r>
    </w:p>
    <w:p w14:paraId="5677B49D" w14:textId="77777777" w:rsidR="00045FC1" w:rsidRPr="00045FC1" w:rsidRDefault="00045FC1" w:rsidP="00045FC1">
      <w:pPr>
        <w:spacing w:before="100" w:beforeAutospacing="1" w:after="225"/>
        <w:rPr>
          <w:rFonts w:ascii="Baskerville" w:eastAsia="Times New Roman" w:hAnsi="Baskerville" w:cs="Times New Roman"/>
          <w:lang w:eastAsia="en-GB"/>
        </w:rPr>
      </w:pPr>
      <w:r w:rsidRPr="00045FC1">
        <w:rPr>
          <w:rFonts w:ascii="Baskerville" w:eastAsia="Times New Roman" w:hAnsi="Baskerville" w:cs="Times New Roman"/>
          <w:i/>
          <w:iCs/>
          <w:lang w:eastAsia="en-GB"/>
        </w:rPr>
        <w:t>OPINION</w:t>
      </w:r>
    </w:p>
    <w:p w14:paraId="4958DCB3" w14:textId="77777777" w:rsidR="00045FC1" w:rsidRPr="00045FC1" w:rsidRDefault="00045FC1" w:rsidP="00045FC1">
      <w:pPr>
        <w:spacing w:before="100" w:beforeAutospacing="1" w:after="225"/>
        <w:rPr>
          <w:rFonts w:ascii="Baskerville" w:eastAsia="Times New Roman" w:hAnsi="Baskerville" w:cs="Times New Roman"/>
          <w:color w:val="E878FF"/>
          <w:lang w:eastAsia="en-GB"/>
        </w:rPr>
      </w:pPr>
      <w:r w:rsidRPr="00045FC1">
        <w:rPr>
          <w:rFonts w:ascii="Baskerville" w:eastAsia="Times New Roman" w:hAnsi="Baskerville" w:cs="Times New Roman"/>
          <w:color w:val="E878FF"/>
          <w:lang w:eastAsia="en-GB"/>
        </w:rPr>
        <w:t>APODACA, J.</w:t>
      </w:r>
    </w:p>
    <w:p w14:paraId="7117ADEB" w14:textId="6E1FDA8D" w:rsidR="00045FC1" w:rsidRPr="00045FC1" w:rsidRDefault="00045FC1" w:rsidP="00045FC1">
      <w:pPr>
        <w:spacing w:before="100" w:beforeAutospacing="1" w:after="225"/>
        <w:rPr>
          <w:rFonts w:ascii="Baskerville" w:eastAsia="Times New Roman" w:hAnsi="Baskerville" w:cs="Times New Roman"/>
          <w:lang w:eastAsia="en-GB"/>
        </w:rPr>
      </w:pPr>
      <w:r w:rsidRPr="00045FC1">
        <w:rPr>
          <w:rFonts w:ascii="Baskerville" w:eastAsia="Times New Roman" w:hAnsi="Baskerville" w:cs="Times New Roman"/>
          <w:lang w:eastAsia="en-GB"/>
        </w:rPr>
        <w:t xml:space="preserve">{1} </w:t>
      </w:r>
      <w:r w:rsidRPr="00045FC1">
        <w:rPr>
          <w:rFonts w:ascii="Baskerville" w:eastAsia="Times New Roman" w:hAnsi="Baskerville" w:cs="Times New Roman"/>
          <w:highlight w:val="magenta"/>
          <w:lang w:eastAsia="en-GB"/>
        </w:rPr>
        <w:t>Defendant appeals a jury verdict and the trial court’s judgment against him for the wrongful death of his patient (the patient). The wrongful death action was brought by Plaintiff as personal representative of the estate of the patient.</w:t>
      </w:r>
      <w:r w:rsidRPr="00045FC1">
        <w:rPr>
          <w:rFonts w:ascii="Baskerville" w:eastAsia="Times New Roman" w:hAnsi="Baskerville" w:cs="Times New Roman"/>
          <w:lang w:eastAsia="en-GB"/>
        </w:rPr>
        <w:t xml:space="preserve"> Defendant argues that the trial court committed reversible error by prohibiting submission of his special verdict form on comparative negligence. He contends that: (1) substantial evidence of comparative fault required the court to submit a special verdict form, (2) the record demonstrated Plaintiffs knowledge of the comparative negligence issue, and (3) Defendant properly relied on Plaintiffs presentation of evidence to support Defendant’s affirmative defense of comparative negligence. Unpersuaded by Defendant’s arguments, we affirm. Our disposition of Defendant’s appeal renders Plaintiffs cross-appeal moot. Because we are affirming on Plaintiffs substantive issues, we need not address Plaintiffs preservation and waiver arguments.</w:t>
      </w:r>
    </w:p>
    <w:p w14:paraId="347809FB" w14:textId="77777777" w:rsidR="00045FC1" w:rsidRPr="00045FC1" w:rsidRDefault="00045FC1" w:rsidP="00045FC1">
      <w:pPr>
        <w:spacing w:before="100" w:beforeAutospacing="1" w:after="225"/>
        <w:rPr>
          <w:rFonts w:ascii="Baskerville" w:eastAsia="Times New Roman" w:hAnsi="Baskerville" w:cs="Times New Roman"/>
          <w:lang w:eastAsia="en-GB"/>
        </w:rPr>
      </w:pPr>
      <w:r w:rsidRPr="00045FC1">
        <w:rPr>
          <w:rFonts w:ascii="Baskerville" w:eastAsia="Times New Roman" w:hAnsi="Baskerville" w:cs="Times New Roman"/>
          <w:lang w:eastAsia="en-GB"/>
        </w:rPr>
        <w:t>I. FACTUAL AND PROCEDURAL BACKGROUND</w:t>
      </w:r>
    </w:p>
    <w:p w14:paraId="7C23B487" w14:textId="77777777" w:rsidR="00045FC1" w:rsidRPr="00045FC1" w:rsidRDefault="00045FC1" w:rsidP="00045FC1">
      <w:pPr>
        <w:spacing w:before="100" w:beforeAutospacing="1" w:after="225"/>
        <w:rPr>
          <w:rFonts w:ascii="Baskerville" w:eastAsia="Times New Roman" w:hAnsi="Baskerville" w:cs="Times New Roman"/>
          <w:highlight w:val="yellow"/>
          <w:lang w:eastAsia="en-GB"/>
        </w:rPr>
      </w:pPr>
      <w:r w:rsidRPr="00045FC1">
        <w:rPr>
          <w:rFonts w:ascii="Baskerville" w:eastAsia="Times New Roman" w:hAnsi="Baskerville" w:cs="Times New Roman"/>
          <w:highlight w:val="yellow"/>
          <w:lang w:eastAsia="en-GB"/>
        </w:rPr>
        <w:t>{2} In December 1992, the patient was found lying on the ground outside of his place of employment. An ambulance transported him to St. Joseph Medical Center (St.Joseph’s) in Albuquerque. Physicians at St. Joseph’s diagnosed the patient with acute psychosis. Because St. Joseph’s did not have psychiatric facilities, St. Joseph’s transferred the patient to Memorial Psychiatric Hospital (Memorial). Dr. Michael Dempsey (the medical director) admitted the patient and placed a five-point restraint on him. A five-point restraint consists of one restraint per extremity and a fifth restraint over the middle of the back. The medical director prescribed sedatives for the patient.</w:t>
      </w:r>
    </w:p>
    <w:p w14:paraId="00D190CA" w14:textId="77777777" w:rsidR="00045FC1" w:rsidRPr="00045FC1" w:rsidRDefault="00045FC1" w:rsidP="00045FC1">
      <w:pPr>
        <w:spacing w:before="100" w:beforeAutospacing="1" w:after="225"/>
        <w:rPr>
          <w:rFonts w:ascii="Baskerville" w:eastAsia="Times New Roman" w:hAnsi="Baskerville" w:cs="Times New Roman"/>
          <w:lang w:eastAsia="en-GB"/>
        </w:rPr>
      </w:pPr>
      <w:r w:rsidRPr="00045FC1">
        <w:rPr>
          <w:rFonts w:ascii="Baskerville" w:eastAsia="Times New Roman" w:hAnsi="Baskerville" w:cs="Times New Roman"/>
          <w:highlight w:val="yellow"/>
          <w:lang w:eastAsia="en-GB"/>
        </w:rPr>
        <w:t xml:space="preserve">{3} Later in the evening, Defendant Robert T. Kellogg, a psychiatrist, assumed care of the patient. He examined the patient and continued the medical director’s orders. Early the next </w:t>
      </w:r>
      <w:r w:rsidRPr="00045FC1">
        <w:rPr>
          <w:rFonts w:ascii="Baskerville" w:eastAsia="Times New Roman" w:hAnsi="Baskerville" w:cs="Times New Roman"/>
          <w:highlight w:val="yellow"/>
          <w:lang w:eastAsia="en-GB"/>
        </w:rPr>
        <w:lastRenderedPageBreak/>
        <w:t>morning, the patient died. The probate court appointed Plaintiff, the patient’s mother, as the personal representative of his estate. In May 1993, Plaintiff filed a complaint to recover damages for wrongful death against Memorial. Memorial’s expert posited St. Joseph’s comparative negligence in the patient’s death. Plaintiff invited several potential defendants, including Defendant, to contribute to a settlement to avoid suit. Memorial and all potential defendants except Defendant settled with Plaintiff.</w:t>
      </w:r>
    </w:p>
    <w:p w14:paraId="02AC3EAC" w14:textId="77777777" w:rsidR="00045FC1" w:rsidRPr="00045FC1" w:rsidRDefault="00045FC1" w:rsidP="00045FC1">
      <w:pPr>
        <w:spacing w:before="100" w:beforeAutospacing="1" w:after="225"/>
        <w:rPr>
          <w:rFonts w:ascii="Baskerville" w:eastAsia="Times New Roman" w:hAnsi="Baskerville" w:cs="Times New Roman"/>
          <w:lang w:eastAsia="en-GB"/>
        </w:rPr>
      </w:pPr>
      <w:r w:rsidRPr="00045FC1">
        <w:rPr>
          <w:rFonts w:ascii="Baskerville" w:eastAsia="Times New Roman" w:hAnsi="Baskerville" w:cs="Times New Roman"/>
          <w:lang w:eastAsia="en-GB"/>
        </w:rPr>
        <w:t xml:space="preserve">{4} </w:t>
      </w:r>
      <w:r w:rsidRPr="00045FC1">
        <w:rPr>
          <w:rFonts w:ascii="Baskerville" w:eastAsia="Times New Roman" w:hAnsi="Baskerville" w:cs="Times New Roman"/>
          <w:highlight w:val="magenta"/>
          <w:lang w:eastAsia="en-GB"/>
        </w:rPr>
        <w:t>In October 1995, Plaintiff filed a separate complaint to recover damages for wrongful death against Defendant. In his answer to the complaint, Defendant asserted comparative negligence as an affirmative defense.</w:t>
      </w:r>
      <w:r w:rsidRPr="00045FC1">
        <w:rPr>
          <w:rFonts w:ascii="Baskerville" w:eastAsia="Times New Roman" w:hAnsi="Baskerville" w:cs="Times New Roman"/>
          <w:lang w:eastAsia="en-GB"/>
        </w:rPr>
        <w:t xml:space="preserve"> The parties dispute whether evidence concerning negligence of St. Joseph’s, Memorial, and the medical director was presented </w:t>
      </w:r>
      <w:hyperlink r:id="rId4" w:anchor="p86" w:history="1">
        <w:r w:rsidRPr="00045FC1">
          <w:rPr>
            <w:rFonts w:ascii="Baskerville" w:eastAsia="Times New Roman" w:hAnsi="Baskerville" w:cs="Times New Roman"/>
            <w:i/>
            <w:iCs/>
            <w:color w:val="979797"/>
            <w:sz w:val="19"/>
            <w:szCs w:val="19"/>
            <w:u w:val="single"/>
            <w:lang w:eastAsia="en-GB"/>
          </w:rPr>
          <w:t>*86</w:t>
        </w:r>
      </w:hyperlink>
      <w:r w:rsidRPr="00045FC1">
        <w:rPr>
          <w:rFonts w:ascii="Baskerville" w:eastAsia="Times New Roman" w:hAnsi="Baskerville" w:cs="Times New Roman"/>
          <w:lang w:eastAsia="en-GB"/>
        </w:rPr>
        <w:t xml:space="preserve">at trial. Defendant moved to submit a special verdict form to the jury comparing the negligence of these three nonparties and himself. The trial court denied the motion. The jury returned a verdict against Defendant for $200,000.00. </w:t>
      </w:r>
      <w:r w:rsidRPr="00045FC1">
        <w:rPr>
          <w:rFonts w:ascii="Baskerville" w:eastAsia="Times New Roman" w:hAnsi="Baskerville" w:cs="Times New Roman"/>
          <w:highlight w:val="magenta"/>
          <w:lang w:eastAsia="en-GB"/>
        </w:rPr>
        <w:t>The trial court entered a final judgment against him for $249,780.67, which included interest and costs.</w:t>
      </w:r>
    </w:p>
    <w:p w14:paraId="24ED032F" w14:textId="77777777" w:rsidR="00045FC1" w:rsidRPr="00045FC1" w:rsidRDefault="00045FC1" w:rsidP="00045FC1">
      <w:pPr>
        <w:spacing w:before="100" w:beforeAutospacing="1" w:after="225"/>
        <w:rPr>
          <w:rFonts w:ascii="Baskerville" w:eastAsia="Times New Roman" w:hAnsi="Baskerville" w:cs="Times New Roman"/>
          <w:lang w:eastAsia="en-GB"/>
        </w:rPr>
      </w:pPr>
      <w:r w:rsidRPr="00045FC1">
        <w:rPr>
          <w:rFonts w:ascii="Baskerville" w:eastAsia="Times New Roman" w:hAnsi="Baskerville" w:cs="Times New Roman"/>
          <w:lang w:eastAsia="en-GB"/>
        </w:rPr>
        <w:t>II. DISCUSSION</w:t>
      </w:r>
    </w:p>
    <w:p w14:paraId="339FF7FA" w14:textId="77777777" w:rsidR="00045FC1" w:rsidRPr="00045FC1" w:rsidRDefault="00045FC1" w:rsidP="00045FC1">
      <w:pPr>
        <w:spacing w:before="100" w:beforeAutospacing="1" w:after="225"/>
        <w:rPr>
          <w:rFonts w:ascii="Baskerville" w:eastAsia="Times New Roman" w:hAnsi="Baskerville" w:cs="Times New Roman"/>
          <w:lang w:eastAsia="en-GB"/>
        </w:rPr>
      </w:pPr>
      <w:r w:rsidRPr="00045FC1">
        <w:rPr>
          <w:rFonts w:ascii="Baskerville" w:eastAsia="Times New Roman" w:hAnsi="Baskerville" w:cs="Times New Roman"/>
          <w:lang w:eastAsia="en-GB"/>
        </w:rPr>
        <w:t>A. Standard Of Review</w:t>
      </w:r>
    </w:p>
    <w:p w14:paraId="1AF91178" w14:textId="56A0DDAC" w:rsidR="00045FC1" w:rsidRPr="00045FC1" w:rsidRDefault="00045FC1" w:rsidP="00045FC1">
      <w:pPr>
        <w:spacing w:before="100" w:beforeAutospacing="1" w:after="225"/>
        <w:rPr>
          <w:rFonts w:ascii="Baskerville" w:eastAsia="Times New Roman" w:hAnsi="Baskerville" w:cs="Times New Roman"/>
          <w:lang w:eastAsia="en-GB"/>
        </w:rPr>
      </w:pPr>
      <w:r w:rsidRPr="00045FC1">
        <w:rPr>
          <w:rFonts w:ascii="Baskerville" w:eastAsia="Times New Roman" w:hAnsi="Baskerville" w:cs="Times New Roman"/>
          <w:lang w:eastAsia="en-GB"/>
        </w:rPr>
        <w:t>{5} Defendant contends that sufficient evidence required submission of his special verdict form on comparative negligence. </w:t>
      </w:r>
      <w:r w:rsidRPr="00045FC1">
        <w:rPr>
          <w:rFonts w:ascii="Baskerville" w:eastAsia="Times New Roman" w:hAnsi="Baskerville" w:cs="Times New Roman"/>
          <w:i/>
          <w:iCs/>
          <w:lang w:eastAsia="en-GB"/>
        </w:rPr>
        <w:t>See Yardman v. San Juan Downs, Inc., </w:t>
      </w:r>
      <w:r w:rsidRPr="00045FC1">
        <w:rPr>
          <w:rFonts w:ascii="Baskerville" w:eastAsia="Times New Roman" w:hAnsi="Baskerville" w:cs="Times New Roman"/>
          <w:lang w:eastAsia="en-GB"/>
        </w:rPr>
        <w:t>120-N.M. 751, 756-57, </w:t>
      </w:r>
      <w:r w:rsidRPr="00045FC1">
        <w:rPr>
          <w:rFonts w:ascii="Baskerville" w:eastAsia="Times New Roman" w:hAnsi="Baskerville" w:cs="Times New Roman"/>
          <w:color w:val="007BFF"/>
          <w:u w:val="single"/>
          <w:lang w:eastAsia="en-GB"/>
        </w:rPr>
        <w:t>906 P.2d 742</w:t>
      </w:r>
      <w:r w:rsidRPr="00045FC1">
        <w:rPr>
          <w:rFonts w:ascii="Baskerville" w:eastAsia="Times New Roman" w:hAnsi="Baskerville" w:cs="Times New Roman"/>
          <w:lang w:eastAsia="en-GB"/>
        </w:rPr>
        <w:t>, 747-48 (appellate court reviews ruling of trial court to determine whether sufficient evidence required submission of an instruction and verdict on comparative negligence).</w:t>
      </w:r>
    </w:p>
    <w:p w14:paraId="601FEA0B" w14:textId="77777777" w:rsidR="00045FC1" w:rsidRPr="00045FC1" w:rsidRDefault="00045FC1" w:rsidP="00045FC1">
      <w:pPr>
        <w:spacing w:before="100" w:beforeAutospacing="1" w:after="225"/>
        <w:rPr>
          <w:rFonts w:ascii="Baskerville" w:eastAsia="Times New Roman" w:hAnsi="Baskerville" w:cs="Times New Roman"/>
          <w:lang w:eastAsia="en-GB"/>
        </w:rPr>
      </w:pPr>
      <w:r w:rsidRPr="00045FC1">
        <w:rPr>
          <w:rFonts w:ascii="Baskerville" w:eastAsia="Times New Roman" w:hAnsi="Baskerville" w:cs="Times New Roman"/>
          <w:lang w:eastAsia="en-GB"/>
        </w:rPr>
        <w:t>B. Evidence Of Comparative Negligence</w:t>
      </w:r>
    </w:p>
    <w:p w14:paraId="43628817" w14:textId="09A0499A" w:rsidR="00045FC1" w:rsidRPr="00045FC1" w:rsidRDefault="00045FC1" w:rsidP="00045FC1">
      <w:pPr>
        <w:spacing w:before="100" w:beforeAutospacing="1" w:after="225"/>
        <w:rPr>
          <w:rFonts w:ascii="Baskerville" w:eastAsia="Times New Roman" w:hAnsi="Baskerville" w:cs="Times New Roman"/>
          <w:lang w:eastAsia="en-GB"/>
        </w:rPr>
      </w:pPr>
      <w:r w:rsidRPr="00045FC1">
        <w:rPr>
          <w:rFonts w:ascii="Baskerville" w:eastAsia="Times New Roman" w:hAnsi="Baskerville" w:cs="Times New Roman"/>
          <w:lang w:eastAsia="en-GB"/>
        </w:rPr>
        <w:t>{6} Before analysis of this issue, we note that Defendant incorrectly argues that we should not consider Plaintiffs refutations because she did not argue them to the trial court. </w:t>
      </w:r>
      <w:r w:rsidRPr="00045FC1">
        <w:rPr>
          <w:rFonts w:ascii="Baskerville" w:eastAsia="Times New Roman" w:hAnsi="Baskerville" w:cs="Times New Roman"/>
          <w:i/>
          <w:iCs/>
          <w:lang w:eastAsia="en-GB"/>
        </w:rPr>
        <w:t>See Woolwine v. Furr’s, Inc., </w:t>
      </w:r>
      <w:hyperlink r:id="rId5" w:history="1">
        <w:r w:rsidRPr="00045FC1">
          <w:rPr>
            <w:rFonts w:ascii="Baskerville" w:eastAsia="Times New Roman" w:hAnsi="Baskerville" w:cs="Times New Roman"/>
            <w:color w:val="007BFF"/>
            <w:u w:val="single"/>
            <w:lang w:eastAsia="en-GB"/>
          </w:rPr>
          <w:t>106 N.M. 492</w:t>
        </w:r>
      </w:hyperlink>
      <w:r w:rsidRPr="00045FC1">
        <w:rPr>
          <w:rFonts w:ascii="Baskerville" w:eastAsia="Times New Roman" w:hAnsi="Baskerville" w:cs="Times New Roman"/>
          <w:lang w:eastAsia="en-GB"/>
        </w:rPr>
        <w:t>, 496, </w:t>
      </w:r>
      <w:r w:rsidRPr="00045FC1">
        <w:rPr>
          <w:rFonts w:ascii="Baskerville" w:eastAsia="Times New Roman" w:hAnsi="Baskerville" w:cs="Times New Roman"/>
          <w:color w:val="007BFF"/>
          <w:u w:val="single"/>
          <w:lang w:eastAsia="en-GB"/>
        </w:rPr>
        <w:t>745 P.2d 717</w:t>
      </w:r>
      <w:r w:rsidRPr="00045FC1">
        <w:rPr>
          <w:rFonts w:ascii="Baskerville" w:eastAsia="Times New Roman" w:hAnsi="Baskerville" w:cs="Times New Roman"/>
          <w:lang w:eastAsia="en-GB"/>
        </w:rPr>
        <w:t>, 721 (Ct.App.1987) (holding that appellate court will not consider arguments not presented to the court below unless jurisdictional). We may affirm the trial court’s decision if it is right for any reason that is not unfair </w:t>
      </w:r>
      <w:r w:rsidRPr="00045FC1">
        <w:rPr>
          <w:rFonts w:ascii="Baskerville" w:eastAsia="Times New Roman" w:hAnsi="Baskerville" w:cs="Times New Roman"/>
          <w:i/>
          <w:iCs/>
          <w:lang w:eastAsia="en-GB"/>
        </w:rPr>
        <w:t>to the </w:t>
      </w:r>
      <w:r w:rsidRPr="00045FC1">
        <w:rPr>
          <w:rFonts w:ascii="Baskerville" w:eastAsia="Times New Roman" w:hAnsi="Baskerville" w:cs="Times New Roman"/>
          <w:lang w:eastAsia="en-GB"/>
        </w:rPr>
        <w:t>appellant. </w:t>
      </w:r>
      <w:r w:rsidRPr="00045FC1">
        <w:rPr>
          <w:rFonts w:ascii="Baskerville" w:eastAsia="Times New Roman" w:hAnsi="Baskerville" w:cs="Times New Roman"/>
          <w:i/>
          <w:iCs/>
          <w:lang w:eastAsia="en-GB"/>
        </w:rPr>
        <w:t>See In re Drummond, </w:t>
      </w:r>
      <w:r w:rsidRPr="00045FC1">
        <w:rPr>
          <w:rFonts w:ascii="Baskerville" w:eastAsia="Times New Roman" w:hAnsi="Baskerville" w:cs="Times New Roman"/>
          <w:lang w:eastAsia="en-GB"/>
        </w:rPr>
        <w:t>1997-NMCA-094, ¶ 12, </w:t>
      </w:r>
      <w:hyperlink r:id="rId6" w:history="1">
        <w:r w:rsidRPr="00045FC1">
          <w:rPr>
            <w:rFonts w:ascii="Baskerville" w:eastAsia="Times New Roman" w:hAnsi="Baskerville" w:cs="Times New Roman"/>
            <w:color w:val="007BFF"/>
            <w:u w:val="single"/>
            <w:lang w:eastAsia="en-GB"/>
          </w:rPr>
          <w:t>123 N.M. 727</w:t>
        </w:r>
      </w:hyperlink>
      <w:r w:rsidRPr="00045FC1">
        <w:rPr>
          <w:rFonts w:ascii="Baskerville" w:eastAsia="Times New Roman" w:hAnsi="Baskerville" w:cs="Times New Roman"/>
          <w:lang w:eastAsia="en-GB"/>
        </w:rPr>
        <w:t>, </w:t>
      </w:r>
      <w:r w:rsidRPr="00045FC1">
        <w:rPr>
          <w:rFonts w:ascii="Baskerville" w:eastAsia="Times New Roman" w:hAnsi="Baskerville" w:cs="Times New Roman"/>
          <w:color w:val="007BFF"/>
          <w:u w:val="single"/>
          <w:lang w:eastAsia="en-GB"/>
        </w:rPr>
        <w:t>945 P.2d 457</w:t>
      </w:r>
      <w:r w:rsidRPr="00045FC1">
        <w:rPr>
          <w:rFonts w:ascii="Baskerville" w:eastAsia="Times New Roman" w:hAnsi="Baskerville" w:cs="Times New Roman"/>
          <w:lang w:eastAsia="en-GB"/>
        </w:rPr>
        <w:t>. Defendant does not contend that affirmance on the ground of lack of evidence of comparative negligence would be unfair to him. Additionally, Defendant has the burden of persuasion. </w:t>
      </w:r>
      <w:r w:rsidRPr="00045FC1">
        <w:rPr>
          <w:rFonts w:ascii="Baskerville" w:eastAsia="Times New Roman" w:hAnsi="Baskerville" w:cs="Times New Roman"/>
          <w:i/>
          <w:iCs/>
          <w:lang w:eastAsia="en-GB"/>
        </w:rPr>
        <w:t>See Tafoya v. Seay Bros. Corp., </w:t>
      </w:r>
      <w:hyperlink r:id="rId7" w:history="1">
        <w:r w:rsidRPr="00045FC1">
          <w:rPr>
            <w:rFonts w:ascii="Baskerville" w:eastAsia="Times New Roman" w:hAnsi="Baskerville" w:cs="Times New Roman"/>
            <w:color w:val="007BFF"/>
            <w:u w:val="single"/>
            <w:lang w:eastAsia="en-GB"/>
          </w:rPr>
          <w:t>119 N.M. 350</w:t>
        </w:r>
      </w:hyperlink>
      <w:r w:rsidRPr="00045FC1">
        <w:rPr>
          <w:rFonts w:ascii="Baskerville" w:eastAsia="Times New Roman" w:hAnsi="Baskerville" w:cs="Times New Roman"/>
          <w:lang w:eastAsia="en-GB"/>
        </w:rPr>
        <w:t>, 352, </w:t>
      </w:r>
      <w:r w:rsidRPr="00045FC1">
        <w:rPr>
          <w:rFonts w:ascii="Baskerville" w:eastAsia="Times New Roman" w:hAnsi="Baskerville" w:cs="Times New Roman"/>
          <w:color w:val="007BFF"/>
          <w:u w:val="single"/>
          <w:lang w:eastAsia="en-GB"/>
        </w:rPr>
        <w:t>890 P.2d 803</w:t>
      </w:r>
      <w:r w:rsidRPr="00045FC1">
        <w:rPr>
          <w:rFonts w:ascii="Baskerville" w:eastAsia="Times New Roman" w:hAnsi="Baskerville" w:cs="Times New Roman"/>
          <w:lang w:eastAsia="en-GB"/>
        </w:rPr>
        <w:t>, 805 (1995) (holding that the “party alleging an affirmative defense has the burden of persuasion”). Consequently, we consider Plaintiffs arguments.</w:t>
      </w:r>
    </w:p>
    <w:p w14:paraId="360BC5A7" w14:textId="0AE9EF8A" w:rsidR="00045FC1" w:rsidRPr="00045FC1" w:rsidRDefault="00045FC1" w:rsidP="00045FC1">
      <w:pPr>
        <w:spacing w:before="100" w:beforeAutospacing="1" w:after="225"/>
        <w:rPr>
          <w:rFonts w:ascii="Baskerville" w:eastAsia="Times New Roman" w:hAnsi="Baskerville" w:cs="Times New Roman"/>
          <w:lang w:eastAsia="en-GB"/>
        </w:rPr>
      </w:pPr>
      <w:r w:rsidRPr="00045FC1">
        <w:rPr>
          <w:rFonts w:ascii="Baskerville" w:eastAsia="Times New Roman" w:hAnsi="Baskerville" w:cs="Times New Roman"/>
          <w:lang w:eastAsia="en-GB"/>
        </w:rPr>
        <w:t>{7} To prove the nonparties’ negligence, Defendant had to show: (1) the non-parties owed the patient a duty recognized by law, (2) the nonparties breached the duty by departing from the proper standard of medical practice recognized in the community, and (3) the acts or omissions complained of proximately caused the patient’s death. </w:t>
      </w:r>
      <w:r w:rsidRPr="00045FC1">
        <w:rPr>
          <w:rFonts w:ascii="Baskerville" w:eastAsia="Times New Roman" w:hAnsi="Baskerville" w:cs="Times New Roman"/>
          <w:i/>
          <w:iCs/>
          <w:lang w:eastAsia="en-GB"/>
        </w:rPr>
        <w:t>See id. </w:t>
      </w:r>
      <w:r w:rsidRPr="00045FC1">
        <w:rPr>
          <w:rFonts w:ascii="Baskerville" w:eastAsia="Times New Roman" w:hAnsi="Baskerville" w:cs="Times New Roman"/>
          <w:lang w:eastAsia="en-GB"/>
        </w:rPr>
        <w:t>at 352, 890 P.2d at 805 (the burden of persuasion rests on the party alleging an affirmative defense); </w:t>
      </w:r>
      <w:r w:rsidRPr="00045FC1">
        <w:rPr>
          <w:rFonts w:ascii="Baskerville" w:eastAsia="Times New Roman" w:hAnsi="Baskerville" w:cs="Times New Roman"/>
          <w:i/>
          <w:iCs/>
          <w:lang w:eastAsia="en-GB"/>
        </w:rPr>
        <w:t>Diaz v. Feil, </w:t>
      </w:r>
      <w:hyperlink r:id="rId8" w:history="1">
        <w:r w:rsidRPr="00045FC1">
          <w:rPr>
            <w:rFonts w:ascii="Baskerville" w:eastAsia="Times New Roman" w:hAnsi="Baskerville" w:cs="Times New Roman"/>
            <w:color w:val="007BFF"/>
            <w:u w:val="single"/>
            <w:lang w:eastAsia="en-GB"/>
          </w:rPr>
          <w:t>118 N.M. 385</w:t>
        </w:r>
      </w:hyperlink>
      <w:r w:rsidRPr="00045FC1">
        <w:rPr>
          <w:rFonts w:ascii="Baskerville" w:eastAsia="Times New Roman" w:hAnsi="Baskerville" w:cs="Times New Roman"/>
          <w:lang w:eastAsia="en-GB"/>
        </w:rPr>
        <w:t>, 388, </w:t>
      </w:r>
      <w:r w:rsidRPr="00045FC1">
        <w:rPr>
          <w:rFonts w:ascii="Baskerville" w:eastAsia="Times New Roman" w:hAnsi="Baskerville" w:cs="Times New Roman"/>
          <w:color w:val="007BFF"/>
          <w:u w:val="single"/>
          <w:lang w:eastAsia="en-GB"/>
        </w:rPr>
        <w:t>881 P.2d 745</w:t>
      </w:r>
      <w:r w:rsidRPr="00045FC1">
        <w:rPr>
          <w:rFonts w:ascii="Baskerville" w:eastAsia="Times New Roman" w:hAnsi="Baskerville" w:cs="Times New Roman"/>
          <w:lang w:eastAsia="en-GB"/>
        </w:rPr>
        <w:t>, 748 (stating requirements for medical malpractice action). Medical malpractice cases usually require expert medical testimony to establish departure from recognized standards in the community. </w:t>
      </w:r>
      <w:r w:rsidRPr="00045FC1">
        <w:rPr>
          <w:rFonts w:ascii="Baskerville" w:eastAsia="Times New Roman" w:hAnsi="Baskerville" w:cs="Times New Roman"/>
          <w:i/>
          <w:iCs/>
          <w:lang w:eastAsia="en-GB"/>
        </w:rPr>
        <w:t>See Lopez v. Southwest Community Health Servs., </w:t>
      </w:r>
      <w:hyperlink r:id="rId9" w:history="1">
        <w:r w:rsidRPr="00045FC1">
          <w:rPr>
            <w:rFonts w:ascii="Baskerville" w:eastAsia="Times New Roman" w:hAnsi="Baskerville" w:cs="Times New Roman"/>
            <w:color w:val="007BFF"/>
            <w:u w:val="single"/>
            <w:lang w:eastAsia="en-GB"/>
          </w:rPr>
          <w:t>114 N.M. 2</w:t>
        </w:r>
      </w:hyperlink>
      <w:r w:rsidRPr="00045FC1">
        <w:rPr>
          <w:rFonts w:ascii="Baskerville" w:eastAsia="Times New Roman" w:hAnsi="Baskerville" w:cs="Times New Roman"/>
          <w:lang w:eastAsia="en-GB"/>
        </w:rPr>
        <w:t>, 7, </w:t>
      </w:r>
      <w:r w:rsidRPr="00045FC1">
        <w:rPr>
          <w:rFonts w:ascii="Baskerville" w:eastAsia="Times New Roman" w:hAnsi="Baskerville" w:cs="Times New Roman"/>
          <w:color w:val="007BFF"/>
          <w:u w:val="single"/>
          <w:lang w:eastAsia="en-GB"/>
        </w:rPr>
        <w:t>833 P.2d 1183</w:t>
      </w:r>
      <w:r w:rsidRPr="00045FC1">
        <w:rPr>
          <w:rFonts w:ascii="Baskerville" w:eastAsia="Times New Roman" w:hAnsi="Baskerville" w:cs="Times New Roman"/>
          <w:lang w:eastAsia="en-GB"/>
        </w:rPr>
        <w:t>, 1188 (Ct.App.1992).</w:t>
      </w:r>
    </w:p>
    <w:p w14:paraId="7CAA75B3" w14:textId="77777777" w:rsidR="00045FC1" w:rsidRPr="00045FC1" w:rsidRDefault="00045FC1" w:rsidP="00045FC1">
      <w:pPr>
        <w:spacing w:before="100" w:beforeAutospacing="1" w:after="225"/>
        <w:rPr>
          <w:rFonts w:ascii="Baskerville" w:eastAsia="Times New Roman" w:hAnsi="Baskerville" w:cs="Times New Roman"/>
          <w:lang w:eastAsia="en-GB"/>
        </w:rPr>
      </w:pPr>
      <w:r w:rsidRPr="00045FC1">
        <w:rPr>
          <w:rFonts w:ascii="Baskerville" w:eastAsia="Times New Roman" w:hAnsi="Baskerville" w:cs="Times New Roman"/>
          <w:lang w:eastAsia="en-GB"/>
        </w:rPr>
        <w:lastRenderedPageBreak/>
        <w:t xml:space="preserve">{8} In this appeal, </w:t>
      </w:r>
      <w:r w:rsidRPr="00045FC1">
        <w:rPr>
          <w:rFonts w:ascii="Baskerville" w:eastAsia="Times New Roman" w:hAnsi="Baskerville" w:cs="Times New Roman"/>
          <w:highlight w:val="green"/>
          <w:lang w:eastAsia="en-GB"/>
        </w:rPr>
        <w:t>Defendant failed to present expert testimony that a nonparty deviated from a professional standard of care and that this deviation proximately caused the patient’s death.</w:t>
      </w:r>
      <w:r w:rsidRPr="00045FC1">
        <w:rPr>
          <w:rFonts w:ascii="Baskerville" w:eastAsia="Times New Roman" w:hAnsi="Baskerville" w:cs="Times New Roman"/>
          <w:lang w:eastAsia="en-GB"/>
        </w:rPr>
        <w:t xml:space="preserve"> In his brief in chief and reply brief, Defendant purports to show the presentation of the nonparties’ negligence at trial. For example, the medical director testified that the patient was not “medically cleared” before his transfer from St. Joseph’s. An expert pathologist testified that the administration of drugs to the patient together with the face-down restraint caused his death. A psychiatric expert testified that Memorial had a duty to ascertain information concerning the patient’s medical history and condition.</w:t>
      </w:r>
    </w:p>
    <w:p w14:paraId="327252A8" w14:textId="77777777" w:rsidR="00045FC1" w:rsidRPr="00045FC1" w:rsidRDefault="00045FC1" w:rsidP="00045FC1">
      <w:pPr>
        <w:spacing w:before="100" w:beforeAutospacing="1" w:after="225"/>
        <w:rPr>
          <w:rFonts w:ascii="Baskerville" w:eastAsia="Times New Roman" w:hAnsi="Baskerville" w:cs="Times New Roman"/>
          <w:lang w:eastAsia="en-GB"/>
        </w:rPr>
      </w:pPr>
      <w:r w:rsidRPr="00045FC1">
        <w:rPr>
          <w:rFonts w:ascii="Baskerville" w:eastAsia="Times New Roman" w:hAnsi="Baskerville" w:cs="Times New Roman"/>
          <w:lang w:eastAsia="en-GB"/>
        </w:rPr>
        <w:t xml:space="preserve">{9} </w:t>
      </w:r>
      <w:r w:rsidRPr="00045FC1">
        <w:rPr>
          <w:rFonts w:ascii="Baskerville" w:eastAsia="Times New Roman" w:hAnsi="Baskerville" w:cs="Times New Roman"/>
          <w:highlight w:val="green"/>
          <w:lang w:eastAsia="en-GB"/>
        </w:rPr>
        <w:t>But Defendant presented no expert testimony establishing a professional standard of care applicable to the nonparties. Defendant failed to have expert testimony tie evidence of negligence to a deviation from a standard of care. Defendant did not relate general statements concerning treatment to a specific theory of liability against the non-parties. No expert testified that specific conduct by the nonparties deviated from a standard of care or caused the patient’s death.</w:t>
      </w:r>
    </w:p>
    <w:p w14:paraId="66D9CFF8" w14:textId="6C9CFFFD" w:rsidR="00045FC1" w:rsidRPr="00045FC1" w:rsidRDefault="00045FC1" w:rsidP="00045FC1">
      <w:pPr>
        <w:spacing w:before="100" w:beforeAutospacing="1" w:after="225"/>
        <w:rPr>
          <w:rFonts w:ascii="Baskerville" w:eastAsia="Times New Roman" w:hAnsi="Baskerville" w:cs="Times New Roman"/>
          <w:lang w:eastAsia="en-GB"/>
        </w:rPr>
      </w:pPr>
      <w:r w:rsidRPr="00045FC1">
        <w:rPr>
          <w:rFonts w:ascii="Baskerville" w:eastAsia="Times New Roman" w:hAnsi="Baskerville" w:cs="Times New Roman"/>
          <w:lang w:eastAsia="en-GB"/>
        </w:rPr>
        <w:t>{10} General statements alluding to comparative negligence do not merit a jury instruction on the theory. See </w:t>
      </w:r>
      <w:r w:rsidRPr="00045FC1">
        <w:rPr>
          <w:rFonts w:ascii="Baskerville" w:eastAsia="Times New Roman" w:hAnsi="Baskerville" w:cs="Times New Roman"/>
          <w:i/>
          <w:iCs/>
          <w:lang w:eastAsia="en-GB"/>
        </w:rPr>
        <w:t>Brann v. Exeter Clinic, Inc., </w:t>
      </w:r>
      <w:hyperlink r:id="rId10" w:history="1">
        <w:r w:rsidRPr="00045FC1">
          <w:rPr>
            <w:rFonts w:ascii="Baskerville" w:eastAsia="Times New Roman" w:hAnsi="Baskerville" w:cs="Times New Roman"/>
            <w:color w:val="007BFF"/>
            <w:u w:val="single"/>
            <w:lang w:eastAsia="en-GB"/>
          </w:rPr>
          <w:t>127 N.H. 155</w:t>
        </w:r>
      </w:hyperlink>
      <w:r w:rsidRPr="00045FC1">
        <w:rPr>
          <w:rFonts w:ascii="Baskerville" w:eastAsia="Times New Roman" w:hAnsi="Baskerville" w:cs="Times New Roman"/>
          <w:lang w:eastAsia="en-GB"/>
        </w:rPr>
        <w:t>, </w:t>
      </w:r>
      <w:r w:rsidRPr="00045FC1">
        <w:rPr>
          <w:rFonts w:ascii="Baskerville" w:eastAsia="Times New Roman" w:hAnsi="Baskerville" w:cs="Times New Roman"/>
          <w:color w:val="007BFF"/>
          <w:u w:val="single"/>
          <w:lang w:eastAsia="en-GB"/>
        </w:rPr>
        <w:t>498 A.2d 334</w:t>
      </w:r>
      <w:r w:rsidRPr="00045FC1">
        <w:rPr>
          <w:rFonts w:ascii="Baskerville" w:eastAsia="Times New Roman" w:hAnsi="Baskerville" w:cs="Times New Roman"/>
          <w:lang w:eastAsia="en-GB"/>
        </w:rPr>
        <w:t>, 337 (N.H.1985). Consequently, we hold that the trial court did not err in refusing to submit Defendant’s special verdict form to the jury. </w:t>
      </w:r>
      <w:r w:rsidRPr="00045FC1">
        <w:rPr>
          <w:rFonts w:ascii="Baskerville" w:eastAsia="Times New Roman" w:hAnsi="Baskerville" w:cs="Times New Roman"/>
          <w:i/>
          <w:iCs/>
          <w:lang w:eastAsia="en-GB"/>
        </w:rPr>
        <w:t>See Buffett v. Jaramillo, </w:t>
      </w:r>
      <w:r w:rsidRPr="00045FC1">
        <w:rPr>
          <w:rFonts w:ascii="Baskerville" w:eastAsia="Times New Roman" w:hAnsi="Baskerville" w:cs="Times New Roman"/>
          <w:lang w:eastAsia="en-GB"/>
        </w:rPr>
        <w:t>1996-NMCA-040, </w:t>
      </w:r>
      <w:hyperlink r:id="rId11" w:history="1">
        <w:r w:rsidRPr="00045FC1">
          <w:rPr>
            <w:rFonts w:ascii="Baskerville" w:eastAsia="Times New Roman" w:hAnsi="Baskerville" w:cs="Times New Roman"/>
            <w:color w:val="007BFF"/>
            <w:u w:val="single"/>
            <w:lang w:eastAsia="en-GB"/>
          </w:rPr>
          <w:t>121 N.M. 514</w:t>
        </w:r>
      </w:hyperlink>
      <w:r w:rsidRPr="00045FC1">
        <w:rPr>
          <w:rFonts w:ascii="Baskerville" w:eastAsia="Times New Roman" w:hAnsi="Baskerville" w:cs="Times New Roman"/>
          <w:lang w:eastAsia="en-GB"/>
        </w:rPr>
        <w:t>, 519, 914 P.2d </w:t>
      </w:r>
      <w:r w:rsidRPr="00045FC1">
        <w:rPr>
          <w:rFonts w:ascii="Baskerville" w:eastAsia="Times New Roman" w:hAnsi="Baskerville" w:cs="Times New Roman"/>
          <w:i/>
          <w:iCs/>
          <w:color w:val="979797"/>
          <w:sz w:val="19"/>
          <w:szCs w:val="19"/>
          <w:u w:val="single"/>
          <w:lang w:eastAsia="en-GB"/>
        </w:rPr>
        <w:t>*87</w:t>
      </w:r>
      <w:r w:rsidRPr="00045FC1">
        <w:rPr>
          <w:rFonts w:ascii="Baskerville" w:eastAsia="Times New Roman" w:hAnsi="Baskerville" w:cs="Times New Roman"/>
          <w:lang w:eastAsia="en-GB"/>
        </w:rPr>
        <w:t>1011, 1016, (decided in 1993) (“It is well settled that a jury may be instructed on a party’s theory of the case only when substantial evidence supports the requested instruction and a failure to establish proof on each element of the defense of comparative negligence should result in no instruction on that particular theory.”), </w:t>
      </w:r>
      <w:r w:rsidRPr="00045FC1">
        <w:rPr>
          <w:rFonts w:ascii="Baskerville" w:eastAsia="Times New Roman" w:hAnsi="Baskerville" w:cs="Times New Roman"/>
          <w:i/>
          <w:iCs/>
          <w:lang w:eastAsia="en-GB"/>
        </w:rPr>
        <w:t>rev’d on other grounds, Buffett v. Vargas, </w:t>
      </w:r>
      <w:r w:rsidRPr="00045FC1">
        <w:rPr>
          <w:rFonts w:ascii="Baskerville" w:eastAsia="Times New Roman" w:hAnsi="Baskerville" w:cs="Times New Roman"/>
          <w:lang w:eastAsia="en-GB"/>
        </w:rPr>
        <w:t>1996-NMSC-012, </w:t>
      </w:r>
      <w:hyperlink r:id="rId12" w:history="1">
        <w:r w:rsidRPr="00045FC1">
          <w:rPr>
            <w:rFonts w:ascii="Baskerville" w:eastAsia="Times New Roman" w:hAnsi="Baskerville" w:cs="Times New Roman"/>
            <w:color w:val="007BFF"/>
            <w:u w:val="single"/>
            <w:lang w:eastAsia="en-GB"/>
          </w:rPr>
          <w:t>121 N.M. 507</w:t>
        </w:r>
      </w:hyperlink>
      <w:r w:rsidRPr="00045FC1">
        <w:rPr>
          <w:rFonts w:ascii="Baskerville" w:eastAsia="Times New Roman" w:hAnsi="Baskerville" w:cs="Times New Roman"/>
          <w:lang w:eastAsia="en-GB"/>
        </w:rPr>
        <w:t>, </w:t>
      </w:r>
      <w:r w:rsidRPr="00045FC1">
        <w:rPr>
          <w:rFonts w:ascii="Baskerville" w:eastAsia="Times New Roman" w:hAnsi="Baskerville" w:cs="Times New Roman"/>
          <w:color w:val="007BFF"/>
          <w:u w:val="single"/>
          <w:lang w:eastAsia="en-GB"/>
        </w:rPr>
        <w:t>914 P.2d 1004</w:t>
      </w:r>
      <w:r w:rsidRPr="00045FC1">
        <w:rPr>
          <w:rFonts w:ascii="Baskerville" w:eastAsia="Times New Roman" w:hAnsi="Baskerville" w:cs="Times New Roman"/>
          <w:lang w:eastAsia="en-GB"/>
        </w:rPr>
        <w:t>; </w:t>
      </w:r>
      <w:r w:rsidRPr="00045FC1">
        <w:rPr>
          <w:rFonts w:ascii="Baskerville" w:eastAsia="Times New Roman" w:hAnsi="Baskerville" w:cs="Times New Roman"/>
          <w:i/>
          <w:iCs/>
          <w:lang w:eastAsia="en-GB"/>
        </w:rPr>
        <w:t>Newville v. State Dep’t of Family Servs., </w:t>
      </w:r>
      <w:hyperlink r:id="rId13" w:history="1">
        <w:r w:rsidRPr="00045FC1">
          <w:rPr>
            <w:rFonts w:ascii="Baskerville" w:eastAsia="Times New Roman" w:hAnsi="Baskerville" w:cs="Times New Roman"/>
            <w:color w:val="007BFF"/>
            <w:u w:val="single"/>
            <w:lang w:eastAsia="en-GB"/>
          </w:rPr>
          <w:t>267 Mont. 237</w:t>
        </w:r>
      </w:hyperlink>
      <w:r w:rsidRPr="00045FC1">
        <w:rPr>
          <w:rFonts w:ascii="Baskerville" w:eastAsia="Times New Roman" w:hAnsi="Baskerville" w:cs="Times New Roman"/>
          <w:lang w:eastAsia="en-GB"/>
        </w:rPr>
        <w:t>, </w:t>
      </w:r>
      <w:r w:rsidRPr="00045FC1">
        <w:rPr>
          <w:rFonts w:ascii="Baskerville" w:eastAsia="Times New Roman" w:hAnsi="Baskerville" w:cs="Times New Roman"/>
          <w:color w:val="007BFF"/>
          <w:u w:val="single"/>
          <w:lang w:eastAsia="en-GB"/>
        </w:rPr>
        <w:t>883 P.2d 793</w:t>
      </w:r>
      <w:r w:rsidRPr="00045FC1">
        <w:rPr>
          <w:rFonts w:ascii="Baskerville" w:eastAsia="Times New Roman" w:hAnsi="Baskerville" w:cs="Times New Roman"/>
          <w:lang w:eastAsia="en-GB"/>
        </w:rPr>
        <w:t>, 805 (Mont.1994) (holding that district court erred in naming counselor on special verdict form where evidence and specific jury instructions did not establish professional standard of care).</w:t>
      </w:r>
    </w:p>
    <w:p w14:paraId="4D0C4E3C" w14:textId="019E22DE" w:rsidR="00045FC1" w:rsidRPr="00045FC1" w:rsidRDefault="00045FC1" w:rsidP="00045FC1">
      <w:pPr>
        <w:spacing w:before="100" w:beforeAutospacing="1" w:after="225"/>
        <w:rPr>
          <w:rFonts w:ascii="Baskerville" w:eastAsia="Times New Roman" w:hAnsi="Baskerville" w:cs="Times New Roman"/>
          <w:lang w:eastAsia="en-GB"/>
        </w:rPr>
      </w:pPr>
      <w:r w:rsidRPr="00045FC1">
        <w:rPr>
          <w:rFonts w:ascii="Baskerville" w:eastAsia="Times New Roman" w:hAnsi="Baskerville" w:cs="Times New Roman"/>
          <w:lang w:eastAsia="en-GB"/>
        </w:rPr>
        <w:t>{11} Contrary to Defendant’s arguments, this determination is consistent with the goals of the doctrine of comparative negligence. </w:t>
      </w:r>
      <w:r w:rsidRPr="00045FC1">
        <w:rPr>
          <w:rFonts w:ascii="Baskerville" w:eastAsia="Times New Roman" w:hAnsi="Baskerville" w:cs="Times New Roman"/>
          <w:i/>
          <w:iCs/>
          <w:lang w:eastAsia="en-GB"/>
        </w:rPr>
        <w:t>See Bartlett v. New Mexico Welding Supply, Inc., </w:t>
      </w:r>
      <w:hyperlink r:id="rId14" w:history="1">
        <w:r w:rsidRPr="00045FC1">
          <w:rPr>
            <w:rFonts w:ascii="Baskerville" w:eastAsia="Times New Roman" w:hAnsi="Baskerville" w:cs="Times New Roman"/>
            <w:color w:val="007BFF"/>
            <w:u w:val="single"/>
            <w:lang w:eastAsia="en-GB"/>
          </w:rPr>
          <w:t>98 N.M. 152</w:t>
        </w:r>
      </w:hyperlink>
      <w:r w:rsidRPr="00045FC1">
        <w:rPr>
          <w:rFonts w:ascii="Baskerville" w:eastAsia="Times New Roman" w:hAnsi="Baskerville" w:cs="Times New Roman"/>
          <w:lang w:eastAsia="en-GB"/>
        </w:rPr>
        <w:t>, 159, </w:t>
      </w:r>
      <w:r w:rsidRPr="00045FC1">
        <w:rPr>
          <w:rFonts w:ascii="Baskerville" w:eastAsia="Times New Roman" w:hAnsi="Baskerville" w:cs="Times New Roman"/>
          <w:color w:val="007BFF"/>
          <w:u w:val="single"/>
          <w:lang w:eastAsia="en-GB"/>
        </w:rPr>
        <w:t>646 P.2d 579</w:t>
      </w:r>
      <w:r w:rsidRPr="00045FC1">
        <w:rPr>
          <w:rFonts w:ascii="Baskerville" w:eastAsia="Times New Roman" w:hAnsi="Baskerville" w:cs="Times New Roman"/>
          <w:lang w:eastAsia="en-GB"/>
        </w:rPr>
        <w:t>, 586 (Ct.App.1982) (“ ‘The thrust of the comparative negligence doctrine is to accomplish (1) apportionment of fault between or among negligent parties whose negligence proximately causes any part of a loss or injury, and (2) apportionment of the total damages resulting from such loss or injury in proportion to the fault of each party.’ ”) (quoting </w:t>
      </w:r>
      <w:r w:rsidRPr="00045FC1">
        <w:rPr>
          <w:rFonts w:ascii="Baskerville" w:eastAsia="Times New Roman" w:hAnsi="Baskerville" w:cs="Times New Roman"/>
          <w:i/>
          <w:iCs/>
          <w:lang w:eastAsia="en-GB"/>
        </w:rPr>
        <w:t>Scott v. Rizzo, </w:t>
      </w:r>
      <w:hyperlink r:id="rId15" w:history="1">
        <w:r w:rsidRPr="00045FC1">
          <w:rPr>
            <w:rFonts w:ascii="Baskerville" w:eastAsia="Times New Roman" w:hAnsi="Baskerville" w:cs="Times New Roman"/>
            <w:color w:val="007BFF"/>
            <w:u w:val="single"/>
            <w:lang w:eastAsia="en-GB"/>
          </w:rPr>
          <w:t>96 N.M. 682</w:t>
        </w:r>
      </w:hyperlink>
      <w:r w:rsidRPr="00045FC1">
        <w:rPr>
          <w:rFonts w:ascii="Baskerville" w:eastAsia="Times New Roman" w:hAnsi="Baskerville" w:cs="Times New Roman"/>
          <w:lang w:eastAsia="en-GB"/>
        </w:rPr>
        <w:t>, 688, </w:t>
      </w:r>
      <w:r w:rsidRPr="00045FC1">
        <w:rPr>
          <w:rFonts w:ascii="Baskerville" w:eastAsia="Times New Roman" w:hAnsi="Baskerville" w:cs="Times New Roman"/>
          <w:color w:val="007BFF"/>
          <w:u w:val="single"/>
          <w:lang w:eastAsia="en-GB"/>
        </w:rPr>
        <w:t>634 P.2d 1234</w:t>
      </w:r>
      <w:r w:rsidRPr="00045FC1">
        <w:rPr>
          <w:rFonts w:ascii="Baskerville" w:eastAsia="Times New Roman" w:hAnsi="Baskerville" w:cs="Times New Roman"/>
          <w:lang w:eastAsia="en-GB"/>
        </w:rPr>
        <w:t>, 1240 (1981)). Rather, our holding invokes instruction on the doctrine where evidence supports it.</w:t>
      </w:r>
    </w:p>
    <w:p w14:paraId="6C223846" w14:textId="77777777" w:rsidR="00045FC1" w:rsidRPr="00045FC1" w:rsidRDefault="00045FC1" w:rsidP="00045FC1">
      <w:pPr>
        <w:spacing w:before="100" w:beforeAutospacing="1" w:after="225"/>
        <w:rPr>
          <w:rFonts w:ascii="Baskerville" w:eastAsia="Times New Roman" w:hAnsi="Baskerville" w:cs="Times New Roman"/>
          <w:lang w:eastAsia="en-GB"/>
        </w:rPr>
      </w:pPr>
      <w:r w:rsidRPr="00045FC1">
        <w:rPr>
          <w:rFonts w:ascii="Baskerville" w:eastAsia="Times New Roman" w:hAnsi="Baskerville" w:cs="Times New Roman"/>
          <w:lang w:eastAsia="en-GB"/>
        </w:rPr>
        <w:t>C. Plaintiffs Knowledge Of The Comparative Negligence Issue</w:t>
      </w:r>
    </w:p>
    <w:p w14:paraId="77D5C585" w14:textId="31D9F026" w:rsidR="00045FC1" w:rsidRPr="00045FC1" w:rsidRDefault="00045FC1" w:rsidP="00045FC1">
      <w:pPr>
        <w:spacing w:before="100" w:beforeAutospacing="1" w:after="225"/>
        <w:rPr>
          <w:rFonts w:ascii="Baskerville" w:eastAsia="Times New Roman" w:hAnsi="Baskerville" w:cs="Times New Roman"/>
          <w:lang w:eastAsia="en-GB"/>
        </w:rPr>
      </w:pPr>
      <w:r w:rsidRPr="00045FC1">
        <w:rPr>
          <w:rFonts w:ascii="Baskerville" w:eastAsia="Times New Roman" w:hAnsi="Baskerville" w:cs="Times New Roman"/>
          <w:lang w:eastAsia="en-GB"/>
        </w:rPr>
        <w:t xml:space="preserve">{12} </w:t>
      </w:r>
      <w:r w:rsidRPr="00045FC1">
        <w:rPr>
          <w:rFonts w:ascii="Baskerville" w:eastAsia="Times New Roman" w:hAnsi="Baskerville" w:cs="Times New Roman"/>
          <w:highlight w:val="green"/>
          <w:lang w:eastAsia="en-GB"/>
        </w:rPr>
        <w:t>Defendant argues that Plaintiff knew that comparative negligence was an important issue in the case, but Defendant’s cited cases do not support his position.</w:t>
      </w:r>
      <w:r w:rsidRPr="00045FC1">
        <w:rPr>
          <w:rFonts w:ascii="Baskerville" w:eastAsia="Times New Roman" w:hAnsi="Baskerville" w:cs="Times New Roman"/>
          <w:lang w:eastAsia="en-GB"/>
        </w:rPr>
        <w:t> </w:t>
      </w:r>
      <w:r w:rsidRPr="00045FC1">
        <w:rPr>
          <w:rFonts w:ascii="Baskerville" w:eastAsia="Times New Roman" w:hAnsi="Baskerville" w:cs="Times New Roman"/>
          <w:i/>
          <w:iCs/>
          <w:lang w:eastAsia="en-GB"/>
        </w:rPr>
        <w:t>Yardman v. San Juan Downs, Inc., </w:t>
      </w:r>
      <w:hyperlink r:id="rId16" w:history="1">
        <w:r w:rsidRPr="00045FC1">
          <w:rPr>
            <w:rFonts w:ascii="Baskerville" w:eastAsia="Times New Roman" w:hAnsi="Baskerville" w:cs="Times New Roman"/>
            <w:color w:val="007BFF"/>
            <w:u w:val="single"/>
            <w:lang w:eastAsia="en-GB"/>
          </w:rPr>
          <w:t>120 N.M. 751</w:t>
        </w:r>
      </w:hyperlink>
      <w:r w:rsidRPr="00045FC1">
        <w:rPr>
          <w:rFonts w:ascii="Baskerville" w:eastAsia="Times New Roman" w:hAnsi="Baskerville" w:cs="Times New Roman"/>
          <w:lang w:eastAsia="en-GB"/>
        </w:rPr>
        <w:t>, </w:t>
      </w:r>
      <w:r w:rsidRPr="00045FC1">
        <w:rPr>
          <w:rFonts w:ascii="Baskerville" w:eastAsia="Times New Roman" w:hAnsi="Baskerville" w:cs="Times New Roman"/>
          <w:color w:val="007BFF"/>
          <w:u w:val="single"/>
          <w:lang w:eastAsia="en-GB"/>
        </w:rPr>
        <w:t>906 P.2d 742</w:t>
      </w:r>
      <w:r w:rsidRPr="00045FC1">
        <w:rPr>
          <w:rFonts w:ascii="Baskerville" w:eastAsia="Times New Roman" w:hAnsi="Baskerville" w:cs="Times New Roman"/>
          <w:lang w:eastAsia="en-GB"/>
        </w:rPr>
        <w:t xml:space="preserve"> (Ct.App.1995), is not on point because it concerns negligence, not medical malpractice. </w:t>
      </w:r>
      <w:r w:rsidRPr="00045FC1">
        <w:rPr>
          <w:rFonts w:ascii="Baskerville" w:eastAsia="Times New Roman" w:hAnsi="Baskerville" w:cs="Times New Roman"/>
          <w:highlight w:val="green"/>
          <w:lang w:eastAsia="en-GB"/>
        </w:rPr>
        <w:t>The elements of a negligence claim and a medical malpractice claim differ. Medical malpractice requires deviation from the proper standard of medical practice recognized in the community.</w:t>
      </w:r>
      <w:r w:rsidRPr="00045FC1">
        <w:rPr>
          <w:rFonts w:ascii="Baskerville" w:eastAsia="Times New Roman" w:hAnsi="Baskerville" w:cs="Times New Roman"/>
          <w:lang w:eastAsia="en-GB"/>
        </w:rPr>
        <w:t> </w:t>
      </w:r>
      <w:r w:rsidRPr="00045FC1">
        <w:rPr>
          <w:rFonts w:ascii="Baskerville" w:eastAsia="Times New Roman" w:hAnsi="Baskerville" w:cs="Times New Roman"/>
          <w:i/>
          <w:iCs/>
          <w:highlight w:val="cyan"/>
          <w:lang w:eastAsia="en-GB"/>
        </w:rPr>
        <w:t>See Diaz, </w:t>
      </w:r>
      <w:r w:rsidRPr="00045FC1">
        <w:rPr>
          <w:rFonts w:ascii="Baskerville" w:eastAsia="Times New Roman" w:hAnsi="Baskerville" w:cs="Times New Roman"/>
          <w:highlight w:val="cyan"/>
          <w:lang w:eastAsia="en-GB"/>
        </w:rPr>
        <w:t>118 N.M. at 388, 881 P.2d at 748.</w:t>
      </w:r>
      <w:r w:rsidRPr="00045FC1">
        <w:rPr>
          <w:rFonts w:ascii="Baskerville" w:eastAsia="Times New Roman" w:hAnsi="Baskerville" w:cs="Times New Roman"/>
          <w:lang w:eastAsia="en-GB"/>
        </w:rPr>
        <w:t xml:space="preserve"> </w:t>
      </w:r>
      <w:r w:rsidRPr="00045FC1">
        <w:rPr>
          <w:rFonts w:ascii="Baskerville" w:eastAsia="Times New Roman" w:hAnsi="Baskerville" w:cs="Times New Roman"/>
          <w:highlight w:val="green"/>
          <w:lang w:eastAsia="en-GB"/>
        </w:rPr>
        <w:t>Negligence does not</w:t>
      </w:r>
      <w:r w:rsidRPr="00045FC1">
        <w:rPr>
          <w:rFonts w:ascii="Baskerville" w:eastAsia="Times New Roman" w:hAnsi="Baskerville" w:cs="Times New Roman"/>
          <w:lang w:eastAsia="en-GB"/>
        </w:rPr>
        <w:t>. </w:t>
      </w:r>
      <w:r w:rsidRPr="00045FC1">
        <w:rPr>
          <w:rFonts w:ascii="Baskerville" w:eastAsia="Times New Roman" w:hAnsi="Baskerville" w:cs="Times New Roman"/>
          <w:i/>
          <w:iCs/>
          <w:highlight w:val="cyan"/>
          <w:lang w:eastAsia="en-GB"/>
        </w:rPr>
        <w:t>See Yardman, </w:t>
      </w:r>
      <w:r w:rsidRPr="00045FC1">
        <w:rPr>
          <w:rFonts w:ascii="Baskerville" w:eastAsia="Times New Roman" w:hAnsi="Baskerville" w:cs="Times New Roman"/>
          <w:highlight w:val="cyan"/>
          <w:lang w:eastAsia="en-GB"/>
        </w:rPr>
        <w:t>120 N.M. at 755-57, 906 P.2d at 746-48.</w:t>
      </w:r>
      <w:r w:rsidRPr="00045FC1">
        <w:rPr>
          <w:rFonts w:ascii="Baskerville" w:eastAsia="Times New Roman" w:hAnsi="Baskerville" w:cs="Times New Roman"/>
          <w:lang w:eastAsia="en-GB"/>
        </w:rPr>
        <w:t xml:space="preserve"> </w:t>
      </w:r>
      <w:r w:rsidRPr="00045FC1">
        <w:rPr>
          <w:rFonts w:ascii="Baskerville" w:eastAsia="Times New Roman" w:hAnsi="Baskerville" w:cs="Times New Roman"/>
          <w:highlight w:val="green"/>
          <w:lang w:eastAsia="en-GB"/>
        </w:rPr>
        <w:t>Consequently, Yardman’s analysis of the presentation of evidence on comparative negligence is not applicable here.</w:t>
      </w:r>
    </w:p>
    <w:p w14:paraId="5F077554" w14:textId="4C2926AB" w:rsidR="00045FC1" w:rsidRPr="00045FC1" w:rsidRDefault="00045FC1" w:rsidP="00045FC1">
      <w:pPr>
        <w:spacing w:before="100" w:beforeAutospacing="1" w:after="225"/>
        <w:rPr>
          <w:rFonts w:ascii="Baskerville" w:eastAsia="Times New Roman" w:hAnsi="Baskerville" w:cs="Times New Roman"/>
          <w:lang w:eastAsia="en-GB"/>
        </w:rPr>
      </w:pPr>
      <w:r w:rsidRPr="00045FC1">
        <w:rPr>
          <w:rFonts w:ascii="Baskerville" w:eastAsia="Times New Roman" w:hAnsi="Baskerville" w:cs="Times New Roman"/>
          <w:lang w:eastAsia="en-GB"/>
        </w:rPr>
        <w:t>{13} Instead, we determine that </w:t>
      </w:r>
      <w:r w:rsidRPr="00045FC1">
        <w:rPr>
          <w:rFonts w:ascii="Baskerville" w:eastAsia="Times New Roman" w:hAnsi="Baskerville" w:cs="Times New Roman"/>
          <w:i/>
          <w:iCs/>
          <w:lang w:eastAsia="en-GB"/>
        </w:rPr>
        <w:t>Fahrbach v. Diamond Shamrock, Inc., </w:t>
      </w:r>
      <w:r w:rsidRPr="00045FC1">
        <w:rPr>
          <w:rFonts w:ascii="Baskerville" w:eastAsia="Times New Roman" w:hAnsi="Baskerville" w:cs="Times New Roman"/>
          <w:lang w:eastAsia="en-GB"/>
        </w:rPr>
        <w:t>1996-NMSC-063, </w:t>
      </w:r>
      <w:hyperlink r:id="rId17" w:history="1">
        <w:r w:rsidRPr="00045FC1">
          <w:rPr>
            <w:rFonts w:ascii="Baskerville" w:eastAsia="Times New Roman" w:hAnsi="Baskerville" w:cs="Times New Roman"/>
            <w:color w:val="007BFF"/>
            <w:u w:val="single"/>
            <w:lang w:eastAsia="en-GB"/>
          </w:rPr>
          <w:t>122 N.M. 543</w:t>
        </w:r>
      </w:hyperlink>
      <w:r w:rsidRPr="00045FC1">
        <w:rPr>
          <w:rFonts w:ascii="Baskerville" w:eastAsia="Times New Roman" w:hAnsi="Baskerville" w:cs="Times New Roman"/>
          <w:lang w:eastAsia="en-GB"/>
        </w:rPr>
        <w:t>, </w:t>
      </w:r>
      <w:r w:rsidRPr="00045FC1">
        <w:rPr>
          <w:rFonts w:ascii="Baskerville" w:eastAsia="Times New Roman" w:hAnsi="Baskerville" w:cs="Times New Roman"/>
          <w:color w:val="007BFF"/>
          <w:u w:val="single"/>
          <w:lang w:eastAsia="en-GB"/>
        </w:rPr>
        <w:t>928 P.2d 269</w:t>
      </w:r>
      <w:r w:rsidRPr="00045FC1">
        <w:rPr>
          <w:rFonts w:ascii="Baskerville" w:eastAsia="Times New Roman" w:hAnsi="Baskerville" w:cs="Times New Roman"/>
          <w:lang w:eastAsia="en-GB"/>
        </w:rPr>
        <w:t>, supports our holding. In </w:t>
      </w:r>
      <w:r w:rsidRPr="00045FC1">
        <w:rPr>
          <w:rFonts w:ascii="Baskerville" w:eastAsia="Times New Roman" w:hAnsi="Baskerville" w:cs="Times New Roman"/>
          <w:i/>
          <w:iCs/>
          <w:lang w:eastAsia="en-GB"/>
        </w:rPr>
        <w:t>Fahrbach, </w:t>
      </w:r>
      <w:r w:rsidRPr="00045FC1">
        <w:rPr>
          <w:rFonts w:ascii="Baskerville" w:eastAsia="Times New Roman" w:hAnsi="Baskerville" w:cs="Times New Roman"/>
          <w:lang w:eastAsia="en-GB"/>
        </w:rPr>
        <w:t>the court held that the plaintiffs did not have sufficient notice that the defendant might assert comparative fault against a nonparty. As a result, our Supreme Court held that the trial court erred in instructing on the nonparty’s comparative fault. </w:t>
      </w:r>
      <w:r w:rsidRPr="00045FC1">
        <w:rPr>
          <w:rFonts w:ascii="Baskerville" w:eastAsia="Times New Roman" w:hAnsi="Baskerville" w:cs="Times New Roman"/>
          <w:i/>
          <w:iCs/>
          <w:lang w:eastAsia="en-GB"/>
        </w:rPr>
        <w:t>See id. </w:t>
      </w:r>
      <w:r w:rsidRPr="00045FC1">
        <w:rPr>
          <w:rFonts w:ascii="Baskerville" w:eastAsia="Times New Roman" w:hAnsi="Baskerville" w:cs="Times New Roman"/>
          <w:lang w:eastAsia="en-GB"/>
        </w:rPr>
        <w:t>at 552, 928 P.2d at 278.</w:t>
      </w:r>
    </w:p>
    <w:p w14:paraId="3C2CF4A7" w14:textId="77777777" w:rsidR="00045FC1" w:rsidRPr="00045FC1" w:rsidRDefault="00045FC1" w:rsidP="00045FC1">
      <w:pPr>
        <w:spacing w:before="100" w:beforeAutospacing="1" w:after="225"/>
        <w:rPr>
          <w:rFonts w:ascii="Baskerville" w:eastAsia="Times New Roman" w:hAnsi="Baskerville" w:cs="Times New Roman"/>
          <w:lang w:eastAsia="en-GB"/>
        </w:rPr>
      </w:pPr>
      <w:r w:rsidRPr="00045FC1">
        <w:rPr>
          <w:rFonts w:ascii="Baskerville" w:eastAsia="Times New Roman" w:hAnsi="Baskerville" w:cs="Times New Roman"/>
          <w:lang w:eastAsia="en-GB"/>
        </w:rPr>
        <w:t>{14} Defendant attempts to distinguish </w:t>
      </w:r>
      <w:r w:rsidRPr="00045FC1">
        <w:rPr>
          <w:rFonts w:ascii="Baskerville" w:eastAsia="Times New Roman" w:hAnsi="Baskerville" w:cs="Times New Roman"/>
          <w:i/>
          <w:iCs/>
          <w:lang w:eastAsia="en-GB"/>
        </w:rPr>
        <w:t>Fahrbach </w:t>
      </w:r>
      <w:r w:rsidRPr="00045FC1">
        <w:rPr>
          <w:rFonts w:ascii="Baskerville" w:eastAsia="Times New Roman" w:hAnsi="Baskerville" w:cs="Times New Roman"/>
          <w:lang w:eastAsia="en-GB"/>
        </w:rPr>
        <w:t>because neither the pleadings nor the pretrial order in </w:t>
      </w:r>
      <w:r w:rsidRPr="00045FC1">
        <w:rPr>
          <w:rFonts w:ascii="Baskerville" w:eastAsia="Times New Roman" w:hAnsi="Baskerville" w:cs="Times New Roman"/>
          <w:i/>
          <w:iCs/>
          <w:lang w:eastAsia="en-GB"/>
        </w:rPr>
        <w:t>Fahrbach </w:t>
      </w:r>
      <w:r w:rsidRPr="00045FC1">
        <w:rPr>
          <w:rFonts w:ascii="Baskerville" w:eastAsia="Times New Roman" w:hAnsi="Baskerville" w:cs="Times New Roman"/>
          <w:lang w:eastAsia="en-GB"/>
        </w:rPr>
        <w:t>raised the defense. </w:t>
      </w:r>
      <w:r w:rsidRPr="00045FC1">
        <w:rPr>
          <w:rFonts w:ascii="Baskerville" w:eastAsia="Times New Roman" w:hAnsi="Baskerville" w:cs="Times New Roman"/>
          <w:i/>
          <w:iCs/>
          <w:lang w:eastAsia="en-GB"/>
        </w:rPr>
        <w:t>See id. </w:t>
      </w:r>
      <w:r w:rsidRPr="00045FC1">
        <w:rPr>
          <w:rFonts w:ascii="Baskerville" w:eastAsia="Times New Roman" w:hAnsi="Baskerville" w:cs="Times New Roman"/>
          <w:lang w:eastAsia="en-GB"/>
        </w:rPr>
        <w:t>at 550, 928 P.2d at 276. Our Supreme Court in </w:t>
      </w:r>
      <w:r w:rsidRPr="00045FC1">
        <w:rPr>
          <w:rFonts w:ascii="Baskerville" w:eastAsia="Times New Roman" w:hAnsi="Baskerville" w:cs="Times New Roman"/>
          <w:i/>
          <w:iCs/>
          <w:lang w:eastAsia="en-GB"/>
        </w:rPr>
        <w:t>Fahrbach, </w:t>
      </w:r>
      <w:r w:rsidRPr="00045FC1">
        <w:rPr>
          <w:rFonts w:ascii="Baskerville" w:eastAsia="Times New Roman" w:hAnsi="Baskerville" w:cs="Times New Roman"/>
          <w:lang w:eastAsia="en-GB"/>
        </w:rPr>
        <w:t>however, also considered the arguments and evidence presented at trial. </w:t>
      </w:r>
      <w:r w:rsidRPr="00045FC1">
        <w:rPr>
          <w:rFonts w:ascii="Baskerville" w:eastAsia="Times New Roman" w:hAnsi="Baskerville" w:cs="Times New Roman"/>
          <w:i/>
          <w:iCs/>
          <w:lang w:eastAsia="en-GB"/>
        </w:rPr>
        <w:t>See id. </w:t>
      </w:r>
      <w:r w:rsidRPr="00045FC1">
        <w:rPr>
          <w:rFonts w:ascii="Baskerville" w:eastAsia="Times New Roman" w:hAnsi="Baskerville" w:cs="Times New Roman"/>
          <w:lang w:eastAsia="en-GB"/>
        </w:rPr>
        <w:t>at 551-52, 928 P.2d at 277-78. Consequently, Defendant’s distinction is not dispositive.</w:t>
      </w:r>
    </w:p>
    <w:p w14:paraId="23B27C0B" w14:textId="77777777" w:rsidR="00045FC1" w:rsidRPr="00045FC1" w:rsidRDefault="00045FC1" w:rsidP="00045FC1">
      <w:pPr>
        <w:spacing w:before="100" w:beforeAutospacing="1" w:after="225"/>
        <w:rPr>
          <w:rFonts w:ascii="Baskerville" w:eastAsia="Times New Roman" w:hAnsi="Baskerville" w:cs="Times New Roman"/>
          <w:lang w:eastAsia="en-GB"/>
        </w:rPr>
      </w:pPr>
      <w:r w:rsidRPr="00045FC1">
        <w:rPr>
          <w:rFonts w:ascii="Baskerville" w:eastAsia="Times New Roman" w:hAnsi="Baskerville" w:cs="Times New Roman"/>
          <w:lang w:eastAsia="en-GB"/>
        </w:rPr>
        <w:t>D. Plaintiffs Presentation Of Evidence</w:t>
      </w:r>
    </w:p>
    <w:p w14:paraId="114D6F84" w14:textId="36B65BF8" w:rsidR="00045FC1" w:rsidRPr="00045FC1" w:rsidRDefault="00045FC1" w:rsidP="00045FC1">
      <w:pPr>
        <w:spacing w:before="100" w:beforeAutospacing="1" w:after="225"/>
        <w:rPr>
          <w:rFonts w:ascii="Baskerville" w:eastAsia="Times New Roman" w:hAnsi="Baskerville" w:cs="Times New Roman"/>
          <w:lang w:eastAsia="en-GB"/>
        </w:rPr>
      </w:pPr>
      <w:r w:rsidRPr="00045FC1">
        <w:rPr>
          <w:rFonts w:ascii="Baskerville" w:eastAsia="Times New Roman" w:hAnsi="Baskerville" w:cs="Times New Roman"/>
          <w:lang w:eastAsia="en-GB"/>
        </w:rPr>
        <w:t>{15} Defendant argues that he properly relied on Plaintiffs presentation of evidence to support his affirmative defense of comparative negligence. </w:t>
      </w:r>
      <w:r w:rsidRPr="00045FC1">
        <w:rPr>
          <w:rFonts w:ascii="Baskerville" w:eastAsia="Times New Roman" w:hAnsi="Baskerville" w:cs="Times New Roman"/>
          <w:i/>
          <w:iCs/>
          <w:lang w:eastAsia="en-GB"/>
        </w:rPr>
        <w:t>See Sheet v. Wilson, </w:t>
      </w:r>
      <w:hyperlink r:id="rId18" w:history="1">
        <w:r w:rsidRPr="00045FC1">
          <w:rPr>
            <w:rFonts w:ascii="Baskerville" w:eastAsia="Times New Roman" w:hAnsi="Baskerville" w:cs="Times New Roman"/>
            <w:color w:val="007BFF"/>
            <w:u w:val="single"/>
            <w:lang w:eastAsia="en-GB"/>
          </w:rPr>
          <w:t>76 N.M. 697</w:t>
        </w:r>
      </w:hyperlink>
      <w:r w:rsidRPr="00045FC1">
        <w:rPr>
          <w:rFonts w:ascii="Baskerville" w:eastAsia="Times New Roman" w:hAnsi="Baskerville" w:cs="Times New Roman"/>
          <w:lang w:eastAsia="en-GB"/>
        </w:rPr>
        <w:t>, 701, </w:t>
      </w:r>
      <w:r w:rsidRPr="00045FC1">
        <w:rPr>
          <w:rFonts w:ascii="Baskerville" w:eastAsia="Times New Roman" w:hAnsi="Baskerville" w:cs="Times New Roman"/>
          <w:color w:val="007BFF"/>
          <w:u w:val="single"/>
          <w:lang w:eastAsia="en-GB"/>
        </w:rPr>
        <w:t>417 P.2d 889</w:t>
      </w:r>
      <w:r w:rsidRPr="00045FC1">
        <w:rPr>
          <w:rFonts w:ascii="Baskerville" w:eastAsia="Times New Roman" w:hAnsi="Baskerville" w:cs="Times New Roman"/>
          <w:lang w:eastAsia="en-GB"/>
        </w:rPr>
        <w:t>, 891 (1966) (holding that a defendant may use a plaintiffs testimony to establish a defense). Plaintiffs evidence, however, did not establish medical malpractice by the nonparties.</w:t>
      </w:r>
    </w:p>
    <w:p w14:paraId="62BBD34C" w14:textId="77777777" w:rsidR="00045FC1" w:rsidRPr="00045FC1" w:rsidRDefault="00045FC1" w:rsidP="00045FC1">
      <w:pPr>
        <w:spacing w:before="100" w:beforeAutospacing="1" w:after="225"/>
        <w:rPr>
          <w:rFonts w:ascii="Baskerville" w:eastAsia="Times New Roman" w:hAnsi="Baskerville" w:cs="Times New Roman"/>
          <w:lang w:eastAsia="en-GB"/>
        </w:rPr>
      </w:pPr>
      <w:r w:rsidRPr="00045FC1">
        <w:rPr>
          <w:rFonts w:ascii="Baskerville" w:eastAsia="Times New Roman" w:hAnsi="Baskerville" w:cs="Times New Roman"/>
          <w:lang w:eastAsia="en-GB"/>
        </w:rPr>
        <w:t>{16} Defendant refers to the testimony of several of Plaintiffs witnesses in support of his argument. We discussed some examples in subsection B. Defendant also cites the following testimony on cross-examination of Plaintiffs psychiatric expert. Defendant alleges that this testimony established that Memorial’s policy of checking a patient every fifteen minutes did not meet the applicable standard of care for a psychiatric hospital. This testimony was as follows:</w:t>
      </w:r>
    </w:p>
    <w:p w14:paraId="5AA5FB3A" w14:textId="77777777" w:rsidR="00045FC1" w:rsidRPr="00045FC1" w:rsidRDefault="00045FC1" w:rsidP="00045FC1">
      <w:pPr>
        <w:rPr>
          <w:rFonts w:ascii="Baskerville" w:eastAsia="Times New Roman" w:hAnsi="Baskerville" w:cs="Times New Roman"/>
          <w:color w:val="004FB3"/>
          <w:lang w:eastAsia="en-GB"/>
        </w:rPr>
      </w:pPr>
      <w:r w:rsidRPr="00045FC1">
        <w:rPr>
          <w:rFonts w:ascii="Baskerville" w:eastAsia="Times New Roman" w:hAnsi="Baskerville" w:cs="Times New Roman"/>
          <w:color w:val="004FB3"/>
          <w:lang w:eastAsia="en-GB"/>
        </w:rPr>
        <w:t>Q. Doctorf,] let me ask you to answer the question with respect to the frequency of checks. I know that you have a number of other opinions about what [Defendant] did wrong but specific to the frequency of checks, what should [Defendant] have done in your opinion?</w:t>
      </w:r>
    </w:p>
    <w:p w14:paraId="2CA3BA23" w14:textId="77777777" w:rsidR="00045FC1" w:rsidRPr="00045FC1" w:rsidRDefault="001F2998" w:rsidP="00045FC1">
      <w:pPr>
        <w:rPr>
          <w:rFonts w:ascii="Baskerville" w:eastAsia="Times New Roman" w:hAnsi="Baskerville" w:cs="Times New Roman"/>
          <w:color w:val="004FB3"/>
          <w:lang w:eastAsia="en-GB"/>
        </w:rPr>
      </w:pPr>
      <w:hyperlink r:id="rId19" w:anchor="p88" w:history="1">
        <w:r w:rsidR="00045FC1" w:rsidRPr="00045FC1">
          <w:rPr>
            <w:rFonts w:ascii="Baskerville" w:eastAsia="Times New Roman" w:hAnsi="Baskerville" w:cs="Times New Roman"/>
            <w:i/>
            <w:iCs/>
            <w:color w:val="979797"/>
            <w:sz w:val="19"/>
            <w:szCs w:val="19"/>
            <w:u w:val="single"/>
            <w:lang w:eastAsia="en-GB"/>
          </w:rPr>
          <w:t>*88</w:t>
        </w:r>
      </w:hyperlink>
      <w:r w:rsidR="00045FC1" w:rsidRPr="00045FC1">
        <w:rPr>
          <w:rFonts w:ascii="Baskerville" w:eastAsia="Times New Roman" w:hAnsi="Baskerville" w:cs="Times New Roman"/>
          <w:color w:val="004FB3"/>
          <w:lang w:eastAsia="en-GB"/>
        </w:rPr>
        <w:t>A. If we want to limit it to frequency of checks he should have said check the patient every five minutes or every ten minutes something within that range.</w:t>
      </w:r>
    </w:p>
    <w:p w14:paraId="202890EE" w14:textId="77777777" w:rsidR="00045FC1" w:rsidRPr="00045FC1" w:rsidRDefault="00045FC1" w:rsidP="00045FC1">
      <w:pPr>
        <w:rPr>
          <w:rFonts w:ascii="Baskerville" w:eastAsia="Times New Roman" w:hAnsi="Baskerville" w:cs="Times New Roman"/>
          <w:color w:val="004FB3"/>
          <w:lang w:eastAsia="en-GB"/>
        </w:rPr>
      </w:pPr>
      <w:r w:rsidRPr="00045FC1">
        <w:rPr>
          <w:rFonts w:ascii="Baskerville" w:eastAsia="Times New Roman" w:hAnsi="Baskerville" w:cs="Times New Roman"/>
          <w:color w:val="004FB3"/>
          <w:lang w:eastAsia="en-GB"/>
        </w:rPr>
        <w:t>Q. Which?</w:t>
      </w:r>
    </w:p>
    <w:p w14:paraId="4F4CC77D" w14:textId="77777777" w:rsidR="00045FC1" w:rsidRPr="00045FC1" w:rsidRDefault="00045FC1" w:rsidP="00045FC1">
      <w:pPr>
        <w:rPr>
          <w:rFonts w:ascii="Baskerville" w:eastAsia="Times New Roman" w:hAnsi="Baskerville" w:cs="Times New Roman"/>
          <w:color w:val="004FB3"/>
          <w:lang w:eastAsia="en-GB"/>
        </w:rPr>
      </w:pPr>
      <w:r w:rsidRPr="00045FC1">
        <w:rPr>
          <w:rFonts w:ascii="Baskerville" w:eastAsia="Times New Roman" w:hAnsi="Baskerville" w:cs="Times New Roman"/>
          <w:color w:val="004FB3"/>
          <w:lang w:eastAsia="en-GB"/>
        </w:rPr>
        <w:t>A. Would have monitored the patient more closely.</w:t>
      </w:r>
    </w:p>
    <w:p w14:paraId="4F8DD5C2" w14:textId="77777777" w:rsidR="00045FC1" w:rsidRPr="00045FC1" w:rsidRDefault="00045FC1" w:rsidP="00045FC1">
      <w:pPr>
        <w:rPr>
          <w:rFonts w:ascii="Baskerville" w:eastAsia="Times New Roman" w:hAnsi="Baskerville" w:cs="Times New Roman"/>
          <w:color w:val="004FB3"/>
          <w:lang w:eastAsia="en-GB"/>
        </w:rPr>
      </w:pPr>
      <w:r w:rsidRPr="00045FC1">
        <w:rPr>
          <w:rFonts w:ascii="Baskerville" w:eastAsia="Times New Roman" w:hAnsi="Baskerville" w:cs="Times New Roman"/>
          <w:color w:val="004FB3"/>
          <w:lang w:eastAsia="en-GB"/>
        </w:rPr>
        <w:t>Q. No, which, which, if you are establishing the standard of care is it every five, is it every ten, is it every fifteen, what is the standard of care. What is required of hospital personnel in a situation like this?</w:t>
      </w:r>
    </w:p>
    <w:p w14:paraId="0F4E5B08" w14:textId="77777777" w:rsidR="00045FC1" w:rsidRPr="00045FC1" w:rsidRDefault="00045FC1" w:rsidP="00045FC1">
      <w:pPr>
        <w:rPr>
          <w:rFonts w:ascii="Baskerville" w:eastAsia="Times New Roman" w:hAnsi="Baskerville" w:cs="Times New Roman"/>
          <w:color w:val="004FB3"/>
          <w:lang w:eastAsia="en-GB"/>
        </w:rPr>
      </w:pPr>
      <w:r w:rsidRPr="00045FC1">
        <w:rPr>
          <w:rFonts w:ascii="Baskerville" w:eastAsia="Times New Roman" w:hAnsi="Baskerville" w:cs="Times New Roman"/>
          <w:color w:val="004FB3"/>
          <w:lang w:eastAsia="en-GB"/>
        </w:rPr>
        <w:t>A. Well it’s not that exact of a science that I can give you five, seven, eight, ten minutes. I’m saying I would have significantly increased the frequency of monitoring.</w:t>
      </w:r>
    </w:p>
    <w:p w14:paraId="4C06F66E" w14:textId="77777777" w:rsidR="00045FC1" w:rsidRPr="00045FC1" w:rsidRDefault="00045FC1" w:rsidP="00045FC1">
      <w:pPr>
        <w:spacing w:before="100" w:beforeAutospacing="1" w:after="225"/>
        <w:rPr>
          <w:rFonts w:ascii="Baskerville" w:eastAsia="Times New Roman" w:hAnsi="Baskerville" w:cs="Times New Roman"/>
          <w:lang w:eastAsia="en-GB"/>
        </w:rPr>
      </w:pPr>
      <w:r w:rsidRPr="00045FC1">
        <w:rPr>
          <w:rFonts w:ascii="Baskerville" w:eastAsia="Times New Roman" w:hAnsi="Baskerville" w:cs="Times New Roman"/>
          <w:lang w:eastAsia="en-GB"/>
        </w:rPr>
        <w:t>Defendant asserts that the expert later established the standard of care for evaluating the adequacy of hospital policies and procedures:</w:t>
      </w:r>
    </w:p>
    <w:p w14:paraId="4228C077" w14:textId="77777777" w:rsidR="00045FC1" w:rsidRPr="00045FC1" w:rsidRDefault="00045FC1" w:rsidP="00045FC1">
      <w:pPr>
        <w:rPr>
          <w:rFonts w:ascii="Baskerville" w:eastAsia="Times New Roman" w:hAnsi="Baskerville" w:cs="Times New Roman"/>
          <w:color w:val="004FB3"/>
          <w:lang w:eastAsia="en-GB"/>
        </w:rPr>
      </w:pPr>
      <w:r w:rsidRPr="00045FC1">
        <w:rPr>
          <w:rFonts w:ascii="Baskerville" w:eastAsia="Times New Roman" w:hAnsi="Baskerville" w:cs="Times New Roman"/>
          <w:color w:val="004FB3"/>
          <w:lang w:eastAsia="en-GB"/>
        </w:rPr>
        <w:t>Q. Who determines whether hospital policies are adequate? Do we know? Is there a crediting agency nationally for certifying hospital in respect to their policies and procedures?</w:t>
      </w:r>
    </w:p>
    <w:p w14:paraId="306C5B4A" w14:textId="77777777" w:rsidR="00045FC1" w:rsidRPr="00045FC1" w:rsidRDefault="00045FC1" w:rsidP="00045FC1">
      <w:pPr>
        <w:rPr>
          <w:rFonts w:ascii="Baskerville" w:eastAsia="Times New Roman" w:hAnsi="Baskerville" w:cs="Times New Roman"/>
          <w:color w:val="004FB3"/>
          <w:lang w:eastAsia="en-GB"/>
        </w:rPr>
      </w:pPr>
      <w:r w:rsidRPr="00045FC1">
        <w:rPr>
          <w:rFonts w:ascii="Baskerville" w:eastAsia="Times New Roman" w:hAnsi="Baskerville" w:cs="Times New Roman"/>
          <w:color w:val="004FB3"/>
          <w:lang w:eastAsia="en-GB"/>
        </w:rPr>
        <w:t>A. It’s essentially a medical community standard.</w:t>
      </w:r>
    </w:p>
    <w:p w14:paraId="47F6F95A" w14:textId="77777777" w:rsidR="00045FC1" w:rsidRPr="00045FC1" w:rsidRDefault="00045FC1" w:rsidP="00045FC1">
      <w:pPr>
        <w:spacing w:before="100" w:beforeAutospacing="1" w:after="225"/>
        <w:rPr>
          <w:rFonts w:ascii="Baskerville" w:eastAsia="Times New Roman" w:hAnsi="Baskerville" w:cs="Times New Roman"/>
          <w:lang w:eastAsia="en-GB"/>
        </w:rPr>
      </w:pPr>
      <w:r w:rsidRPr="00045FC1">
        <w:rPr>
          <w:rFonts w:ascii="Baskerville" w:eastAsia="Times New Roman" w:hAnsi="Baskerville" w:cs="Times New Roman"/>
          <w:lang w:eastAsia="en-GB"/>
        </w:rPr>
        <w:t>{17} We determine that this testimony failed to meet Defendant’s burden of proof for medical malpractice. It did not establish a standard of medical practice recognized in the community for checking a patient. See </w:t>
      </w:r>
      <w:r w:rsidRPr="00045FC1">
        <w:rPr>
          <w:rFonts w:ascii="Baskerville" w:eastAsia="Times New Roman" w:hAnsi="Baskerville" w:cs="Times New Roman"/>
          <w:i/>
          <w:iCs/>
          <w:lang w:eastAsia="en-GB"/>
        </w:rPr>
        <w:t>Diaz, </w:t>
      </w:r>
      <w:r w:rsidRPr="00045FC1">
        <w:rPr>
          <w:rFonts w:ascii="Baskerville" w:eastAsia="Times New Roman" w:hAnsi="Baskerville" w:cs="Times New Roman"/>
          <w:lang w:eastAsia="en-GB"/>
        </w:rPr>
        <w:t>118 </w:t>
      </w:r>
      <w:r w:rsidRPr="00045FC1">
        <w:rPr>
          <w:rFonts w:ascii="Baskerville" w:eastAsia="Times New Roman" w:hAnsi="Baskerville" w:cs="Times New Roman"/>
          <w:i/>
          <w:iCs/>
          <w:lang w:eastAsia="en-GB"/>
        </w:rPr>
        <w:t>N.M. </w:t>
      </w:r>
      <w:r w:rsidRPr="00045FC1">
        <w:rPr>
          <w:rFonts w:ascii="Baskerville" w:eastAsia="Times New Roman" w:hAnsi="Baskerville" w:cs="Times New Roman"/>
          <w:lang w:eastAsia="en-GB"/>
        </w:rPr>
        <w:t>at 388, 881 P.2d at 748. Rather, the expert only opined that </w:t>
      </w:r>
      <w:r w:rsidRPr="00045FC1">
        <w:rPr>
          <w:rFonts w:ascii="Baskerville" w:eastAsia="Times New Roman" w:hAnsi="Baskerville" w:cs="Times New Roman"/>
          <w:i/>
          <w:iCs/>
          <w:lang w:eastAsia="en-GB"/>
        </w:rPr>
        <w:t>he </w:t>
      </w:r>
      <w:r w:rsidRPr="00045FC1">
        <w:rPr>
          <w:rFonts w:ascii="Baskerville" w:eastAsia="Times New Roman" w:hAnsi="Baskerville" w:cs="Times New Roman"/>
          <w:lang w:eastAsia="en-GB"/>
        </w:rPr>
        <w:t>would have significantly increased the frequency of monitoring. Similarly, the expert did not state that Memorial breached the professional standard of care. Finally, the testimony did not establish that Memorial’s failure to monitor more frequently proximately caused the patient’s death. </w:t>
      </w:r>
      <w:r w:rsidRPr="00045FC1">
        <w:rPr>
          <w:rFonts w:ascii="Baskerville" w:eastAsia="Times New Roman" w:hAnsi="Baskerville" w:cs="Times New Roman"/>
          <w:i/>
          <w:iCs/>
          <w:lang w:eastAsia="en-GB"/>
        </w:rPr>
        <w:t>See id. </w:t>
      </w:r>
      <w:r w:rsidRPr="00045FC1">
        <w:rPr>
          <w:rFonts w:ascii="Baskerville" w:eastAsia="Times New Roman" w:hAnsi="Baskerville" w:cs="Times New Roman"/>
          <w:lang w:eastAsia="en-GB"/>
        </w:rPr>
        <w:t>Consequently, Defendant’s reliance on Plaintiffs evidence did not support his special verdict form on comparative negligence.</w:t>
      </w:r>
    </w:p>
    <w:p w14:paraId="68C8D8DF" w14:textId="77777777" w:rsidR="00045FC1" w:rsidRPr="00045FC1" w:rsidRDefault="00045FC1" w:rsidP="00045FC1">
      <w:pPr>
        <w:spacing w:before="100" w:beforeAutospacing="1" w:after="225"/>
        <w:rPr>
          <w:rFonts w:ascii="Baskerville" w:eastAsia="Times New Roman" w:hAnsi="Baskerville" w:cs="Times New Roman"/>
          <w:lang w:eastAsia="en-GB"/>
        </w:rPr>
      </w:pPr>
      <w:r w:rsidRPr="00045FC1">
        <w:rPr>
          <w:rFonts w:ascii="Baskerville" w:eastAsia="Times New Roman" w:hAnsi="Baskerville" w:cs="Times New Roman"/>
          <w:lang w:eastAsia="en-GB"/>
        </w:rPr>
        <w:t>III. CONCLUSION</w:t>
      </w:r>
    </w:p>
    <w:p w14:paraId="7C34C16B" w14:textId="77777777" w:rsidR="00045FC1" w:rsidRPr="00045FC1" w:rsidRDefault="00045FC1" w:rsidP="00045FC1">
      <w:pPr>
        <w:spacing w:before="100" w:beforeAutospacing="1" w:after="225"/>
        <w:rPr>
          <w:rFonts w:ascii="Baskerville" w:eastAsia="Times New Roman" w:hAnsi="Baskerville" w:cs="Times New Roman"/>
          <w:lang w:eastAsia="en-GB"/>
        </w:rPr>
      </w:pPr>
      <w:r w:rsidRPr="00045FC1">
        <w:rPr>
          <w:rFonts w:ascii="Baskerville" w:eastAsia="Times New Roman" w:hAnsi="Baskerville" w:cs="Times New Roman"/>
          <w:lang w:eastAsia="en-GB"/>
        </w:rPr>
        <w:t xml:space="preserve">{18} </w:t>
      </w:r>
      <w:r w:rsidRPr="00045FC1">
        <w:rPr>
          <w:rFonts w:ascii="Baskerville" w:eastAsia="Times New Roman" w:hAnsi="Baskerville" w:cs="Times New Roman"/>
          <w:highlight w:val="red"/>
          <w:lang w:eastAsia="en-GB"/>
        </w:rPr>
        <w:t>We conclude that the trial court did not err in refusing to submit to the jury Defendant’s special verdict form on comparative negligence.</w:t>
      </w:r>
      <w:r w:rsidRPr="00045FC1">
        <w:rPr>
          <w:rFonts w:ascii="Baskerville" w:eastAsia="Times New Roman" w:hAnsi="Baskerville" w:cs="Times New Roman"/>
          <w:lang w:eastAsia="en-GB"/>
        </w:rPr>
        <w:t xml:space="preserve"> Defendant did not demonstrate Plaintiffs knowledge of his comparative negligence theory. Nor did sufficient evidence support this defense. We thus affirm the trial court’s judgment against Defendant. Plaintiffs cross-appeal raised an issue only if we were to reverse the trial court on the direct appeal. Because we are affirming on the direct appeal, however, we need not address the arguments raised in Plaintiffs cross-appeal. The parties shall bear their own costs on appeal.</w:t>
      </w:r>
    </w:p>
    <w:p w14:paraId="0EED20FB" w14:textId="77777777" w:rsidR="00045FC1" w:rsidRPr="00045FC1" w:rsidRDefault="00045FC1" w:rsidP="00045FC1">
      <w:pPr>
        <w:spacing w:before="100" w:beforeAutospacing="1" w:after="225"/>
        <w:rPr>
          <w:rFonts w:ascii="Baskerville" w:eastAsia="Times New Roman" w:hAnsi="Baskerville" w:cs="Times New Roman"/>
          <w:lang w:eastAsia="en-GB"/>
        </w:rPr>
      </w:pPr>
      <w:r w:rsidRPr="00045FC1">
        <w:rPr>
          <w:rFonts w:ascii="Baskerville" w:eastAsia="Times New Roman" w:hAnsi="Baskerville" w:cs="Times New Roman"/>
          <w:lang w:eastAsia="en-GB"/>
        </w:rPr>
        <w:t>{19} IT IS SO ORDERED.</w:t>
      </w:r>
    </w:p>
    <w:p w14:paraId="3A170172" w14:textId="77777777" w:rsidR="00045FC1" w:rsidRPr="00045FC1" w:rsidRDefault="00045FC1" w:rsidP="00045FC1">
      <w:pPr>
        <w:spacing w:before="100" w:beforeAutospacing="1" w:after="225"/>
        <w:rPr>
          <w:rFonts w:ascii="Baskerville" w:eastAsia="Times New Roman" w:hAnsi="Baskerville" w:cs="Times New Roman"/>
          <w:lang w:eastAsia="en-GB"/>
        </w:rPr>
      </w:pPr>
      <w:r w:rsidRPr="00045FC1">
        <w:rPr>
          <w:rFonts w:ascii="Baskerville" w:eastAsia="Times New Roman" w:hAnsi="Baskerville" w:cs="Times New Roman"/>
          <w:lang w:eastAsia="en-GB"/>
        </w:rPr>
        <w:t>DONNELLY and WECHSLER, JJ., concur.</w:t>
      </w:r>
    </w:p>
    <w:p w14:paraId="410E5996" w14:textId="3BA22B8A" w:rsidR="001F2998" w:rsidRDefault="003E52AC">
      <w:r>
        <w:t xml:space="preserve">Short summary: The defendant in this case tried to argue comparative negligence in a case of medical malpractice which led to the death of the patient. The Court established that the rules for comparative negligence in medical malpractice case are different than those </w:t>
      </w:r>
      <w:r w:rsidR="00D967FF">
        <w:t xml:space="preserve">in negligence cases and that the Defendant failed to meet them. </w:t>
      </w:r>
    </w:p>
    <w:p w14:paraId="576D1AD5" w14:textId="0FAB4515" w:rsidR="00D967FF" w:rsidRDefault="00D967FF"/>
    <w:p w14:paraId="3885F917" w14:textId="4E462B2D" w:rsidR="00D967FF" w:rsidRDefault="00D967FF">
      <w:r>
        <w:t>Restatement tagging: §3; §7(a)</w:t>
      </w:r>
    </w:p>
    <w:sectPr w:rsidR="00D967FF"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FC1"/>
    <w:rsid w:val="000139CE"/>
    <w:rsid w:val="00045FC1"/>
    <w:rsid w:val="001F2998"/>
    <w:rsid w:val="003E52AC"/>
    <w:rsid w:val="00C416CA"/>
    <w:rsid w:val="00D967FF"/>
    <w:rsid w:val="00DD33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46384"/>
  <w15:chartTrackingRefBased/>
  <w15:docId w15:val="{2209D45D-23FD-9343-9BE9-C5BE2D819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5FC1"/>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FC1"/>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045FC1"/>
  </w:style>
  <w:style w:type="character" w:customStyle="1" w:styleId="court-name">
    <w:name w:val="court-name"/>
    <w:basedOn w:val="DefaultParagraphFont"/>
    <w:rsid w:val="00045FC1"/>
  </w:style>
  <w:style w:type="character" w:customStyle="1" w:styleId="docket-number">
    <w:name w:val="docket-number"/>
    <w:basedOn w:val="DefaultParagraphFont"/>
    <w:rsid w:val="00045FC1"/>
  </w:style>
  <w:style w:type="character" w:customStyle="1" w:styleId="case-name-v">
    <w:name w:val="case-name-v"/>
    <w:basedOn w:val="DefaultParagraphFont"/>
    <w:rsid w:val="00045FC1"/>
  </w:style>
  <w:style w:type="paragraph" w:customStyle="1" w:styleId="citation">
    <w:name w:val="citation"/>
    <w:basedOn w:val="Normal"/>
    <w:rsid w:val="00045FC1"/>
    <w:pPr>
      <w:spacing w:before="100" w:beforeAutospacing="1" w:after="100" w:afterAutospacing="1"/>
    </w:pPr>
    <w:rPr>
      <w:rFonts w:ascii="Times New Roman" w:eastAsia="Times New Roman" w:hAnsi="Times New Roman" w:cs="Times New Roman"/>
      <w:lang w:eastAsia="en-GB"/>
    </w:rPr>
  </w:style>
  <w:style w:type="paragraph" w:customStyle="1" w:styleId="court">
    <w:name w:val="court"/>
    <w:basedOn w:val="Normal"/>
    <w:rsid w:val="00045FC1"/>
    <w:pPr>
      <w:spacing w:before="100" w:beforeAutospacing="1" w:after="100" w:afterAutospacing="1"/>
    </w:pPr>
    <w:rPr>
      <w:rFonts w:ascii="Times New Roman" w:eastAsia="Times New Roman" w:hAnsi="Times New Roman" w:cs="Times New Roman"/>
      <w:lang w:eastAsia="en-GB"/>
    </w:rPr>
  </w:style>
  <w:style w:type="paragraph" w:customStyle="1" w:styleId="attorneys">
    <w:name w:val="attorneys"/>
    <w:basedOn w:val="Normal"/>
    <w:rsid w:val="00045FC1"/>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045FC1"/>
    <w:rPr>
      <w:color w:val="0000FF"/>
      <w:u w:val="single"/>
    </w:rPr>
  </w:style>
  <w:style w:type="paragraph" w:styleId="NormalWeb">
    <w:name w:val="Normal (Web)"/>
    <w:basedOn w:val="Normal"/>
    <w:uiPriority w:val="99"/>
    <w:semiHidden/>
    <w:unhideWhenUsed/>
    <w:rsid w:val="00045FC1"/>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045FC1"/>
    <w:rPr>
      <w:i/>
      <w:iCs/>
    </w:rPr>
  </w:style>
  <w:style w:type="paragraph" w:customStyle="1" w:styleId="author">
    <w:name w:val="author"/>
    <w:basedOn w:val="Normal"/>
    <w:rsid w:val="00045FC1"/>
    <w:pPr>
      <w:spacing w:before="100" w:beforeAutospacing="1" w:after="100" w:afterAutospacing="1"/>
    </w:pPr>
    <w:rPr>
      <w:rFonts w:ascii="Times New Roman" w:eastAsia="Times New Roman" w:hAnsi="Times New Roman" w:cs="Times New Roman"/>
      <w:lang w:eastAsia="en-GB"/>
    </w:rPr>
  </w:style>
  <w:style w:type="paragraph" w:customStyle="1" w:styleId="judges">
    <w:name w:val="judges"/>
    <w:basedOn w:val="Normal"/>
    <w:rsid w:val="00045FC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6284240">
      <w:bodyDiv w:val="1"/>
      <w:marLeft w:val="0"/>
      <w:marRight w:val="0"/>
      <w:marTop w:val="0"/>
      <w:marBottom w:val="0"/>
      <w:divBdr>
        <w:top w:val="none" w:sz="0" w:space="0" w:color="auto"/>
        <w:left w:val="none" w:sz="0" w:space="0" w:color="auto"/>
        <w:bottom w:val="none" w:sz="0" w:space="0" w:color="auto"/>
        <w:right w:val="none" w:sz="0" w:space="0" w:color="auto"/>
      </w:divBdr>
      <w:divsChild>
        <w:div w:id="600188677">
          <w:marLeft w:val="0"/>
          <w:marRight w:val="0"/>
          <w:marTop w:val="0"/>
          <w:marBottom w:val="0"/>
          <w:divBdr>
            <w:top w:val="none" w:sz="0" w:space="0" w:color="auto"/>
            <w:left w:val="none" w:sz="0" w:space="0" w:color="auto"/>
            <w:bottom w:val="none" w:sz="0" w:space="0" w:color="auto"/>
            <w:right w:val="none" w:sz="0" w:space="0" w:color="auto"/>
          </w:divBdr>
        </w:div>
        <w:div w:id="1956910098">
          <w:marLeft w:val="0"/>
          <w:marRight w:val="0"/>
          <w:marTop w:val="0"/>
          <w:marBottom w:val="0"/>
          <w:divBdr>
            <w:top w:val="none" w:sz="0" w:space="0" w:color="auto"/>
            <w:left w:val="none" w:sz="0" w:space="0" w:color="auto"/>
            <w:bottom w:val="none" w:sz="0" w:space="0" w:color="auto"/>
            <w:right w:val="none" w:sz="0" w:space="0" w:color="auto"/>
          </w:divBdr>
        </w:div>
        <w:div w:id="1302425510">
          <w:marLeft w:val="0"/>
          <w:marRight w:val="0"/>
          <w:marTop w:val="0"/>
          <w:marBottom w:val="0"/>
          <w:divBdr>
            <w:top w:val="none" w:sz="0" w:space="0" w:color="auto"/>
            <w:left w:val="none" w:sz="0" w:space="0" w:color="auto"/>
            <w:bottom w:val="none" w:sz="0" w:space="0" w:color="auto"/>
            <w:right w:val="none" w:sz="0" w:space="0" w:color="auto"/>
          </w:divBdr>
          <w:divsChild>
            <w:div w:id="332413101">
              <w:marLeft w:val="1453"/>
              <w:marRight w:val="0"/>
              <w:marTop w:val="0"/>
              <w:marBottom w:val="0"/>
              <w:divBdr>
                <w:top w:val="none" w:sz="0" w:space="0" w:color="auto"/>
                <w:left w:val="none" w:sz="0" w:space="0" w:color="auto"/>
                <w:bottom w:val="none" w:sz="0" w:space="0" w:color="auto"/>
                <w:right w:val="none" w:sz="0" w:space="0" w:color="auto"/>
              </w:divBdr>
            </w:div>
          </w:divsChild>
        </w:div>
        <w:div w:id="1754431344">
          <w:blockQuote w:val="1"/>
          <w:marLeft w:val="720"/>
          <w:marRight w:val="720"/>
          <w:marTop w:val="100"/>
          <w:marBottom w:val="100"/>
          <w:divBdr>
            <w:top w:val="none" w:sz="0" w:space="0" w:color="auto"/>
            <w:left w:val="none" w:sz="0" w:space="0" w:color="auto"/>
            <w:bottom w:val="none" w:sz="0" w:space="0" w:color="auto"/>
            <w:right w:val="none" w:sz="0" w:space="0" w:color="auto"/>
          </w:divBdr>
        </w:div>
        <w:div w:id="620455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363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177303">
          <w:blockQuote w:val="1"/>
          <w:marLeft w:val="720"/>
          <w:marRight w:val="720"/>
          <w:marTop w:val="100"/>
          <w:marBottom w:val="100"/>
          <w:divBdr>
            <w:top w:val="none" w:sz="0" w:space="0" w:color="auto"/>
            <w:left w:val="none" w:sz="0" w:space="0" w:color="auto"/>
            <w:bottom w:val="none" w:sz="0" w:space="0" w:color="auto"/>
            <w:right w:val="none" w:sz="0" w:space="0" w:color="auto"/>
          </w:divBdr>
        </w:div>
        <w:div w:id="7076831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502702">
          <w:blockQuote w:val="1"/>
          <w:marLeft w:val="720"/>
          <w:marRight w:val="720"/>
          <w:marTop w:val="100"/>
          <w:marBottom w:val="100"/>
          <w:divBdr>
            <w:top w:val="none" w:sz="0" w:space="0" w:color="auto"/>
            <w:left w:val="none" w:sz="0" w:space="0" w:color="auto"/>
            <w:bottom w:val="none" w:sz="0" w:space="0" w:color="auto"/>
            <w:right w:val="none" w:sz="0" w:space="0" w:color="auto"/>
          </w:divBdr>
        </w:div>
        <w:div w:id="796146613">
          <w:blockQuote w:val="1"/>
          <w:marLeft w:val="720"/>
          <w:marRight w:val="720"/>
          <w:marTop w:val="100"/>
          <w:marBottom w:val="100"/>
          <w:divBdr>
            <w:top w:val="none" w:sz="0" w:space="0" w:color="auto"/>
            <w:left w:val="none" w:sz="0" w:space="0" w:color="auto"/>
            <w:bottom w:val="none" w:sz="0" w:space="0" w:color="auto"/>
            <w:right w:val="none" w:sz="0" w:space="0" w:color="auto"/>
          </w:divBdr>
        </w:div>
        <w:div w:id="725253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118/385/" TargetMode="External"/><Relationship Id="rId13" Type="http://schemas.openxmlformats.org/officeDocument/2006/relationships/hyperlink" Target="https://cite.case.law/mont/267/237/" TargetMode="External"/><Relationship Id="rId18" Type="http://schemas.openxmlformats.org/officeDocument/2006/relationships/hyperlink" Target="https://cite.case.law/nm/76/697/"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cite.case.law/nm/119/350/" TargetMode="External"/><Relationship Id="rId12" Type="http://schemas.openxmlformats.org/officeDocument/2006/relationships/hyperlink" Target="https://cite.case.law/nm/121/507/" TargetMode="External"/><Relationship Id="rId17" Type="http://schemas.openxmlformats.org/officeDocument/2006/relationships/hyperlink" Target="https://cite.case.law/nm/122/543/" TargetMode="External"/><Relationship Id="rId2" Type="http://schemas.openxmlformats.org/officeDocument/2006/relationships/settings" Target="settings.xml"/><Relationship Id="rId16" Type="http://schemas.openxmlformats.org/officeDocument/2006/relationships/hyperlink" Target="https://cite.case.law/nm/120/751/"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ite.case.law/nm/123/727/" TargetMode="External"/><Relationship Id="rId11" Type="http://schemas.openxmlformats.org/officeDocument/2006/relationships/hyperlink" Target="https://cite.case.law/nm/121/514/" TargetMode="External"/><Relationship Id="rId5" Type="http://schemas.openxmlformats.org/officeDocument/2006/relationships/hyperlink" Target="https://cite.case.law/nm/106/492/" TargetMode="External"/><Relationship Id="rId15" Type="http://schemas.openxmlformats.org/officeDocument/2006/relationships/hyperlink" Target="https://cite.case.law/nm/96/682/" TargetMode="External"/><Relationship Id="rId10" Type="http://schemas.openxmlformats.org/officeDocument/2006/relationships/hyperlink" Target="https://cite.case.law/nh/127/155/" TargetMode="External"/><Relationship Id="rId19" Type="http://schemas.openxmlformats.org/officeDocument/2006/relationships/hyperlink" Target="https://cite.case.law/nm/126/84/" TargetMode="External"/><Relationship Id="rId4" Type="http://schemas.openxmlformats.org/officeDocument/2006/relationships/hyperlink" Target="https://cite.case.law/nm/126/84/" TargetMode="External"/><Relationship Id="rId9" Type="http://schemas.openxmlformats.org/officeDocument/2006/relationships/hyperlink" Target="https://cite.case.law/nm/114/2/" TargetMode="External"/><Relationship Id="rId14" Type="http://schemas.openxmlformats.org/officeDocument/2006/relationships/hyperlink" Target="https://cite.case.law/nm/98/1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2261</Words>
  <Characters>12894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2024-09-17T13:12:00Z</dcterms:created>
  <dcterms:modified xsi:type="dcterms:W3CDTF">2024-09-17T13:12:00Z</dcterms:modified>
</cp:coreProperties>
</file>