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DEABB" w14:textId="77777777" w:rsidR="00EA194D" w:rsidRPr="00EA194D" w:rsidRDefault="00EA194D" w:rsidP="00EA194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A194D">
        <w:rPr>
          <w:rFonts w:ascii="Times New Roman" w:eastAsia="Times New Roman" w:hAnsi="Times New Roman" w:cs="Times New Roman"/>
          <w:b/>
          <w:bCs/>
          <w:color w:val="2F2F2F"/>
          <w:spacing w:val="3"/>
          <w:kern w:val="36"/>
          <w:sz w:val="35"/>
          <w:szCs w:val="35"/>
          <w:lang w:eastAsia="en-GB"/>
        </w:rPr>
        <w:t>Valdez v. Cillessen &amp; Son, Inc., 105 N.M. 575, 734 P.2d 1258 (1987)</w:t>
      </w:r>
    </w:p>
    <w:p w14:paraId="443DEABC" w14:textId="77777777" w:rsidR="00EA194D" w:rsidRPr="00EA194D" w:rsidRDefault="00EA194D" w:rsidP="00EA194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A194D">
        <w:rPr>
          <w:rFonts w:ascii="Times New Roman" w:eastAsia="Times New Roman" w:hAnsi="Times New Roman" w:cs="Times New Roman"/>
          <w:color w:val="2F2F2F"/>
          <w:spacing w:val="3"/>
          <w:sz w:val="27"/>
          <w:szCs w:val="27"/>
          <w:lang w:eastAsia="en-GB"/>
        </w:rPr>
        <w:t>Feb. 25, 1987 · Supreme Court of New Mexico · No. 16617</w:t>
      </w:r>
    </w:p>
    <w:p w14:paraId="443DEABD" w14:textId="77777777" w:rsidR="00EA194D" w:rsidRPr="00EA194D" w:rsidRDefault="00EA194D" w:rsidP="00EA194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A194D">
        <w:rPr>
          <w:rFonts w:ascii="Times New Roman" w:eastAsia="Times New Roman" w:hAnsi="Times New Roman" w:cs="Times New Roman"/>
          <w:color w:val="2F2F2F"/>
          <w:spacing w:val="3"/>
          <w:sz w:val="27"/>
          <w:szCs w:val="27"/>
          <w:lang w:eastAsia="en-GB"/>
        </w:rPr>
        <w:t>105 N.M. 575, 734 P.2d 1258</w:t>
      </w:r>
    </w:p>
    <w:p w14:paraId="443DEABE" w14:textId="77777777" w:rsidR="00EA194D" w:rsidRPr="00EA194D" w:rsidRDefault="00EA194D" w:rsidP="00EA194D">
      <w:pPr>
        <w:shd w:val="clear" w:color="auto" w:fill="FFFFFF"/>
        <w:spacing w:after="0" w:line="240" w:lineRule="auto"/>
        <w:rPr>
          <w:rFonts w:ascii="Georgia" w:eastAsia="Times New Roman" w:hAnsi="Georgia" w:cs="Arial"/>
          <w:color w:val="2F2F2F"/>
          <w:spacing w:val="3"/>
          <w:sz w:val="30"/>
          <w:szCs w:val="30"/>
          <w:lang w:eastAsia="en-GB"/>
        </w:rPr>
      </w:pPr>
      <w:r w:rsidRPr="00EA194D">
        <w:rPr>
          <w:rFonts w:ascii="Georgia" w:eastAsia="Times New Roman" w:hAnsi="Georgia" w:cs="Arial"/>
          <w:color w:val="2F2F2F"/>
          <w:spacing w:val="3"/>
          <w:sz w:val="30"/>
          <w:szCs w:val="30"/>
          <w:lang w:eastAsia="en-GB"/>
        </w:rPr>
        <w:t>Archie VALDEZ, Plaintiff-Appellant,</w:t>
      </w:r>
      <w:r w:rsidRPr="00EA194D">
        <w:rPr>
          <w:rFonts w:ascii="Georgia" w:eastAsia="Times New Roman" w:hAnsi="Georgia" w:cs="Arial"/>
          <w:i/>
          <w:iCs/>
          <w:color w:val="2F2F2F"/>
          <w:spacing w:val="3"/>
          <w:sz w:val="30"/>
          <w:szCs w:val="30"/>
          <w:lang w:eastAsia="en-GB"/>
        </w:rPr>
        <w:t>v.</w:t>
      </w:r>
      <w:r w:rsidRPr="00EA194D">
        <w:rPr>
          <w:rFonts w:ascii="Georgia" w:eastAsia="Times New Roman" w:hAnsi="Georgia" w:cs="Arial"/>
          <w:color w:val="2F2F2F"/>
          <w:spacing w:val="3"/>
          <w:sz w:val="30"/>
          <w:szCs w:val="30"/>
          <w:lang w:eastAsia="en-GB"/>
        </w:rPr>
        <w:t>CILLESSEN &amp; SON, INC., a New Mexico corporation, Defendant-Appellee</w:t>
      </w:r>
    </w:p>
    <w:p w14:paraId="443DEABF" w14:textId="77777777" w:rsidR="00EA194D" w:rsidRPr="00EA194D" w:rsidRDefault="00EA194D" w:rsidP="00EA194D">
      <w:pPr>
        <w:spacing w:before="100" w:beforeAutospacing="1" w:after="100" w:afterAutospacing="1"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734 P.2d 1258</w:t>
      </w:r>
    </w:p>
    <w:p w14:paraId="443DEAC0" w14:textId="77777777" w:rsidR="00EA194D" w:rsidRPr="00EA194D" w:rsidRDefault="00EA194D" w:rsidP="00EA194D">
      <w:pPr>
        <w:spacing w:before="100" w:beforeAutospacing="1" w:after="100" w:afterAutospacing="1"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Supreme Court of New Mexico.</w:t>
      </w:r>
    </w:p>
    <w:p w14:paraId="443DEAC1" w14:textId="77777777" w:rsidR="00EA194D" w:rsidRPr="00EA194D" w:rsidRDefault="00EA194D" w:rsidP="00EA194D">
      <w:pPr>
        <w:spacing w:before="100" w:beforeAutospacing="1" w:after="100" w:afterAutospacing="1"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Rehearing Denied April 10, 1987.</w:t>
      </w:r>
    </w:p>
    <w:p w14:paraId="443DEAC2" w14:textId="651D32AC" w:rsidR="00EA194D" w:rsidRPr="00EA194D" w:rsidRDefault="00EA194D" w:rsidP="00EA194D">
      <w:pPr>
        <w:shd w:val="clear" w:color="auto" w:fill="F7F7F9"/>
        <w:spacing w:before="100" w:beforeAutospacing="1" w:after="0" w:line="240" w:lineRule="auto"/>
        <w:rPr>
          <w:rFonts w:ascii="Georgia" w:eastAsia="Times New Roman" w:hAnsi="Georgia" w:cs="Times New Roman"/>
          <w:sz w:val="24"/>
          <w:szCs w:val="24"/>
          <w:lang w:eastAsia="en-GB"/>
        </w:rPr>
      </w:pPr>
      <w:r w:rsidRPr="00EA194D">
        <w:rPr>
          <w:rFonts w:ascii="Georgia" w:eastAsia="Times New Roman" w:hAnsi="Georgia" w:cs="Times New Roman"/>
          <w:i/>
          <w:iCs/>
          <w:color w:val="979797"/>
          <w:sz w:val="19"/>
          <w:szCs w:val="19"/>
          <w:lang w:eastAsia="en-GB"/>
        </w:rPr>
        <w:t>*576</w:t>
      </w:r>
      <w:r w:rsidRPr="00EA194D">
        <w:rPr>
          <w:rFonts w:ascii="Georgia" w:eastAsia="Times New Roman" w:hAnsi="Georgia" w:cs="Times New Roman"/>
          <w:sz w:val="24"/>
          <w:szCs w:val="24"/>
          <w:lang w:eastAsia="en-GB"/>
        </w:rPr>
        <w:t>Simon and Oppenheimer, Morton Simon, Melinda J. Silver, Santa Fe, for plaintiff-appellant.</w:t>
      </w:r>
    </w:p>
    <w:p w14:paraId="443DEAC3" w14:textId="77777777" w:rsidR="00EA194D" w:rsidRPr="00EA194D" w:rsidRDefault="00EA194D" w:rsidP="00EA194D">
      <w:pPr>
        <w:shd w:val="clear" w:color="auto" w:fill="F7F7F9"/>
        <w:spacing w:after="0"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Donald D. Montoya, Montoya, Murphy, Kauffman &amp; Garcia, Santa Fe, for defendant-appellee.</w:t>
      </w:r>
    </w:p>
    <w:p w14:paraId="443DEAC4"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OPINION</w:t>
      </w:r>
    </w:p>
    <w:p w14:paraId="443DEAC5" w14:textId="77777777" w:rsidR="00EA194D" w:rsidRPr="00EA194D" w:rsidRDefault="00EA194D" w:rsidP="00EA194D">
      <w:pPr>
        <w:spacing w:before="100" w:beforeAutospacing="1" w:after="225" w:line="240" w:lineRule="auto"/>
        <w:rPr>
          <w:rFonts w:ascii="Georgia" w:eastAsia="Times New Roman" w:hAnsi="Georgia" w:cs="Times New Roman"/>
          <w:color w:val="E878FF"/>
          <w:sz w:val="24"/>
          <w:szCs w:val="24"/>
          <w:lang w:eastAsia="en-GB"/>
        </w:rPr>
      </w:pPr>
      <w:r w:rsidRPr="00EA194D">
        <w:rPr>
          <w:rFonts w:ascii="Georgia" w:eastAsia="Times New Roman" w:hAnsi="Georgia" w:cs="Times New Roman"/>
          <w:color w:val="E878FF"/>
          <w:sz w:val="24"/>
          <w:szCs w:val="24"/>
          <w:lang w:eastAsia="en-GB"/>
        </w:rPr>
        <w:t>WALTERS, Justice.</w:t>
      </w:r>
    </w:p>
    <w:p w14:paraId="443DEAC6"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A5395A">
        <w:rPr>
          <w:rFonts w:ascii="Georgia" w:eastAsia="Times New Roman" w:hAnsi="Georgia" w:cs="Times New Roman"/>
          <w:sz w:val="24"/>
          <w:szCs w:val="24"/>
          <w:highlight w:val="magenta"/>
          <w:lang w:eastAsia="en-GB"/>
        </w:rPr>
        <w:t>This case was certified to us on interlocutory appeal to determine the propriety of summary judgments granted in favor of defendant on certain of plaintiff’s claimed causes of action, and the denial of summary judgment on a remaining count. Both parties appeal.</w:t>
      </w:r>
      <w:r w:rsidRPr="00EA194D">
        <w:rPr>
          <w:rFonts w:ascii="Georgia" w:eastAsia="Times New Roman" w:hAnsi="Georgia" w:cs="Times New Roman"/>
          <w:sz w:val="24"/>
          <w:szCs w:val="24"/>
          <w:lang w:eastAsia="en-GB"/>
        </w:rPr>
        <w:t xml:space="preserve"> </w:t>
      </w:r>
      <w:r w:rsidRPr="00A5395A">
        <w:rPr>
          <w:rFonts w:ascii="Georgia" w:eastAsia="Times New Roman" w:hAnsi="Georgia" w:cs="Times New Roman"/>
          <w:sz w:val="24"/>
          <w:szCs w:val="24"/>
          <w:highlight w:val="red"/>
          <w:lang w:eastAsia="en-GB"/>
        </w:rPr>
        <w:t>We affirm in part and reverse in part.</w:t>
      </w:r>
    </w:p>
    <w:p w14:paraId="443DEAC7"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i/>
          <w:iCs/>
          <w:sz w:val="24"/>
          <w:szCs w:val="24"/>
          <w:lang w:eastAsia="en-GB"/>
        </w:rPr>
        <w:t>Facts</w:t>
      </w:r>
    </w:p>
    <w:p w14:paraId="443DEAC8"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A5395A">
        <w:rPr>
          <w:rFonts w:ascii="Georgia" w:eastAsia="Times New Roman" w:hAnsi="Georgia" w:cs="Times New Roman"/>
          <w:sz w:val="24"/>
          <w:szCs w:val="24"/>
          <w:highlight w:val="yellow"/>
          <w:lang w:eastAsia="en-GB"/>
        </w:rPr>
        <w:t>Defendant Cillessen and Son, Inc. contracted with the Indian Housing Authority to construct housing at Picuris Pueblo, Cillessen subcontracting the lathing and plastering work to All State Lathing and Plastering. All State hired plaintiff Archie Valdez as a lather and plasterer, and on May 2, 1984, a lean-to scaffolding, which was owned and had been erected by All State, collapsed beneath Valdez and he was injured. All State did not carry workmen’s compensation insurance.</w:t>
      </w:r>
      <w:r w:rsidRPr="00EA194D">
        <w:rPr>
          <w:rFonts w:ascii="Georgia" w:eastAsia="Times New Roman" w:hAnsi="Georgia" w:cs="Times New Roman"/>
          <w:sz w:val="24"/>
          <w:szCs w:val="24"/>
          <w:lang w:eastAsia="en-GB"/>
        </w:rPr>
        <w:t xml:space="preserve"> After </w:t>
      </w:r>
      <w:r w:rsidRPr="00A5395A">
        <w:rPr>
          <w:rFonts w:ascii="Georgia" w:eastAsia="Times New Roman" w:hAnsi="Georgia" w:cs="Times New Roman"/>
          <w:sz w:val="24"/>
          <w:szCs w:val="24"/>
          <w:highlight w:val="yellow"/>
          <w:lang w:eastAsia="en-GB"/>
        </w:rPr>
        <w:t>All State had filed a petition in bankruptcy</w:t>
      </w:r>
      <w:r w:rsidRPr="00EA194D">
        <w:rPr>
          <w:rFonts w:ascii="Georgia" w:eastAsia="Times New Roman" w:hAnsi="Georgia" w:cs="Times New Roman"/>
          <w:sz w:val="24"/>
          <w:szCs w:val="24"/>
          <w:lang w:eastAsia="en-GB"/>
        </w:rPr>
        <w:t xml:space="preserve">, </w:t>
      </w:r>
      <w:r w:rsidRPr="00A5395A">
        <w:rPr>
          <w:rFonts w:ascii="Georgia" w:eastAsia="Times New Roman" w:hAnsi="Georgia" w:cs="Times New Roman"/>
          <w:sz w:val="24"/>
          <w:szCs w:val="24"/>
          <w:highlight w:val="magenta"/>
          <w:lang w:eastAsia="en-GB"/>
        </w:rPr>
        <w:t>Valdez amended his complaint against Cillessen and other defendants to name only Cillessen as defendant</w:t>
      </w:r>
      <w:r w:rsidRPr="00EA194D">
        <w:rPr>
          <w:rFonts w:ascii="Georgia" w:eastAsia="Times New Roman" w:hAnsi="Georgia" w:cs="Times New Roman"/>
          <w:sz w:val="24"/>
          <w:szCs w:val="24"/>
          <w:lang w:eastAsia="en-GB"/>
        </w:rPr>
        <w:t>, and alleged the following six counts:</w:t>
      </w:r>
    </w:p>
    <w:p w14:paraId="443DEAC9"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81315C">
        <w:rPr>
          <w:rFonts w:ascii="Georgia" w:eastAsia="Times New Roman" w:hAnsi="Georgia" w:cs="Times New Roman"/>
          <w:color w:val="004FB3"/>
          <w:sz w:val="24"/>
          <w:szCs w:val="24"/>
          <w:highlight w:val="magenta"/>
          <w:lang w:eastAsia="en-GB"/>
        </w:rPr>
        <w:t>Count I: Alleges that Cillessen, as the general contractor, knew or should have known of dangerous construction of the scaffolding, and failed to warn plaintiff or to take any other steps to prevent exposure to danger and is, therefore, liable in compensatory and punitive damages.</w:t>
      </w:r>
    </w:p>
    <w:p w14:paraId="443DEACA"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81315C">
        <w:rPr>
          <w:rFonts w:ascii="Georgia" w:eastAsia="Times New Roman" w:hAnsi="Georgia" w:cs="Times New Roman"/>
          <w:color w:val="004FB3"/>
          <w:sz w:val="24"/>
          <w:szCs w:val="24"/>
          <w:highlight w:val="magenta"/>
          <w:lang w:eastAsia="en-GB"/>
        </w:rPr>
        <w:t>Count II: Alleges that Cillessen was negligent per se, predicating the claim on Cillessen’s alleged violation of state and federal regulations concerning the type of scaffolding that should have been used, and claims compensatory and punitive damages for Cillessen’s gross negligence.</w:t>
      </w:r>
    </w:p>
    <w:p w14:paraId="443DEACB"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lastRenderedPageBreak/>
        <w:t>Count III: Alleging that Cillessen retained the right of control over All State, plaintiff claims All State was Cillessen’s agent and, therefore, is vicariously liable in compensatory and punitive damages. Count IV: Asserts that Cillessen negligently hired All State, and is liable for compensatory and punitive damages. Count V: Alleges that Valdez was a third party beneficiary of the contract between Cillessen and Indian Housing Authority requiring workmen’s compensation coverage, and Cillessen breached the contract.</w:t>
      </w:r>
    </w:p>
    <w:p w14:paraId="443DEACC"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Count VI: Alleges that Valdez was a third party beneficiary of the contract between Cillessen and All State requiring workmen’s compensation coverage, and Cillessen breached the contract.</w:t>
      </w:r>
    </w:p>
    <w:p w14:paraId="443DEACD" w14:textId="77777777" w:rsidR="00EA194D" w:rsidRPr="00EA194D" w:rsidRDefault="000D32E7" w:rsidP="00EA194D">
      <w:pPr>
        <w:spacing w:before="100" w:beforeAutospacing="1" w:after="225" w:line="240" w:lineRule="auto"/>
        <w:rPr>
          <w:rFonts w:ascii="Georgia" w:eastAsia="Times New Roman" w:hAnsi="Georgia" w:cs="Times New Roman"/>
          <w:sz w:val="24"/>
          <w:szCs w:val="24"/>
          <w:lang w:eastAsia="en-GB"/>
        </w:rPr>
      </w:pPr>
      <w:hyperlink r:id="rId4" w:anchor="p577" w:history="1">
        <w:r w:rsidR="00EA194D" w:rsidRPr="00A5395A">
          <w:rPr>
            <w:rFonts w:ascii="Georgia" w:eastAsia="Times New Roman" w:hAnsi="Georgia" w:cs="Times New Roman"/>
            <w:i/>
            <w:iCs/>
            <w:color w:val="979797"/>
            <w:sz w:val="19"/>
            <w:szCs w:val="19"/>
            <w:highlight w:val="magenta"/>
            <w:lang w:eastAsia="en-GB"/>
          </w:rPr>
          <w:t>*577</w:t>
        </w:r>
      </w:hyperlink>
      <w:r w:rsidR="00EA194D" w:rsidRPr="00A5395A">
        <w:rPr>
          <w:rFonts w:ascii="Georgia" w:eastAsia="Times New Roman" w:hAnsi="Georgia" w:cs="Times New Roman"/>
          <w:sz w:val="24"/>
          <w:szCs w:val="24"/>
          <w:highlight w:val="magenta"/>
          <w:lang w:eastAsia="en-GB"/>
        </w:rPr>
        <w:t xml:space="preserve">The trial court granted defendant’s motion for summary </w:t>
      </w:r>
      <w:r w:rsidR="00EA194D" w:rsidRPr="0081315C">
        <w:rPr>
          <w:rFonts w:ascii="Georgia" w:eastAsia="Times New Roman" w:hAnsi="Georgia" w:cs="Times New Roman"/>
          <w:sz w:val="24"/>
          <w:szCs w:val="24"/>
          <w:highlight w:val="magenta"/>
          <w:lang w:eastAsia="en-GB"/>
        </w:rPr>
        <w:t>judgment on Counts II</w:t>
      </w:r>
      <w:r w:rsidR="00EA194D" w:rsidRPr="00EA194D">
        <w:rPr>
          <w:rFonts w:ascii="Georgia" w:eastAsia="Times New Roman" w:hAnsi="Georgia" w:cs="Times New Roman"/>
          <w:sz w:val="24"/>
          <w:szCs w:val="24"/>
          <w:lang w:eastAsia="en-GB"/>
        </w:rPr>
        <w:t xml:space="preserve">-VI </w:t>
      </w:r>
      <w:r w:rsidR="00EA194D" w:rsidRPr="0081315C">
        <w:rPr>
          <w:rFonts w:ascii="Georgia" w:eastAsia="Times New Roman" w:hAnsi="Georgia" w:cs="Times New Roman"/>
          <w:sz w:val="24"/>
          <w:szCs w:val="24"/>
          <w:highlight w:val="magenta"/>
          <w:lang w:eastAsia="en-GB"/>
        </w:rPr>
        <w:t>and on the issue of punitive damages in Count I.</w:t>
      </w:r>
      <w:r w:rsidR="00EA194D" w:rsidRPr="00EA194D">
        <w:rPr>
          <w:rFonts w:ascii="Georgia" w:eastAsia="Times New Roman" w:hAnsi="Georgia" w:cs="Times New Roman"/>
          <w:sz w:val="24"/>
          <w:szCs w:val="24"/>
          <w:lang w:eastAsia="en-GB"/>
        </w:rPr>
        <w:t xml:space="preserve"> </w:t>
      </w:r>
      <w:r w:rsidR="00EA194D" w:rsidRPr="00A5395A">
        <w:rPr>
          <w:rFonts w:ascii="Georgia" w:eastAsia="Times New Roman" w:hAnsi="Georgia" w:cs="Times New Roman"/>
          <w:sz w:val="24"/>
          <w:szCs w:val="24"/>
          <w:highlight w:val="magenta"/>
          <w:lang w:eastAsia="en-GB"/>
        </w:rPr>
        <w:t>These judgments were certified for interlocutory appeal. Accordingly, Valdez appeals the summary judgments granted, and Cillessen cross-appeals denial of the summary judgment on the remainder of Count I.</w:t>
      </w:r>
    </w:p>
    <w:p w14:paraId="443DEACE"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w:t>
      </w:r>
    </w:p>
    <w:p w14:paraId="443DEACF"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With respect to Count II, Valdez contends that genuine issues of fact and law exist regarding violations of OSHA regulations. He argues that the alleged violations constitute negligence per se; therefore, it was error for the trial court to grant summary judgment on Count II of the complaint.</w:t>
      </w:r>
    </w:p>
    <w:p w14:paraId="443DEAD0" w14:textId="75E26ADC"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Citing </w:t>
      </w:r>
      <w:r w:rsidRPr="00A5395A">
        <w:rPr>
          <w:rFonts w:ascii="Georgia" w:eastAsia="Times New Roman" w:hAnsi="Georgia" w:cs="Times New Roman"/>
          <w:i/>
          <w:iCs/>
          <w:sz w:val="24"/>
          <w:szCs w:val="24"/>
          <w:highlight w:val="cyan"/>
          <w:lang w:eastAsia="en-GB"/>
        </w:rPr>
        <w:t>Archibeque v. Homrich, </w:t>
      </w:r>
      <w:r w:rsidRPr="00A5395A">
        <w:rPr>
          <w:rFonts w:ascii="Georgia" w:eastAsia="Times New Roman" w:hAnsi="Georgia" w:cs="Times New Roman"/>
          <w:color w:val="007BFF"/>
          <w:sz w:val="24"/>
          <w:szCs w:val="24"/>
          <w:highlight w:val="cyan"/>
          <w:lang w:eastAsia="en-GB"/>
        </w:rPr>
        <w:t>88 N.M. 527</w:t>
      </w:r>
      <w:r w:rsidRPr="00A5395A">
        <w:rPr>
          <w:rFonts w:ascii="Georgia" w:eastAsia="Times New Roman" w:hAnsi="Georgia" w:cs="Times New Roman"/>
          <w:sz w:val="24"/>
          <w:szCs w:val="24"/>
          <w:highlight w:val="cyan"/>
          <w:lang w:eastAsia="en-GB"/>
        </w:rPr>
        <w:t>, </w:t>
      </w:r>
      <w:hyperlink r:id="rId5" w:history="1">
        <w:r w:rsidRPr="00A5395A">
          <w:rPr>
            <w:rFonts w:ascii="Georgia" w:eastAsia="Times New Roman" w:hAnsi="Georgia" w:cs="Times New Roman"/>
            <w:color w:val="007BFF"/>
            <w:sz w:val="24"/>
            <w:szCs w:val="24"/>
            <w:highlight w:val="cyan"/>
            <w:lang w:eastAsia="en-GB"/>
          </w:rPr>
          <w:t>543 P.2d 820</w:t>
        </w:r>
      </w:hyperlink>
      <w:r w:rsidRPr="00A5395A">
        <w:rPr>
          <w:rFonts w:ascii="Georgia" w:eastAsia="Times New Roman" w:hAnsi="Georgia" w:cs="Times New Roman"/>
          <w:sz w:val="24"/>
          <w:szCs w:val="24"/>
          <w:highlight w:val="cyan"/>
          <w:lang w:eastAsia="en-GB"/>
        </w:rPr>
        <w:t> (1975)</w:t>
      </w:r>
      <w:r w:rsidRPr="00EA194D">
        <w:rPr>
          <w:rFonts w:ascii="Georgia" w:eastAsia="Times New Roman" w:hAnsi="Georgia" w:cs="Times New Roman"/>
          <w:sz w:val="24"/>
          <w:szCs w:val="24"/>
          <w:lang w:eastAsia="en-GB"/>
        </w:rPr>
        <w:t>, Valdez says that negligence per se is “easily applicable” to this case, because all of the elements are present. In </w:t>
      </w:r>
      <w:r w:rsidRPr="00A5395A">
        <w:rPr>
          <w:rFonts w:ascii="Georgia" w:eastAsia="Times New Roman" w:hAnsi="Georgia" w:cs="Times New Roman"/>
          <w:i/>
          <w:iCs/>
          <w:sz w:val="24"/>
          <w:szCs w:val="24"/>
          <w:highlight w:val="cyan"/>
          <w:lang w:eastAsia="en-GB"/>
        </w:rPr>
        <w:t>Archibeque</w:t>
      </w:r>
      <w:r w:rsidRPr="00EA194D">
        <w:rPr>
          <w:rFonts w:ascii="Georgia" w:eastAsia="Times New Roman" w:hAnsi="Georgia" w:cs="Times New Roman"/>
          <w:i/>
          <w:iCs/>
          <w:sz w:val="24"/>
          <w:szCs w:val="24"/>
          <w:lang w:eastAsia="en-GB"/>
        </w:rPr>
        <w:t> </w:t>
      </w:r>
      <w:r w:rsidRPr="00EA194D">
        <w:rPr>
          <w:rFonts w:ascii="Georgia" w:eastAsia="Times New Roman" w:hAnsi="Georgia" w:cs="Times New Roman"/>
          <w:sz w:val="24"/>
          <w:szCs w:val="24"/>
          <w:lang w:eastAsia="en-GB"/>
        </w:rPr>
        <w:t>we stated the test for finding negligence per se:</w:t>
      </w:r>
    </w:p>
    <w:p w14:paraId="443DEAD1"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(1) there must be a statute which prescribes certain actions or defines a standard of conduct, either explicity or implicitly, (2) the defendant must violate the statute, (3) the plaintiff must be in the class of persons sought to be protected by the statute, and (4) the harm or injury to the plaintiff must generally be of the type the legislature through the statute sought to prevent.</w:t>
      </w:r>
    </w:p>
    <w:p w14:paraId="443DEAD2"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i/>
          <w:iCs/>
          <w:sz w:val="24"/>
          <w:szCs w:val="24"/>
          <w:lang w:eastAsia="en-GB"/>
        </w:rPr>
        <w:t>Id. </w:t>
      </w:r>
      <w:r w:rsidRPr="00EA194D">
        <w:rPr>
          <w:rFonts w:ascii="Georgia" w:eastAsia="Times New Roman" w:hAnsi="Georgia" w:cs="Times New Roman"/>
          <w:sz w:val="24"/>
          <w:szCs w:val="24"/>
          <w:lang w:eastAsia="en-GB"/>
        </w:rPr>
        <w:t>at 532, 543 P.2d at 825.</w:t>
      </w:r>
    </w:p>
    <w:p w14:paraId="443DEAD3"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 xml:space="preserve">Cillessen, claiming it has never conceded there was a violation of the </w:t>
      </w:r>
      <w:r w:rsidRPr="00A5395A">
        <w:rPr>
          <w:rFonts w:ascii="Georgia" w:eastAsia="Times New Roman" w:hAnsi="Georgia" w:cs="Times New Roman"/>
          <w:sz w:val="24"/>
          <w:szCs w:val="24"/>
          <w:highlight w:val="cyan"/>
          <w:lang w:eastAsia="en-GB"/>
        </w:rPr>
        <w:t>New Mexico Occupational Health and Safety Act, NMSA 1978, Sections 50-9-1 to -25 (Orig. Pamp. and Cum.Supp.1985)</w:t>
      </w:r>
      <w:r w:rsidRPr="00EA194D">
        <w:rPr>
          <w:rFonts w:ascii="Georgia" w:eastAsia="Times New Roman" w:hAnsi="Georgia" w:cs="Times New Roman"/>
          <w:sz w:val="24"/>
          <w:szCs w:val="24"/>
          <w:lang w:eastAsia="en-GB"/>
        </w:rPr>
        <w:t xml:space="preserve">, or </w:t>
      </w:r>
      <w:r w:rsidRPr="00A5395A">
        <w:rPr>
          <w:rFonts w:ascii="Georgia" w:eastAsia="Times New Roman" w:hAnsi="Georgia" w:cs="Times New Roman"/>
          <w:sz w:val="24"/>
          <w:szCs w:val="24"/>
          <w:highlight w:val="cyan"/>
          <w:lang w:eastAsia="en-GB"/>
        </w:rPr>
        <w:t>The Federal Occupational Safety and Health Act (OSHA), 29 U.S.C. Sections 651 to 678 (1982)</w:t>
      </w:r>
      <w:r w:rsidRPr="00EA194D">
        <w:rPr>
          <w:rFonts w:ascii="Georgia" w:eastAsia="Times New Roman" w:hAnsi="Georgia" w:cs="Times New Roman"/>
          <w:sz w:val="24"/>
          <w:szCs w:val="24"/>
          <w:lang w:eastAsia="en-GB"/>
        </w:rPr>
        <w:t>, argues that if there were OSHA violations, it was All State who violated them, not Cillessen. Cillessen contends that violations of regulations promulgated under federal authority may not be used to create civil liability, and that the New Mexico codification of OSHA does not allow the creation of civil liability based upon our act. </w:t>
      </w:r>
      <w:r w:rsidRPr="00EA194D">
        <w:rPr>
          <w:rFonts w:ascii="Georgia" w:eastAsia="Times New Roman" w:hAnsi="Georgia" w:cs="Times New Roman"/>
          <w:i/>
          <w:iCs/>
          <w:sz w:val="24"/>
          <w:szCs w:val="24"/>
          <w:lang w:eastAsia="en-GB"/>
        </w:rPr>
        <w:t>See </w:t>
      </w:r>
      <w:r w:rsidRPr="00A5395A">
        <w:rPr>
          <w:rFonts w:ascii="Georgia" w:eastAsia="Times New Roman" w:hAnsi="Georgia" w:cs="Times New Roman"/>
          <w:sz w:val="24"/>
          <w:szCs w:val="24"/>
          <w:highlight w:val="cyan"/>
          <w:lang w:eastAsia="en-GB"/>
        </w:rPr>
        <w:t>NMSA 1978, § 50-9-21</w:t>
      </w:r>
      <w:r w:rsidRPr="00EA194D">
        <w:rPr>
          <w:rFonts w:ascii="Georgia" w:eastAsia="Times New Roman" w:hAnsi="Georgia" w:cs="Times New Roman"/>
          <w:sz w:val="24"/>
          <w:szCs w:val="24"/>
          <w:lang w:eastAsia="en-GB"/>
        </w:rPr>
        <w:t>.</w:t>
      </w:r>
    </w:p>
    <w:p w14:paraId="443DEAD4"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 xml:space="preserve">The federal regulations and the New Mexico regulations contain substantially the same language. </w:t>
      </w:r>
      <w:r w:rsidRPr="00A5395A">
        <w:rPr>
          <w:rFonts w:ascii="Georgia" w:eastAsia="Times New Roman" w:hAnsi="Georgia" w:cs="Times New Roman"/>
          <w:sz w:val="24"/>
          <w:szCs w:val="24"/>
          <w:highlight w:val="cyan"/>
          <w:lang w:eastAsia="en-GB"/>
        </w:rPr>
        <w:t>Section 50-9-21 of the New Mexico Act</w:t>
      </w:r>
      <w:r w:rsidRPr="00EA194D">
        <w:rPr>
          <w:rFonts w:ascii="Georgia" w:eastAsia="Times New Roman" w:hAnsi="Georgia" w:cs="Times New Roman"/>
          <w:sz w:val="24"/>
          <w:szCs w:val="24"/>
          <w:lang w:eastAsia="en-GB"/>
        </w:rPr>
        <w:t xml:space="preserve"> reads:</w:t>
      </w:r>
    </w:p>
    <w:p w14:paraId="443DEAD5"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 xml:space="preserve">Nothing in the Occupational Health and Safety Act shall be construed or held to * * * enlarge or diminish or affect in any other manner the common law or statutory </w:t>
      </w:r>
      <w:r w:rsidRPr="00EA194D">
        <w:rPr>
          <w:rFonts w:ascii="Georgia" w:eastAsia="Times New Roman" w:hAnsi="Georgia" w:cs="Times New Roman"/>
          <w:color w:val="004FB3"/>
          <w:sz w:val="24"/>
          <w:szCs w:val="24"/>
          <w:lang w:eastAsia="en-GB"/>
        </w:rPr>
        <w:lastRenderedPageBreak/>
        <w:t>rights, duties or liabilities of employers and employees under the laws of this state with respect to injuries, occupational or other diseases, or death of employees arising out of or in the course of employment. (Citations omitted.)</w:t>
      </w:r>
    </w:p>
    <w:p w14:paraId="443DEAD6"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 xml:space="preserve">In similar language, </w:t>
      </w:r>
      <w:r w:rsidRPr="00A5395A">
        <w:rPr>
          <w:rFonts w:ascii="Georgia" w:eastAsia="Times New Roman" w:hAnsi="Georgia" w:cs="Times New Roman"/>
          <w:sz w:val="24"/>
          <w:szCs w:val="24"/>
          <w:highlight w:val="cyan"/>
          <w:lang w:eastAsia="en-GB"/>
        </w:rPr>
        <w:t>29 U.S.C. Section 653(b)(4) of the Federal Act</w:t>
      </w:r>
      <w:r w:rsidRPr="00EA194D">
        <w:rPr>
          <w:rFonts w:ascii="Georgia" w:eastAsia="Times New Roman" w:hAnsi="Georgia" w:cs="Times New Roman"/>
          <w:sz w:val="24"/>
          <w:szCs w:val="24"/>
          <w:lang w:eastAsia="en-GB"/>
        </w:rPr>
        <w:t xml:space="preserve"> provides:</w:t>
      </w:r>
    </w:p>
    <w:p w14:paraId="443DEAD7"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Nothing in this chapter shall be construed to * * * enlarge or diminish or affect in any other manner the common law or statutory rights, duties, or liabilities of employers and employees under any law with respect to injuries, diseases, or death of employees arising out of, or in the course of, employment.</w:t>
      </w:r>
    </w:p>
    <w:p w14:paraId="443DEAD8" w14:textId="5EF2642C" w:rsidR="00EA194D" w:rsidRPr="0081315C"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 xml:space="preserve">In support of its argument, Cillessen </w:t>
      </w:r>
      <w:r w:rsidRPr="0081315C">
        <w:rPr>
          <w:rFonts w:ascii="Georgia" w:eastAsia="Times New Roman" w:hAnsi="Georgia" w:cs="Times New Roman"/>
          <w:sz w:val="24"/>
          <w:szCs w:val="24"/>
          <w:lang w:eastAsia="en-GB"/>
        </w:rPr>
        <w:t>relies on </w:t>
      </w:r>
      <w:r w:rsidRPr="0081315C">
        <w:rPr>
          <w:rFonts w:ascii="Georgia" w:eastAsia="Times New Roman" w:hAnsi="Georgia" w:cs="Times New Roman"/>
          <w:i/>
          <w:iCs/>
          <w:sz w:val="24"/>
          <w:szCs w:val="24"/>
          <w:lang w:eastAsia="en-GB"/>
        </w:rPr>
        <w:t>Gutierrez v. Kent Nowlin Construction Co., </w:t>
      </w:r>
      <w:r w:rsidRPr="0081315C">
        <w:rPr>
          <w:rFonts w:ascii="Georgia" w:eastAsia="Times New Roman" w:hAnsi="Georgia" w:cs="Times New Roman"/>
          <w:color w:val="007BFF"/>
          <w:sz w:val="24"/>
          <w:szCs w:val="24"/>
          <w:lang w:eastAsia="en-GB"/>
        </w:rPr>
        <w:t>99 N.M. 394</w:t>
      </w:r>
      <w:r w:rsidRPr="0081315C">
        <w:rPr>
          <w:rFonts w:ascii="Georgia" w:eastAsia="Times New Roman" w:hAnsi="Georgia" w:cs="Times New Roman"/>
          <w:sz w:val="24"/>
          <w:szCs w:val="24"/>
          <w:lang w:eastAsia="en-GB"/>
        </w:rPr>
        <w:t>, </w:t>
      </w:r>
      <w:hyperlink r:id="rId6" w:history="1">
        <w:r w:rsidRPr="0081315C">
          <w:rPr>
            <w:rFonts w:ascii="Georgia" w:eastAsia="Times New Roman" w:hAnsi="Georgia" w:cs="Times New Roman"/>
            <w:color w:val="007BFF"/>
            <w:sz w:val="24"/>
            <w:szCs w:val="24"/>
            <w:lang w:eastAsia="en-GB"/>
          </w:rPr>
          <w:t>658 P.2d 1121</w:t>
        </w:r>
      </w:hyperlink>
      <w:r w:rsidRPr="0081315C">
        <w:rPr>
          <w:rFonts w:ascii="Georgia" w:eastAsia="Times New Roman" w:hAnsi="Georgia" w:cs="Times New Roman"/>
          <w:sz w:val="24"/>
          <w:szCs w:val="24"/>
          <w:lang w:eastAsia="en-GB"/>
        </w:rPr>
        <w:t> (Ct.App.1981), </w:t>
      </w:r>
      <w:r w:rsidRPr="0081315C">
        <w:rPr>
          <w:rFonts w:ascii="Georgia" w:eastAsia="Times New Roman" w:hAnsi="Georgia" w:cs="Times New Roman"/>
          <w:i/>
          <w:iCs/>
          <w:sz w:val="24"/>
          <w:szCs w:val="24"/>
          <w:lang w:eastAsia="en-GB"/>
        </w:rPr>
        <w:t>rev 'd on other grounds, </w:t>
      </w:r>
      <w:r w:rsidRPr="0081315C">
        <w:rPr>
          <w:rFonts w:ascii="Georgia" w:eastAsia="Times New Roman" w:hAnsi="Georgia" w:cs="Times New Roman"/>
          <w:color w:val="007BFF"/>
          <w:sz w:val="24"/>
          <w:szCs w:val="24"/>
          <w:lang w:eastAsia="en-GB"/>
        </w:rPr>
        <w:t>99 N.M. 389</w:t>
      </w:r>
      <w:r w:rsidRPr="0081315C">
        <w:rPr>
          <w:rFonts w:ascii="Georgia" w:eastAsia="Times New Roman" w:hAnsi="Georgia" w:cs="Times New Roman"/>
          <w:sz w:val="24"/>
          <w:szCs w:val="24"/>
          <w:lang w:eastAsia="en-GB"/>
        </w:rPr>
        <w:t>, </w:t>
      </w:r>
      <w:hyperlink r:id="rId7" w:history="1">
        <w:r w:rsidRPr="0081315C">
          <w:rPr>
            <w:rFonts w:ascii="Georgia" w:eastAsia="Times New Roman" w:hAnsi="Georgia" w:cs="Times New Roman"/>
            <w:color w:val="007BFF"/>
            <w:sz w:val="24"/>
            <w:szCs w:val="24"/>
            <w:lang w:eastAsia="en-GB"/>
          </w:rPr>
          <w:t>658 P.2d 1116</w:t>
        </w:r>
      </w:hyperlink>
      <w:r w:rsidRPr="0081315C">
        <w:rPr>
          <w:rFonts w:ascii="Georgia" w:eastAsia="Times New Roman" w:hAnsi="Georgia" w:cs="Times New Roman"/>
          <w:sz w:val="24"/>
          <w:szCs w:val="24"/>
          <w:lang w:eastAsia="en-GB"/>
        </w:rPr>
        <w:t> (1982) (jury instruction permissible which instructs the jury that it may consider a violation of federal OSHA standards as evidence of negligence). “[T]he instruction did not, by any stretch of the imagination, tell the jury that violation of the standards was in and of itself negligence.” </w:t>
      </w:r>
      <w:r w:rsidRPr="0081315C">
        <w:rPr>
          <w:rFonts w:ascii="Georgia" w:eastAsia="Times New Roman" w:hAnsi="Georgia" w:cs="Times New Roman"/>
          <w:i/>
          <w:iCs/>
          <w:sz w:val="24"/>
          <w:szCs w:val="24"/>
          <w:lang w:eastAsia="en-GB"/>
        </w:rPr>
        <w:t>Id. </w:t>
      </w:r>
      <w:r w:rsidRPr="0081315C">
        <w:rPr>
          <w:rFonts w:ascii="Georgia" w:eastAsia="Times New Roman" w:hAnsi="Georgia" w:cs="Times New Roman"/>
          <w:sz w:val="24"/>
          <w:szCs w:val="24"/>
          <w:lang w:eastAsia="en-GB"/>
        </w:rPr>
        <w:t>at 402, 658 P.2d at 1129); </w:t>
      </w:r>
      <w:r w:rsidRPr="0081315C">
        <w:rPr>
          <w:rFonts w:ascii="Georgia" w:eastAsia="Times New Roman" w:hAnsi="Georgia" w:cs="Times New Roman"/>
          <w:i/>
          <w:iCs/>
          <w:sz w:val="24"/>
          <w:szCs w:val="24"/>
          <w:lang w:eastAsia="en-GB"/>
        </w:rPr>
        <w:t>Casillas v. S.W.I.G., </w:t>
      </w:r>
      <w:r w:rsidRPr="0081315C">
        <w:rPr>
          <w:rFonts w:ascii="Georgia" w:eastAsia="Times New Roman" w:hAnsi="Georgia" w:cs="Times New Roman"/>
          <w:color w:val="007BFF"/>
          <w:sz w:val="24"/>
          <w:szCs w:val="24"/>
          <w:lang w:eastAsia="en-GB"/>
        </w:rPr>
        <w:t>96 N.M. 84</w:t>
      </w:r>
      <w:r w:rsidRPr="0081315C">
        <w:rPr>
          <w:rFonts w:ascii="Georgia" w:eastAsia="Times New Roman" w:hAnsi="Georgia" w:cs="Times New Roman"/>
          <w:sz w:val="24"/>
          <w:szCs w:val="24"/>
          <w:lang w:eastAsia="en-GB"/>
        </w:rPr>
        <w:t>, </w:t>
      </w:r>
      <w:hyperlink r:id="rId8" w:history="1">
        <w:r w:rsidRPr="0081315C">
          <w:rPr>
            <w:rFonts w:ascii="Georgia" w:eastAsia="Times New Roman" w:hAnsi="Georgia" w:cs="Times New Roman"/>
            <w:color w:val="007BFF"/>
            <w:sz w:val="24"/>
            <w:szCs w:val="24"/>
            <w:lang w:eastAsia="en-GB"/>
          </w:rPr>
          <w:t>628 P.2d 329</w:t>
        </w:r>
      </w:hyperlink>
      <w:r w:rsidRPr="0081315C">
        <w:rPr>
          <w:rFonts w:ascii="Georgia" w:eastAsia="Times New Roman" w:hAnsi="Georgia" w:cs="Times New Roman"/>
          <w:sz w:val="24"/>
          <w:szCs w:val="24"/>
          <w:lang w:eastAsia="en-GB"/>
        </w:rPr>
        <w:t> (Ct.App.), </w:t>
      </w:r>
      <w:r w:rsidRPr="0081315C">
        <w:rPr>
          <w:rFonts w:ascii="Georgia" w:eastAsia="Times New Roman" w:hAnsi="Georgia" w:cs="Times New Roman"/>
          <w:i/>
          <w:iCs/>
          <w:sz w:val="24"/>
          <w:szCs w:val="24"/>
          <w:lang w:eastAsia="en-GB"/>
        </w:rPr>
        <w:t>cert. denied, </w:t>
      </w:r>
      <w:r w:rsidRPr="0081315C">
        <w:rPr>
          <w:rFonts w:ascii="Georgia" w:eastAsia="Times New Roman" w:hAnsi="Georgia" w:cs="Times New Roman"/>
          <w:color w:val="007BFF"/>
          <w:sz w:val="24"/>
          <w:szCs w:val="24"/>
          <w:lang w:eastAsia="en-GB"/>
        </w:rPr>
        <w:t>96 N.M. 116</w:t>
      </w:r>
      <w:r w:rsidRPr="0081315C">
        <w:rPr>
          <w:rFonts w:ascii="Georgia" w:eastAsia="Times New Roman" w:hAnsi="Georgia" w:cs="Times New Roman"/>
          <w:sz w:val="24"/>
          <w:szCs w:val="24"/>
          <w:lang w:eastAsia="en-GB"/>
        </w:rPr>
        <w:t>, </w:t>
      </w:r>
      <w:hyperlink r:id="rId9" w:history="1">
        <w:r w:rsidRPr="0081315C">
          <w:rPr>
            <w:rFonts w:ascii="Georgia" w:eastAsia="Times New Roman" w:hAnsi="Georgia" w:cs="Times New Roman"/>
            <w:color w:val="007BFF"/>
            <w:sz w:val="24"/>
            <w:szCs w:val="24"/>
            <w:lang w:eastAsia="en-GB"/>
          </w:rPr>
          <w:t>628 P.2d 686</w:t>
        </w:r>
      </w:hyperlink>
      <w:r w:rsidRPr="0081315C">
        <w:rPr>
          <w:rFonts w:ascii="Georgia" w:eastAsia="Times New Roman" w:hAnsi="Georgia" w:cs="Times New Roman"/>
          <w:sz w:val="24"/>
          <w:szCs w:val="24"/>
          <w:lang w:eastAsia="en-GB"/>
        </w:rPr>
        <w:t> (1981) (violation of the New Mexico Occupational Health and Safety Act cannot serve as the basis of an increase in benefits under the Workmen’s Compensation Act); </w:t>
      </w:r>
      <w:r w:rsidRPr="0081315C">
        <w:rPr>
          <w:rFonts w:ascii="Georgia" w:eastAsia="Times New Roman" w:hAnsi="Georgia" w:cs="Times New Roman"/>
          <w:i/>
          <w:iCs/>
          <w:sz w:val="24"/>
          <w:szCs w:val="24"/>
          <w:lang w:eastAsia="en-GB"/>
        </w:rPr>
        <w:t>Arvas v. Feather’s Jewelers, </w:t>
      </w:r>
      <w:r w:rsidRPr="0081315C">
        <w:rPr>
          <w:rFonts w:ascii="Georgia" w:eastAsia="Times New Roman" w:hAnsi="Georgia" w:cs="Times New Roman"/>
          <w:color w:val="007BFF"/>
          <w:sz w:val="24"/>
          <w:szCs w:val="24"/>
          <w:lang w:eastAsia="en-GB"/>
        </w:rPr>
        <w:t>92 N.M. 89</w:t>
      </w:r>
      <w:r w:rsidRPr="0081315C">
        <w:rPr>
          <w:rFonts w:ascii="Georgia" w:eastAsia="Times New Roman" w:hAnsi="Georgia" w:cs="Times New Roman"/>
          <w:sz w:val="24"/>
          <w:szCs w:val="24"/>
          <w:lang w:eastAsia="en-GB"/>
        </w:rPr>
        <w:t>, </w:t>
      </w:r>
      <w:hyperlink r:id="rId10" w:history="1">
        <w:r w:rsidRPr="0081315C">
          <w:rPr>
            <w:rFonts w:ascii="Georgia" w:eastAsia="Times New Roman" w:hAnsi="Georgia" w:cs="Times New Roman"/>
            <w:color w:val="007BFF"/>
            <w:sz w:val="24"/>
            <w:szCs w:val="24"/>
            <w:lang w:eastAsia="en-GB"/>
          </w:rPr>
          <w:t>582 P.2d 1302</w:t>
        </w:r>
      </w:hyperlink>
      <w:r w:rsidRPr="0081315C">
        <w:rPr>
          <w:rFonts w:ascii="Georgia" w:eastAsia="Times New Roman" w:hAnsi="Georgia" w:cs="Times New Roman"/>
          <w:sz w:val="24"/>
          <w:szCs w:val="24"/>
          <w:lang w:eastAsia="en-GB"/>
        </w:rPr>
        <w:t> (Ct.App.1978) (in dicta, the court noted that there was no legislative intent to allow civil actions based on violations of New Mexico OSHA standards).</w:t>
      </w:r>
    </w:p>
    <w:p w14:paraId="443DEAD9" w14:textId="7514E88C"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81315C">
        <w:rPr>
          <w:rFonts w:ascii="Georgia" w:eastAsia="Times New Roman" w:hAnsi="Georgia" w:cs="Times New Roman"/>
          <w:i/>
          <w:iCs/>
          <w:color w:val="979797"/>
          <w:sz w:val="19"/>
          <w:szCs w:val="19"/>
          <w:lang w:eastAsia="en-GB"/>
        </w:rPr>
        <w:t>*578</w:t>
      </w:r>
      <w:r w:rsidRPr="0081315C">
        <w:rPr>
          <w:rFonts w:ascii="Georgia" w:eastAsia="Times New Roman" w:hAnsi="Georgia" w:cs="Times New Roman"/>
          <w:sz w:val="24"/>
          <w:szCs w:val="24"/>
          <w:lang w:eastAsia="en-GB"/>
        </w:rPr>
        <w:t>Valdez distinguishes </w:t>
      </w:r>
      <w:r w:rsidRPr="0081315C">
        <w:rPr>
          <w:rFonts w:ascii="Georgia" w:eastAsia="Times New Roman" w:hAnsi="Georgia" w:cs="Times New Roman"/>
          <w:i/>
          <w:iCs/>
          <w:sz w:val="24"/>
          <w:szCs w:val="24"/>
          <w:lang w:eastAsia="en-GB"/>
        </w:rPr>
        <w:t>Arvas v. Feather’s Jewelers </w:t>
      </w:r>
      <w:r w:rsidRPr="0081315C">
        <w:rPr>
          <w:rFonts w:ascii="Georgia" w:eastAsia="Times New Roman" w:hAnsi="Georgia" w:cs="Times New Roman"/>
          <w:sz w:val="24"/>
          <w:szCs w:val="24"/>
          <w:lang w:eastAsia="en-GB"/>
        </w:rPr>
        <w:t>on the basis that plaintiff there claimed negligence per se on “the general language in OSHA” whereas Valdez has “presented specific OSHA violations.”</w:t>
      </w:r>
    </w:p>
    <w:p w14:paraId="443DEADA" w14:textId="78A5C96B"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The courts are not in agreement on the question whether OSHA violations constitute negligence per se. </w:t>
      </w:r>
      <w:r w:rsidRPr="00EA194D">
        <w:rPr>
          <w:rFonts w:ascii="Georgia" w:eastAsia="Times New Roman" w:hAnsi="Georgia" w:cs="Times New Roman"/>
          <w:i/>
          <w:iCs/>
          <w:sz w:val="24"/>
          <w:szCs w:val="24"/>
          <w:lang w:eastAsia="en-GB"/>
        </w:rPr>
        <w:t xml:space="preserve">Compare </w:t>
      </w:r>
      <w:r w:rsidRPr="00A5395A">
        <w:rPr>
          <w:rFonts w:ascii="Georgia" w:eastAsia="Times New Roman" w:hAnsi="Georgia" w:cs="Times New Roman"/>
          <w:i/>
          <w:iCs/>
          <w:sz w:val="24"/>
          <w:szCs w:val="24"/>
          <w:lang w:eastAsia="en-GB"/>
        </w:rPr>
        <w:t>Kelley v. Howard S. Wright Construction Co., </w:t>
      </w:r>
      <w:hyperlink r:id="rId11" w:history="1">
        <w:r w:rsidRPr="00A5395A">
          <w:rPr>
            <w:rFonts w:ascii="Georgia" w:eastAsia="Times New Roman" w:hAnsi="Georgia" w:cs="Times New Roman"/>
            <w:color w:val="007BFF"/>
            <w:sz w:val="24"/>
            <w:szCs w:val="24"/>
            <w:lang w:eastAsia="en-GB"/>
          </w:rPr>
          <w:t>90 Wash.2d 323</w:t>
        </w:r>
      </w:hyperlink>
      <w:r w:rsidRPr="00A5395A">
        <w:rPr>
          <w:rFonts w:ascii="Georgia" w:eastAsia="Times New Roman" w:hAnsi="Georgia" w:cs="Times New Roman"/>
          <w:sz w:val="24"/>
          <w:szCs w:val="24"/>
          <w:lang w:eastAsia="en-GB"/>
        </w:rPr>
        <w:t>, </w:t>
      </w:r>
      <w:r w:rsidRPr="00A5395A">
        <w:rPr>
          <w:rFonts w:ascii="Georgia" w:eastAsia="Times New Roman" w:hAnsi="Georgia" w:cs="Times New Roman"/>
          <w:color w:val="007BFF"/>
          <w:sz w:val="24"/>
          <w:szCs w:val="24"/>
          <w:lang w:eastAsia="en-GB"/>
        </w:rPr>
        <w:t>582 P.2d 500</w:t>
      </w:r>
      <w:r w:rsidRPr="00A5395A">
        <w:rPr>
          <w:rFonts w:ascii="Georgia" w:eastAsia="Times New Roman" w:hAnsi="Georgia" w:cs="Times New Roman"/>
          <w:sz w:val="24"/>
          <w:szCs w:val="24"/>
          <w:lang w:eastAsia="en-GB"/>
        </w:rPr>
        <w:t> (1978);</w:t>
      </w:r>
      <w:r w:rsidRPr="00EA194D">
        <w:rPr>
          <w:rFonts w:ascii="Georgia" w:eastAsia="Times New Roman" w:hAnsi="Georgia" w:cs="Times New Roman"/>
          <w:sz w:val="24"/>
          <w:szCs w:val="24"/>
          <w:lang w:eastAsia="en-GB"/>
        </w:rPr>
        <w:t> </w:t>
      </w:r>
      <w:r w:rsidRPr="00EA194D">
        <w:rPr>
          <w:rFonts w:ascii="Georgia" w:eastAsia="Times New Roman" w:hAnsi="Georgia" w:cs="Times New Roman"/>
          <w:i/>
          <w:iCs/>
          <w:sz w:val="24"/>
          <w:szCs w:val="24"/>
          <w:lang w:eastAsia="en-GB"/>
        </w:rPr>
        <w:t xml:space="preserve">with </w:t>
      </w:r>
      <w:r w:rsidRPr="00A5395A">
        <w:rPr>
          <w:rFonts w:ascii="Georgia" w:eastAsia="Times New Roman" w:hAnsi="Georgia" w:cs="Times New Roman"/>
          <w:i/>
          <w:iCs/>
          <w:sz w:val="24"/>
          <w:szCs w:val="24"/>
          <w:highlight w:val="cyan"/>
          <w:lang w:eastAsia="en-GB"/>
        </w:rPr>
        <w:t>Wendland v. Ridgefield Construction Services, Inc., </w:t>
      </w:r>
      <w:hyperlink r:id="rId12" w:history="1">
        <w:r w:rsidRPr="00A5395A">
          <w:rPr>
            <w:rFonts w:ascii="Georgia" w:eastAsia="Times New Roman" w:hAnsi="Georgia" w:cs="Times New Roman"/>
            <w:color w:val="007BFF"/>
            <w:sz w:val="24"/>
            <w:szCs w:val="24"/>
            <w:highlight w:val="cyan"/>
            <w:lang w:eastAsia="en-GB"/>
          </w:rPr>
          <w:t>184 Conn. 173</w:t>
        </w:r>
      </w:hyperlink>
      <w:r w:rsidRPr="00A5395A">
        <w:rPr>
          <w:rFonts w:ascii="Georgia" w:eastAsia="Times New Roman" w:hAnsi="Georgia" w:cs="Times New Roman"/>
          <w:sz w:val="24"/>
          <w:szCs w:val="24"/>
          <w:highlight w:val="cyan"/>
          <w:lang w:eastAsia="en-GB"/>
        </w:rPr>
        <w:t>, </w:t>
      </w:r>
      <w:r w:rsidRPr="00A5395A">
        <w:rPr>
          <w:rFonts w:ascii="Georgia" w:eastAsia="Times New Roman" w:hAnsi="Georgia" w:cs="Times New Roman"/>
          <w:color w:val="007BFF"/>
          <w:sz w:val="24"/>
          <w:szCs w:val="24"/>
          <w:highlight w:val="cyan"/>
          <w:lang w:eastAsia="en-GB"/>
        </w:rPr>
        <w:t>439 A.2d 954</w:t>
      </w:r>
      <w:r w:rsidRPr="00A5395A">
        <w:rPr>
          <w:rFonts w:ascii="Georgia" w:eastAsia="Times New Roman" w:hAnsi="Georgia" w:cs="Times New Roman"/>
          <w:sz w:val="24"/>
          <w:szCs w:val="24"/>
          <w:highlight w:val="cyan"/>
          <w:lang w:eastAsia="en-GB"/>
        </w:rPr>
        <w:t> (1981)</w:t>
      </w:r>
      <w:r w:rsidRPr="00EA194D">
        <w:rPr>
          <w:rFonts w:ascii="Georgia" w:eastAsia="Times New Roman" w:hAnsi="Georgia" w:cs="Times New Roman"/>
          <w:sz w:val="24"/>
          <w:szCs w:val="24"/>
          <w:lang w:eastAsia="en-GB"/>
        </w:rPr>
        <w:t xml:space="preserve">. </w:t>
      </w:r>
      <w:r w:rsidRPr="00A5395A">
        <w:rPr>
          <w:rFonts w:ascii="Georgia" w:eastAsia="Times New Roman" w:hAnsi="Georgia" w:cs="Times New Roman"/>
          <w:sz w:val="24"/>
          <w:szCs w:val="24"/>
          <w:highlight w:val="green"/>
          <w:lang w:eastAsia="en-GB"/>
        </w:rPr>
        <w:t>We believe the better reasoned view to be</w:t>
      </w:r>
      <w:r w:rsidRPr="00A5395A">
        <w:rPr>
          <w:rFonts w:ascii="Georgia" w:eastAsia="Times New Roman" w:hAnsi="Georgia" w:cs="Times New Roman"/>
          <w:sz w:val="24"/>
          <w:szCs w:val="24"/>
          <w:lang w:eastAsia="en-GB"/>
        </w:rPr>
        <w:t xml:space="preserve">, however, </w:t>
      </w:r>
      <w:r w:rsidRPr="00A5395A">
        <w:rPr>
          <w:rFonts w:ascii="Georgia" w:eastAsia="Times New Roman" w:hAnsi="Georgia" w:cs="Times New Roman"/>
          <w:sz w:val="24"/>
          <w:szCs w:val="24"/>
          <w:highlight w:val="green"/>
          <w:lang w:eastAsia="en-GB"/>
        </w:rPr>
        <w:t>that OSHA violations do not constitute a basis for assigning negligence as a matter of law.</w:t>
      </w:r>
    </w:p>
    <w:p w14:paraId="443DEADB"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In </w:t>
      </w:r>
      <w:r w:rsidRPr="00EA194D">
        <w:rPr>
          <w:rFonts w:ascii="Georgia" w:eastAsia="Times New Roman" w:hAnsi="Georgia" w:cs="Times New Roman"/>
          <w:i/>
          <w:iCs/>
          <w:sz w:val="24"/>
          <w:szCs w:val="24"/>
          <w:lang w:eastAsia="en-GB"/>
        </w:rPr>
        <w:t>Wendland, </w:t>
      </w:r>
      <w:r w:rsidRPr="00EA194D">
        <w:rPr>
          <w:rFonts w:ascii="Georgia" w:eastAsia="Times New Roman" w:hAnsi="Georgia" w:cs="Times New Roman"/>
          <w:sz w:val="24"/>
          <w:szCs w:val="24"/>
          <w:lang w:eastAsia="en-GB"/>
        </w:rPr>
        <w:t>the Connecticut Supreme Court declared that a negligence per se theory of liability “operates to engraft a particular legislative standard onto the general standard of care imposed by traditional tort law principles * * </w:t>
      </w:r>
      <w:r w:rsidRPr="00EA194D">
        <w:rPr>
          <w:rFonts w:ascii="Georgia" w:eastAsia="Times New Roman" w:hAnsi="Georgia" w:cs="Times New Roman"/>
          <w:i/>
          <w:iCs/>
          <w:sz w:val="24"/>
          <w:szCs w:val="24"/>
          <w:lang w:eastAsia="en-GB"/>
        </w:rPr>
        <w:t>Id. </w:t>
      </w:r>
      <w:r w:rsidRPr="00EA194D">
        <w:rPr>
          <w:rFonts w:ascii="Georgia" w:eastAsia="Times New Roman" w:hAnsi="Georgia" w:cs="Times New Roman"/>
          <w:sz w:val="24"/>
          <w:szCs w:val="24"/>
          <w:lang w:eastAsia="en-GB"/>
        </w:rPr>
        <w:t>at 178, 439 A.2d at 956. An instruction on negligence per se would affect the standard of care and thus affect “common law rights, duties and liabilities of employers * * </w:t>
      </w:r>
      <w:r w:rsidRPr="00EA194D">
        <w:rPr>
          <w:rFonts w:ascii="Georgia" w:eastAsia="Times New Roman" w:hAnsi="Georgia" w:cs="Times New Roman"/>
          <w:i/>
          <w:iCs/>
          <w:sz w:val="24"/>
          <w:szCs w:val="24"/>
          <w:lang w:eastAsia="en-GB"/>
        </w:rPr>
        <w:t>Id. </w:t>
      </w:r>
      <w:r w:rsidRPr="00EA194D">
        <w:rPr>
          <w:rFonts w:ascii="Georgia" w:eastAsia="Times New Roman" w:hAnsi="Georgia" w:cs="Times New Roman"/>
          <w:sz w:val="24"/>
          <w:szCs w:val="24"/>
          <w:lang w:eastAsia="en-GB"/>
        </w:rPr>
        <w:t>at 178-79, 439 A.2d at 956-57. Although the </w:t>
      </w:r>
      <w:r w:rsidRPr="00EA194D">
        <w:rPr>
          <w:rFonts w:ascii="Georgia" w:eastAsia="Times New Roman" w:hAnsi="Georgia" w:cs="Times New Roman"/>
          <w:i/>
          <w:iCs/>
          <w:sz w:val="24"/>
          <w:szCs w:val="24"/>
          <w:lang w:eastAsia="en-GB"/>
        </w:rPr>
        <w:t>Wendland </w:t>
      </w:r>
      <w:r w:rsidRPr="00EA194D">
        <w:rPr>
          <w:rFonts w:ascii="Georgia" w:eastAsia="Times New Roman" w:hAnsi="Georgia" w:cs="Times New Roman"/>
          <w:sz w:val="24"/>
          <w:szCs w:val="24"/>
          <w:lang w:eastAsia="en-GB"/>
        </w:rPr>
        <w:t>court refused to allow a claim of negligence per se to rest upon the alleged violation of OSHA regulations, it did hold that evidence of violation of OSHA regulations could be considered in determining the required standard of care.</w:t>
      </w:r>
    </w:p>
    <w:p w14:paraId="443DEADC" w14:textId="5A67E1E3"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A5395A">
        <w:rPr>
          <w:rFonts w:ascii="Georgia" w:eastAsia="Times New Roman" w:hAnsi="Georgia" w:cs="Times New Roman"/>
          <w:sz w:val="24"/>
          <w:szCs w:val="24"/>
          <w:highlight w:val="green"/>
          <w:lang w:eastAsia="en-GB"/>
        </w:rPr>
        <w:t>To negate the defendant’s general standard of care and impose negligence as a matter of law in a case such as this</w:t>
      </w:r>
      <w:r w:rsidRPr="00EA194D">
        <w:rPr>
          <w:rFonts w:ascii="Georgia" w:eastAsia="Times New Roman" w:hAnsi="Georgia" w:cs="Times New Roman"/>
          <w:sz w:val="24"/>
          <w:szCs w:val="24"/>
          <w:lang w:eastAsia="en-GB"/>
        </w:rPr>
        <w:t>, </w:t>
      </w:r>
      <w:r w:rsidRPr="00EA194D">
        <w:rPr>
          <w:rFonts w:ascii="Georgia" w:eastAsia="Times New Roman" w:hAnsi="Georgia" w:cs="Times New Roman"/>
          <w:i/>
          <w:iCs/>
          <w:sz w:val="24"/>
          <w:szCs w:val="24"/>
          <w:lang w:eastAsia="en-GB"/>
        </w:rPr>
        <w:t>cf. Silva v. City of Albuquerque, </w:t>
      </w:r>
      <w:hyperlink r:id="rId13" w:history="1">
        <w:r w:rsidRPr="00EA194D">
          <w:rPr>
            <w:rFonts w:ascii="Georgia" w:eastAsia="Times New Roman" w:hAnsi="Georgia" w:cs="Times New Roman"/>
            <w:color w:val="007BFF"/>
            <w:sz w:val="24"/>
            <w:szCs w:val="24"/>
            <w:lang w:eastAsia="en-GB"/>
          </w:rPr>
          <w:t>94 N.M. 332</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610 P.2d 219</w:t>
      </w:r>
      <w:r w:rsidRPr="00EA194D">
        <w:rPr>
          <w:rFonts w:ascii="Georgia" w:eastAsia="Times New Roman" w:hAnsi="Georgia" w:cs="Times New Roman"/>
          <w:sz w:val="24"/>
          <w:szCs w:val="24"/>
          <w:lang w:eastAsia="en-GB"/>
        </w:rPr>
        <w:t xml:space="preserve"> (Ct.App.1980), </w:t>
      </w:r>
      <w:r w:rsidRPr="00A5395A">
        <w:rPr>
          <w:rFonts w:ascii="Georgia" w:eastAsia="Times New Roman" w:hAnsi="Georgia" w:cs="Times New Roman"/>
          <w:sz w:val="24"/>
          <w:szCs w:val="24"/>
          <w:highlight w:val="green"/>
          <w:lang w:eastAsia="en-GB"/>
        </w:rPr>
        <w:t>based upon an OSHA violation</w:t>
      </w:r>
      <w:r w:rsidRPr="0081315C">
        <w:rPr>
          <w:rFonts w:ascii="Georgia" w:eastAsia="Times New Roman" w:hAnsi="Georgia" w:cs="Times New Roman"/>
          <w:sz w:val="24"/>
          <w:szCs w:val="24"/>
          <w:lang w:eastAsia="en-GB"/>
        </w:rPr>
        <w:t xml:space="preserve">, would “affect ... the common law * * * duties * * * or liabilities of employers” and </w:t>
      </w:r>
      <w:r w:rsidRPr="0081315C">
        <w:rPr>
          <w:rFonts w:ascii="Georgia" w:eastAsia="Times New Roman" w:hAnsi="Georgia" w:cs="Times New Roman"/>
          <w:sz w:val="24"/>
          <w:szCs w:val="24"/>
          <w:highlight w:val="green"/>
          <w:lang w:eastAsia="en-GB"/>
        </w:rPr>
        <w:t xml:space="preserve">would be </w:t>
      </w:r>
      <w:r w:rsidRPr="00A5395A">
        <w:rPr>
          <w:rFonts w:ascii="Georgia" w:eastAsia="Times New Roman" w:hAnsi="Georgia" w:cs="Times New Roman"/>
          <w:sz w:val="24"/>
          <w:szCs w:val="24"/>
          <w:highlight w:val="green"/>
          <w:lang w:eastAsia="en-GB"/>
        </w:rPr>
        <w:t>contrary to the clear intent of Congress</w:t>
      </w:r>
      <w:r w:rsidRPr="00EA194D">
        <w:rPr>
          <w:rFonts w:ascii="Georgia" w:eastAsia="Times New Roman" w:hAnsi="Georgia" w:cs="Times New Roman"/>
          <w:sz w:val="24"/>
          <w:szCs w:val="24"/>
          <w:lang w:eastAsia="en-GB"/>
        </w:rPr>
        <w:t>. </w:t>
      </w:r>
      <w:r w:rsidRPr="00EA194D">
        <w:rPr>
          <w:rFonts w:ascii="Georgia" w:eastAsia="Times New Roman" w:hAnsi="Georgia" w:cs="Times New Roman"/>
          <w:i/>
          <w:iCs/>
          <w:sz w:val="24"/>
          <w:szCs w:val="24"/>
          <w:lang w:eastAsia="en-GB"/>
        </w:rPr>
        <w:t>See </w:t>
      </w:r>
      <w:r w:rsidRPr="00A5395A">
        <w:rPr>
          <w:rFonts w:ascii="Georgia" w:eastAsia="Times New Roman" w:hAnsi="Georgia" w:cs="Times New Roman"/>
          <w:sz w:val="24"/>
          <w:szCs w:val="24"/>
          <w:highlight w:val="cyan"/>
          <w:lang w:eastAsia="en-GB"/>
        </w:rPr>
        <w:t>29 U.S.C. § 653(b)(4) (1982).</w:t>
      </w:r>
    </w:p>
    <w:p w14:paraId="443DEADD"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100923">
        <w:rPr>
          <w:rFonts w:ascii="Georgia" w:eastAsia="Times New Roman" w:hAnsi="Georgia" w:cs="Times New Roman"/>
          <w:sz w:val="24"/>
          <w:szCs w:val="24"/>
          <w:highlight w:val="green"/>
          <w:lang w:eastAsia="en-GB"/>
        </w:rPr>
        <w:t xml:space="preserve">Even though OSHA violations would be admissible against Cillessen as evidence on the question of negligence under both the federal and state Acts, summary judgment on the theory pleaded in Count II was </w:t>
      </w:r>
      <w:r w:rsidRPr="0081315C">
        <w:rPr>
          <w:rFonts w:ascii="Georgia" w:eastAsia="Times New Roman" w:hAnsi="Georgia" w:cs="Times New Roman"/>
          <w:sz w:val="24"/>
          <w:szCs w:val="24"/>
          <w:highlight w:val="green"/>
          <w:lang w:eastAsia="en-GB"/>
        </w:rPr>
        <w:t>not improper.</w:t>
      </w:r>
      <w:r w:rsidRPr="00EA194D">
        <w:rPr>
          <w:rFonts w:ascii="Georgia" w:eastAsia="Times New Roman" w:hAnsi="Georgia" w:cs="Times New Roman"/>
          <w:sz w:val="24"/>
          <w:szCs w:val="24"/>
          <w:lang w:eastAsia="en-GB"/>
        </w:rPr>
        <w:t> </w:t>
      </w:r>
      <w:r w:rsidRPr="0081315C">
        <w:rPr>
          <w:rFonts w:ascii="Georgia" w:eastAsia="Times New Roman" w:hAnsi="Georgia" w:cs="Times New Roman"/>
          <w:i/>
          <w:iCs/>
          <w:sz w:val="24"/>
          <w:szCs w:val="24"/>
          <w:highlight w:val="cyan"/>
          <w:lang w:eastAsia="en-GB"/>
        </w:rPr>
        <w:t>Wendland v. Ridgefield Construction Services, Inc.</w:t>
      </w:r>
    </w:p>
    <w:p w14:paraId="443DEADE"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II.</w:t>
      </w:r>
    </w:p>
    <w:p w14:paraId="443DEADF"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 xml:space="preserve">The allegations of Count I and Count III effectively state the same claim. </w:t>
      </w:r>
      <w:r w:rsidRPr="0081315C">
        <w:rPr>
          <w:rFonts w:ascii="Georgia" w:eastAsia="Times New Roman" w:hAnsi="Georgia" w:cs="Times New Roman"/>
          <w:sz w:val="24"/>
          <w:szCs w:val="24"/>
          <w:highlight w:val="magenta"/>
          <w:lang w:eastAsia="en-GB"/>
        </w:rPr>
        <w:t>The trial court, however, denied summary judgment on Count I</w:t>
      </w:r>
      <w:r w:rsidRPr="00EA194D">
        <w:rPr>
          <w:rFonts w:ascii="Georgia" w:eastAsia="Times New Roman" w:hAnsi="Georgia" w:cs="Times New Roman"/>
          <w:sz w:val="24"/>
          <w:szCs w:val="24"/>
          <w:lang w:eastAsia="en-GB"/>
        </w:rPr>
        <w:t xml:space="preserve"> and granted summary judgment on Count III.</w:t>
      </w:r>
    </w:p>
    <w:p w14:paraId="443DEAE0"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Valdez’s theory under Count I was that Cillessen, having general contractor control over the project, should have been aware that the lean-to scaffolding was in violation of state and federal OSHA regulations, and that Cillessen should have warned Valdez of the hazard. In Count III, Valdez alleged that Cillessen’s right of control over All State made All State Cillessen’s agent, implying that negligence of All State was therefore negligence of Cillessen.</w:t>
      </w:r>
    </w:p>
    <w:p w14:paraId="443DEAE1" w14:textId="13169DF8"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With respect to Count I, Valdez notes the general rule that a general contractor is not liable for an injury sustained by a subcontractor’s employee, </w:t>
      </w:r>
      <w:r w:rsidRPr="00EA194D">
        <w:rPr>
          <w:rFonts w:ascii="Georgia" w:eastAsia="Times New Roman" w:hAnsi="Georgia" w:cs="Times New Roman"/>
          <w:i/>
          <w:iCs/>
          <w:sz w:val="24"/>
          <w:szCs w:val="24"/>
          <w:lang w:eastAsia="en-GB"/>
        </w:rPr>
        <w:t>Tipton v. Texaco, </w:t>
      </w:r>
      <w:hyperlink r:id="rId14" w:history="1">
        <w:r w:rsidRPr="00EA194D">
          <w:rPr>
            <w:rFonts w:ascii="Georgia" w:eastAsia="Times New Roman" w:hAnsi="Georgia" w:cs="Times New Roman"/>
            <w:color w:val="007BFF"/>
            <w:sz w:val="24"/>
            <w:szCs w:val="24"/>
            <w:lang w:eastAsia="en-GB"/>
          </w:rPr>
          <w:t>103 N.M. 689</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712 P.2d 1351</w:t>
      </w:r>
      <w:r w:rsidRPr="00EA194D">
        <w:rPr>
          <w:rFonts w:ascii="Georgia" w:eastAsia="Times New Roman" w:hAnsi="Georgia" w:cs="Times New Roman"/>
          <w:sz w:val="24"/>
          <w:szCs w:val="24"/>
          <w:lang w:eastAsia="en-GB"/>
        </w:rPr>
        <w:t> (1985), but asserts exceptions to the rule upon which to claim Cillessen’s liability. </w:t>
      </w:r>
      <w:r w:rsidRPr="00EA194D">
        <w:rPr>
          <w:rFonts w:ascii="Georgia" w:eastAsia="Times New Roman" w:hAnsi="Georgia" w:cs="Times New Roman"/>
          <w:i/>
          <w:iCs/>
          <w:sz w:val="24"/>
          <w:szCs w:val="24"/>
          <w:lang w:eastAsia="en-GB"/>
        </w:rPr>
        <w:t>See Fresquez v. Southwestern Industrial Contractors and Riggers, Inc., </w:t>
      </w:r>
      <w:hyperlink r:id="rId15" w:history="1">
        <w:r w:rsidRPr="00EA194D">
          <w:rPr>
            <w:rFonts w:ascii="Georgia" w:eastAsia="Times New Roman" w:hAnsi="Georgia" w:cs="Times New Roman"/>
            <w:color w:val="007BFF"/>
            <w:sz w:val="24"/>
            <w:szCs w:val="24"/>
            <w:lang w:eastAsia="en-GB"/>
          </w:rPr>
          <w:t>89 N.M. 525</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554 P.2d 986</w:t>
      </w:r>
      <w:r w:rsidRPr="00EA194D">
        <w:rPr>
          <w:rFonts w:ascii="Georgia" w:eastAsia="Times New Roman" w:hAnsi="Georgia" w:cs="Times New Roman"/>
          <w:sz w:val="24"/>
          <w:szCs w:val="24"/>
          <w:lang w:eastAsia="en-GB"/>
        </w:rPr>
        <w:t> (Ct.App.), </w:t>
      </w:r>
      <w:r w:rsidRPr="00EA194D">
        <w:rPr>
          <w:rFonts w:ascii="Georgia" w:eastAsia="Times New Roman" w:hAnsi="Georgia" w:cs="Times New Roman"/>
          <w:i/>
          <w:iCs/>
          <w:sz w:val="24"/>
          <w:szCs w:val="24"/>
          <w:lang w:eastAsia="en-GB"/>
        </w:rPr>
        <w:t>cert. denied, </w:t>
      </w:r>
      <w:hyperlink r:id="rId16" w:history="1">
        <w:r w:rsidRPr="00EA194D">
          <w:rPr>
            <w:rFonts w:ascii="Georgia" w:eastAsia="Times New Roman" w:hAnsi="Georgia" w:cs="Times New Roman"/>
            <w:color w:val="007BFF"/>
            <w:sz w:val="24"/>
            <w:szCs w:val="24"/>
            <w:lang w:eastAsia="en-GB"/>
          </w:rPr>
          <w:t>90 N.M. 8</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558 P.2d 620</w:t>
      </w:r>
      <w:r w:rsidRPr="00EA194D">
        <w:rPr>
          <w:rFonts w:ascii="Georgia" w:eastAsia="Times New Roman" w:hAnsi="Georgia" w:cs="Times New Roman"/>
          <w:sz w:val="24"/>
          <w:szCs w:val="24"/>
          <w:lang w:eastAsia="en-GB"/>
        </w:rPr>
        <w:t> (1976). Two of the exceptions are found in the Restatement (Second) of Torts Sections 414 and 424 (1965).</w:t>
      </w:r>
    </w:p>
    <w:p w14:paraId="443DEAE2"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Section 414 provides:</w:t>
      </w:r>
    </w:p>
    <w:p w14:paraId="443DEAE3"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One who entrusts work to an independent contractor, but who retains the control of any part of the work, is subject to liability for physical harm to others for whose safety the employer owes a duty to exercise reasonable care, which is caused by his failure to exercise his control with reasonable care.</w:t>
      </w:r>
    </w:p>
    <w:p w14:paraId="443DEAE4"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Section 424 provides:</w:t>
      </w:r>
    </w:p>
    <w:p w14:paraId="443DEAE5"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One who by statute or by administrative regulation is under a duty to provide specified safeguards or precautions for the safety of others is subject to liability to the others for whose protection the duty is imposed for harm caused by the failure of a contractor employed by him to provide such safeguards or precautions.</w:t>
      </w:r>
    </w:p>
    <w:p w14:paraId="443DEAE6" w14:textId="77777777" w:rsidR="00EA194D" w:rsidRPr="00EA194D" w:rsidRDefault="000D32E7" w:rsidP="00EA194D">
      <w:pPr>
        <w:spacing w:before="100" w:beforeAutospacing="1" w:after="225" w:line="240" w:lineRule="auto"/>
        <w:rPr>
          <w:rFonts w:ascii="Georgia" w:eastAsia="Times New Roman" w:hAnsi="Georgia" w:cs="Times New Roman"/>
          <w:sz w:val="24"/>
          <w:szCs w:val="24"/>
          <w:lang w:eastAsia="en-GB"/>
        </w:rPr>
      </w:pPr>
      <w:hyperlink r:id="rId17" w:anchor="p579" w:history="1">
        <w:r w:rsidR="00EA194D" w:rsidRPr="00EA194D">
          <w:rPr>
            <w:rFonts w:ascii="Georgia" w:eastAsia="Times New Roman" w:hAnsi="Georgia" w:cs="Times New Roman"/>
            <w:i/>
            <w:iCs/>
            <w:color w:val="979797"/>
            <w:sz w:val="19"/>
            <w:szCs w:val="19"/>
            <w:lang w:eastAsia="en-GB"/>
          </w:rPr>
          <w:t>*579</w:t>
        </w:r>
      </w:hyperlink>
      <w:r w:rsidR="00EA194D" w:rsidRPr="00EA194D">
        <w:rPr>
          <w:rFonts w:ascii="Georgia" w:eastAsia="Times New Roman" w:hAnsi="Georgia" w:cs="Times New Roman"/>
          <w:sz w:val="24"/>
          <w:szCs w:val="24"/>
          <w:lang w:eastAsia="en-GB"/>
        </w:rPr>
        <w:t>In Count III an agency relationship was raised by the allegation that Cillessen had retained the right to control the method and manner of All State’s work, thus becoming liable for All State’s negligence.</w:t>
      </w:r>
    </w:p>
    <w:p w14:paraId="443DEAE7"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In both Count I and Count III the critical issue is the degree of control alleged to have been maintained by Cillessen. Valdez contends that there is an issue of material fact regarding that control; in opposition, Cillessen maintains that there is no such genuine issue of fact.</w:t>
      </w:r>
    </w:p>
    <w:p w14:paraId="443DEAE8" w14:textId="358A1745"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Although it is true that, generally, the employer of an independent contractor is not liable for injuries to an employee of the independent contractor, this does not mean that he is absolutely shielded from liability. </w:t>
      </w:r>
      <w:r w:rsidRPr="00EA194D">
        <w:rPr>
          <w:rFonts w:ascii="Georgia" w:eastAsia="Times New Roman" w:hAnsi="Georgia" w:cs="Times New Roman"/>
          <w:i/>
          <w:iCs/>
          <w:sz w:val="24"/>
          <w:szCs w:val="24"/>
          <w:lang w:eastAsia="en-GB"/>
        </w:rPr>
        <w:t>See Moulder v. Brown, </w:t>
      </w:r>
      <w:r w:rsidRPr="00EA194D">
        <w:rPr>
          <w:rFonts w:ascii="Georgia" w:eastAsia="Times New Roman" w:hAnsi="Georgia" w:cs="Times New Roman"/>
          <w:color w:val="007BFF"/>
          <w:sz w:val="24"/>
          <w:szCs w:val="24"/>
          <w:lang w:eastAsia="en-GB"/>
        </w:rPr>
        <w:t>98 N.M. 71</w:t>
      </w:r>
      <w:r w:rsidRPr="00EA194D">
        <w:rPr>
          <w:rFonts w:ascii="Georgia" w:eastAsia="Times New Roman" w:hAnsi="Georgia" w:cs="Times New Roman"/>
          <w:sz w:val="24"/>
          <w:szCs w:val="24"/>
          <w:lang w:eastAsia="en-GB"/>
        </w:rPr>
        <w:t>, </w:t>
      </w:r>
      <w:hyperlink r:id="rId18" w:history="1">
        <w:r w:rsidRPr="00EA194D">
          <w:rPr>
            <w:rFonts w:ascii="Georgia" w:eastAsia="Times New Roman" w:hAnsi="Georgia" w:cs="Times New Roman"/>
            <w:color w:val="007BFF"/>
            <w:sz w:val="24"/>
            <w:szCs w:val="24"/>
            <w:lang w:eastAsia="en-GB"/>
          </w:rPr>
          <w:t>644 P.2d 1060</w:t>
        </w:r>
      </w:hyperlink>
      <w:r w:rsidRPr="00EA194D">
        <w:rPr>
          <w:rFonts w:ascii="Georgia" w:eastAsia="Times New Roman" w:hAnsi="Georgia" w:cs="Times New Roman"/>
          <w:sz w:val="24"/>
          <w:szCs w:val="24"/>
          <w:lang w:eastAsia="en-GB"/>
        </w:rPr>
        <w:t> (Ct.App.1982). If he has the right to, and does, retain control of the work performed by the independent contractor, he owes the duty of care to the independent contractor’s employee which, if breached, can result in liability to the employee. </w:t>
      </w:r>
      <w:r w:rsidRPr="00EA194D">
        <w:rPr>
          <w:rFonts w:ascii="Georgia" w:eastAsia="Times New Roman" w:hAnsi="Georgia" w:cs="Times New Roman"/>
          <w:i/>
          <w:iCs/>
          <w:sz w:val="24"/>
          <w:szCs w:val="24"/>
          <w:lang w:eastAsia="en-GB"/>
        </w:rPr>
        <w:t>Moulder v. Brown. </w:t>
      </w:r>
      <w:r w:rsidRPr="00EA194D">
        <w:rPr>
          <w:rFonts w:ascii="Georgia" w:eastAsia="Times New Roman" w:hAnsi="Georgia" w:cs="Times New Roman"/>
          <w:sz w:val="24"/>
          <w:szCs w:val="24"/>
          <w:lang w:eastAsia="en-GB"/>
        </w:rPr>
        <w:t>That theory of liability is expressed in Restatement (Second) of Torts Section 414 (1965). Comment (b) of that section notes:</w:t>
      </w:r>
    </w:p>
    <w:p w14:paraId="443DEAE9"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The rule stated in this Section is usually, though not exclusively, applicable when a principal contractor entrusts a part of the work to subcontractors, but himself or through a foreman superintends the entire job. In such a situation, the principal contractor is subject to liability if he fails to prevent the subcontractors from doing even the details of the work in a way unreasonably dangerous to others, if he knows or by the exercise of reasonable care should know that the subcontractors’ work is being so done, and has the opportunity to prevent it by exercising the power of control which he has retained in himself. </w:t>
      </w:r>
      <w:r w:rsidRPr="00EA194D">
        <w:rPr>
          <w:rFonts w:ascii="Georgia" w:eastAsia="Times New Roman" w:hAnsi="Georgia" w:cs="Times New Roman"/>
          <w:i/>
          <w:iCs/>
          <w:color w:val="004FB3"/>
          <w:sz w:val="24"/>
          <w:szCs w:val="24"/>
          <w:lang w:eastAsia="en-GB"/>
        </w:rPr>
        <w:t>So too, he is subject to liability if he knows or should know that the subcontractors have carelessly done their work in such a way as to create a dangerous condition, </w:t>
      </w:r>
      <w:r w:rsidRPr="00EA194D">
        <w:rPr>
          <w:rFonts w:ascii="Georgia" w:eastAsia="Times New Roman" w:hAnsi="Georgia" w:cs="Times New Roman"/>
          <w:color w:val="004FB3"/>
          <w:sz w:val="24"/>
          <w:szCs w:val="24"/>
          <w:lang w:eastAsia="en-GB"/>
        </w:rPr>
        <w:t>and fails to exercise reasonable care either to remedy it himself or by the exercise of his control cause the subcontractor to do so. (Emphasis added.)</w:t>
      </w:r>
    </w:p>
    <w:p w14:paraId="443DEAEA" w14:textId="4767B65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In some cases, the trial court can decide as a matter of law whether the employer of an independent contractor owes a duty to an employee of an independent contractor. </w:t>
      </w:r>
      <w:r w:rsidRPr="00EA194D">
        <w:rPr>
          <w:rFonts w:ascii="Georgia" w:eastAsia="Times New Roman" w:hAnsi="Georgia" w:cs="Times New Roman"/>
          <w:i/>
          <w:iCs/>
          <w:sz w:val="24"/>
          <w:szCs w:val="24"/>
          <w:lang w:eastAsia="en-GB"/>
        </w:rPr>
        <w:t>See Moulder v. Brown. </w:t>
      </w:r>
      <w:r w:rsidRPr="00EA194D">
        <w:rPr>
          <w:rFonts w:ascii="Georgia" w:eastAsia="Times New Roman" w:hAnsi="Georgia" w:cs="Times New Roman"/>
          <w:sz w:val="24"/>
          <w:szCs w:val="24"/>
          <w:lang w:eastAsia="en-GB"/>
        </w:rPr>
        <w:t>“But where the facts are disputed ... it is not the function of the trial court to weigh the evidence in a summary judgment proceeding.” </w:t>
      </w:r>
      <w:r w:rsidRPr="00EA194D">
        <w:rPr>
          <w:rFonts w:ascii="Georgia" w:eastAsia="Times New Roman" w:hAnsi="Georgia" w:cs="Times New Roman"/>
          <w:i/>
          <w:iCs/>
          <w:sz w:val="24"/>
          <w:szCs w:val="24"/>
          <w:lang w:eastAsia="en-GB"/>
        </w:rPr>
        <w:t>Id. </w:t>
      </w:r>
      <w:r w:rsidRPr="00EA194D">
        <w:rPr>
          <w:rFonts w:ascii="Georgia" w:eastAsia="Times New Roman" w:hAnsi="Georgia" w:cs="Times New Roman"/>
          <w:sz w:val="24"/>
          <w:szCs w:val="24"/>
          <w:lang w:eastAsia="en-GB"/>
        </w:rPr>
        <w:t>at 73, 644 P.2d at 1062. On a motion for summary judgment the opposing party is given the benefit of all reasonable doubt when determining whether a genuine issue of material fact exists, </w:t>
      </w:r>
      <w:r w:rsidRPr="00EA194D">
        <w:rPr>
          <w:rFonts w:ascii="Georgia" w:eastAsia="Times New Roman" w:hAnsi="Georgia" w:cs="Times New Roman"/>
          <w:i/>
          <w:iCs/>
          <w:sz w:val="24"/>
          <w:szCs w:val="24"/>
          <w:lang w:eastAsia="en-GB"/>
        </w:rPr>
        <w:t>Poorbaugh v. Mullen, </w:t>
      </w:r>
      <w:r w:rsidRPr="00EA194D">
        <w:rPr>
          <w:rFonts w:ascii="Georgia" w:eastAsia="Times New Roman" w:hAnsi="Georgia" w:cs="Times New Roman"/>
          <w:color w:val="007BFF"/>
          <w:sz w:val="24"/>
          <w:szCs w:val="24"/>
          <w:lang w:eastAsia="en-GB"/>
        </w:rPr>
        <w:t>96 N.M. 598</w:t>
      </w:r>
      <w:r w:rsidRPr="00EA194D">
        <w:rPr>
          <w:rFonts w:ascii="Georgia" w:eastAsia="Times New Roman" w:hAnsi="Georgia" w:cs="Times New Roman"/>
          <w:sz w:val="24"/>
          <w:szCs w:val="24"/>
          <w:lang w:eastAsia="en-GB"/>
        </w:rPr>
        <w:t>, </w:t>
      </w:r>
      <w:hyperlink r:id="rId19" w:history="1">
        <w:r w:rsidRPr="00EA194D">
          <w:rPr>
            <w:rFonts w:ascii="Georgia" w:eastAsia="Times New Roman" w:hAnsi="Georgia" w:cs="Times New Roman"/>
            <w:color w:val="007BFF"/>
            <w:sz w:val="24"/>
            <w:szCs w:val="24"/>
            <w:lang w:eastAsia="en-GB"/>
          </w:rPr>
          <w:t>633 P.2d 706</w:t>
        </w:r>
      </w:hyperlink>
      <w:r w:rsidRPr="00EA194D">
        <w:rPr>
          <w:rFonts w:ascii="Georgia" w:eastAsia="Times New Roman" w:hAnsi="Georgia" w:cs="Times New Roman"/>
          <w:sz w:val="24"/>
          <w:szCs w:val="24"/>
          <w:lang w:eastAsia="en-GB"/>
        </w:rPr>
        <w:t> (Ct.App.1981), and the motion cannot be granted if such a factual issue is in dispute. </w:t>
      </w:r>
      <w:r w:rsidRPr="00EA194D">
        <w:rPr>
          <w:rFonts w:ascii="Georgia" w:eastAsia="Times New Roman" w:hAnsi="Georgia" w:cs="Times New Roman"/>
          <w:i/>
          <w:iCs/>
          <w:sz w:val="24"/>
          <w:szCs w:val="24"/>
          <w:lang w:eastAsia="en-GB"/>
        </w:rPr>
        <w:t>Paperchase Partnership v. Bruckner, </w:t>
      </w:r>
      <w:r w:rsidRPr="00EA194D">
        <w:rPr>
          <w:rFonts w:ascii="Georgia" w:eastAsia="Times New Roman" w:hAnsi="Georgia" w:cs="Times New Roman"/>
          <w:color w:val="007BFF"/>
          <w:sz w:val="24"/>
          <w:szCs w:val="24"/>
          <w:lang w:eastAsia="en-GB"/>
        </w:rPr>
        <w:t>102 N.M. 221</w:t>
      </w:r>
      <w:r w:rsidRPr="00EA194D">
        <w:rPr>
          <w:rFonts w:ascii="Georgia" w:eastAsia="Times New Roman" w:hAnsi="Georgia" w:cs="Times New Roman"/>
          <w:sz w:val="24"/>
          <w:szCs w:val="24"/>
          <w:lang w:eastAsia="en-GB"/>
        </w:rPr>
        <w:t>, </w:t>
      </w:r>
      <w:hyperlink r:id="rId20" w:history="1">
        <w:r w:rsidRPr="00EA194D">
          <w:rPr>
            <w:rFonts w:ascii="Georgia" w:eastAsia="Times New Roman" w:hAnsi="Georgia" w:cs="Times New Roman"/>
            <w:color w:val="007BFF"/>
            <w:sz w:val="24"/>
            <w:szCs w:val="24"/>
            <w:lang w:eastAsia="en-GB"/>
          </w:rPr>
          <w:t>693 P.2d 587</w:t>
        </w:r>
      </w:hyperlink>
      <w:r w:rsidRPr="00EA194D">
        <w:rPr>
          <w:rFonts w:ascii="Georgia" w:eastAsia="Times New Roman" w:hAnsi="Georgia" w:cs="Times New Roman"/>
          <w:sz w:val="24"/>
          <w:szCs w:val="24"/>
          <w:lang w:eastAsia="en-GB"/>
        </w:rPr>
        <w:t> (1985).</w:t>
      </w:r>
    </w:p>
    <w:p w14:paraId="443DEAEB"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It is undisputed that All State purchased, owned, and erected the scaffolding which caused the injury to Valdez. Cillessen argues that those facts alone warrant summary judgment on Count I. Cillessen urges us to apply the rule of </w:t>
      </w:r>
      <w:r w:rsidRPr="00EA194D">
        <w:rPr>
          <w:rFonts w:ascii="Georgia" w:eastAsia="Times New Roman" w:hAnsi="Georgia" w:cs="Times New Roman"/>
          <w:i/>
          <w:iCs/>
          <w:sz w:val="24"/>
          <w:szCs w:val="24"/>
          <w:lang w:eastAsia="en-GB"/>
        </w:rPr>
        <w:t>Fresquez v. Southwestern Industrial Contractors and Riggers, Inc., </w:t>
      </w:r>
      <w:r w:rsidRPr="00EA194D">
        <w:rPr>
          <w:rFonts w:ascii="Georgia" w:eastAsia="Times New Roman" w:hAnsi="Georgia" w:cs="Times New Roman"/>
          <w:sz w:val="24"/>
          <w:szCs w:val="24"/>
          <w:lang w:eastAsia="en-GB"/>
        </w:rPr>
        <w:t>wherein the court held that liability would not be imposed on the general contractor when the injury to a subcontractor’s employee occurred from faulty equipment owned and operated by the subcontractor performing inherently dangerous work. At this point, </w:t>
      </w:r>
      <w:r w:rsidRPr="00EA194D">
        <w:rPr>
          <w:rFonts w:ascii="Georgia" w:eastAsia="Times New Roman" w:hAnsi="Georgia" w:cs="Times New Roman"/>
          <w:i/>
          <w:iCs/>
          <w:sz w:val="24"/>
          <w:szCs w:val="24"/>
          <w:lang w:eastAsia="en-GB"/>
        </w:rPr>
        <w:t>Fresquez </w:t>
      </w:r>
      <w:r w:rsidRPr="00EA194D">
        <w:rPr>
          <w:rFonts w:ascii="Georgia" w:eastAsia="Times New Roman" w:hAnsi="Georgia" w:cs="Times New Roman"/>
          <w:sz w:val="24"/>
          <w:szCs w:val="24"/>
          <w:lang w:eastAsia="en-GB"/>
        </w:rPr>
        <w:t>is not applicable. We are concerned first with Cillessen’s </w:t>
      </w:r>
      <w:r w:rsidRPr="00EA194D">
        <w:rPr>
          <w:rFonts w:ascii="Georgia" w:eastAsia="Times New Roman" w:hAnsi="Georgia" w:cs="Times New Roman"/>
          <w:i/>
          <w:iCs/>
          <w:sz w:val="24"/>
          <w:szCs w:val="24"/>
          <w:lang w:eastAsia="en-GB"/>
        </w:rPr>
        <w:t>right to control </w:t>
      </w:r>
      <w:r w:rsidRPr="00EA194D">
        <w:rPr>
          <w:rFonts w:ascii="Georgia" w:eastAsia="Times New Roman" w:hAnsi="Georgia" w:cs="Times New Roman"/>
          <w:sz w:val="24"/>
          <w:szCs w:val="24"/>
          <w:lang w:eastAsia="en-GB"/>
        </w:rPr>
        <w:t>the work of All State. If there was such control, Cillessen could be held liable if he knew or should have known of the unsafe condition created by All State. </w:t>
      </w:r>
      <w:r w:rsidRPr="00EA194D">
        <w:rPr>
          <w:rFonts w:ascii="Georgia" w:eastAsia="Times New Roman" w:hAnsi="Georgia" w:cs="Times New Roman"/>
          <w:i/>
          <w:iCs/>
          <w:sz w:val="24"/>
          <w:szCs w:val="24"/>
          <w:lang w:eastAsia="en-GB"/>
        </w:rPr>
        <w:t>Cf. Tipton v. Texaco. See also </w:t>
      </w:r>
      <w:r w:rsidRPr="00EA194D">
        <w:rPr>
          <w:rFonts w:ascii="Georgia" w:eastAsia="Times New Roman" w:hAnsi="Georgia" w:cs="Times New Roman"/>
          <w:sz w:val="24"/>
          <w:szCs w:val="24"/>
          <w:lang w:eastAsia="en-GB"/>
        </w:rPr>
        <w:t>Restatement (Second) of Torts § 414 comment b (1965).</w:t>
      </w:r>
    </w:p>
    <w:p w14:paraId="443DEAEC" w14:textId="359354A4"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Evidence in the record regarding the control of Cillessen over the work of All State shows that Cillessen agreed to be ultimately responsible for any infractions by All State of labor standards provisions contained in the contract between Cillessen and Indian Housing Authority. Cillessen issued detailed instructions to All State </w:t>
      </w:r>
      <w:r w:rsidRPr="00EA194D">
        <w:rPr>
          <w:rFonts w:ascii="Georgia" w:eastAsia="Times New Roman" w:hAnsi="Georgia" w:cs="Times New Roman"/>
          <w:i/>
          <w:iCs/>
          <w:color w:val="979797"/>
          <w:sz w:val="19"/>
          <w:szCs w:val="19"/>
          <w:lang w:eastAsia="en-GB"/>
        </w:rPr>
        <w:t>*580</w:t>
      </w:r>
      <w:r w:rsidRPr="00EA194D">
        <w:rPr>
          <w:rFonts w:ascii="Georgia" w:eastAsia="Times New Roman" w:hAnsi="Georgia" w:cs="Times New Roman"/>
          <w:sz w:val="24"/>
          <w:szCs w:val="24"/>
          <w:lang w:eastAsia="en-GB"/>
        </w:rPr>
        <w:t>concerning its work, including directions regarding the required temperature to apply stucco, the manner in which scaffolding should be erected so as not to interfere with other work, the type of cement to be used, the type of lime to be used, how to apply building paper and mesh, how to mix cement and sand for proper application of the stucco, how the stucco should be applied, and what should be done in the event the stucco needed to be repaired.</w:t>
      </w:r>
    </w:p>
    <w:p w14:paraId="443DEAED"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There was also a showing that Cillessen, through its superintendent at the job site, fired the employees of subcontractors, instructed employees on how, when, and where to do their jobs, and assigned employees to tasks other than those which they had been hired to do.</w:t>
      </w:r>
    </w:p>
    <w:p w14:paraId="443DEAEE"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Viewing this evidence in the light most favorable to Valdez, it appears that there are genuine issues of fact regarding the extent of control by Cillessen. We are satisfied that the trial court properly denied summary judgment on Count I.</w:t>
      </w:r>
    </w:p>
    <w:p w14:paraId="443DEAEF"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Having already noted that the critical issue under both Count I and Count III is the retention of control by Cillessen over All State’s work, and that Counts I and III depend to a considerable extent upon the same evidence, we necessarily conclude that the trial court improperly granted summary judgment on Count III. Accordingly, summary judgment on Count III is reversed and is remanded for further proceedings therein.</w:t>
      </w:r>
    </w:p>
    <w:p w14:paraId="443DEAF0"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III.</w:t>
      </w:r>
    </w:p>
    <w:p w14:paraId="443DEAF1"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Under Count IV, referring again to Restatement (Second) of Torts, Valdez argues that Cillessen negligently hired All State. Section 411 of the Restatement reads:</w:t>
      </w:r>
    </w:p>
    <w:p w14:paraId="443DEAF2"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An employer is subject to liability for physical harm to third persons caused by his failure to exercise reasonable care to employ a competent and careful contractor</w:t>
      </w:r>
    </w:p>
    <w:p w14:paraId="443DEAF3"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(a) to do work which will involve a risk of physical harm unless it is skillfully and carefully done, or</w:t>
      </w:r>
    </w:p>
    <w:p w14:paraId="443DEAF4"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(b) to perform any duty which the employer owes to third persons.</w:t>
      </w:r>
    </w:p>
    <w:p w14:paraId="443DEAF5" w14:textId="4A9829D1"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We said in </w:t>
      </w:r>
      <w:r w:rsidRPr="00EA194D">
        <w:rPr>
          <w:rFonts w:ascii="Georgia" w:eastAsia="Times New Roman" w:hAnsi="Georgia" w:cs="Times New Roman"/>
          <w:i/>
          <w:iCs/>
          <w:sz w:val="24"/>
          <w:szCs w:val="24"/>
          <w:lang w:eastAsia="en-GB"/>
        </w:rPr>
        <w:t>New Mexico Electric Service Co. v. Montanez, </w:t>
      </w:r>
      <w:hyperlink r:id="rId21" w:history="1">
        <w:r w:rsidRPr="00EA194D">
          <w:rPr>
            <w:rFonts w:ascii="Georgia" w:eastAsia="Times New Roman" w:hAnsi="Georgia" w:cs="Times New Roman"/>
            <w:color w:val="007BFF"/>
            <w:sz w:val="24"/>
            <w:szCs w:val="24"/>
            <w:lang w:eastAsia="en-GB"/>
          </w:rPr>
          <w:t>89 N.M. 278</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551 P.2d 634</w:t>
      </w:r>
      <w:r w:rsidRPr="00EA194D">
        <w:rPr>
          <w:rFonts w:ascii="Georgia" w:eastAsia="Times New Roman" w:hAnsi="Georgia" w:cs="Times New Roman"/>
          <w:sz w:val="24"/>
          <w:szCs w:val="24"/>
          <w:lang w:eastAsia="en-GB"/>
        </w:rPr>
        <w:t> (1976), that an employee of an independent contractor is not a third party under Restatement (Second) of Torts, Sections 413, 416 and 427 (1965). Those sections describe the duty of a general contractor to third parties when the work is inherently dangerous. In </w:t>
      </w:r>
      <w:r w:rsidRPr="00EA194D">
        <w:rPr>
          <w:rFonts w:ascii="Georgia" w:eastAsia="Times New Roman" w:hAnsi="Georgia" w:cs="Times New Roman"/>
          <w:i/>
          <w:iCs/>
          <w:sz w:val="24"/>
          <w:szCs w:val="24"/>
          <w:lang w:eastAsia="en-GB"/>
        </w:rPr>
        <w:t>Montanez, </w:t>
      </w:r>
      <w:r w:rsidRPr="00EA194D">
        <w:rPr>
          <w:rFonts w:ascii="Georgia" w:eastAsia="Times New Roman" w:hAnsi="Georgia" w:cs="Times New Roman"/>
          <w:sz w:val="24"/>
          <w:szCs w:val="24"/>
          <w:lang w:eastAsia="en-GB"/>
        </w:rPr>
        <w:t>we quoted with approval the following from </w:t>
      </w:r>
      <w:r w:rsidRPr="00EA194D">
        <w:rPr>
          <w:rFonts w:ascii="Georgia" w:eastAsia="Times New Roman" w:hAnsi="Georgia" w:cs="Times New Roman"/>
          <w:i/>
          <w:iCs/>
          <w:sz w:val="24"/>
          <w:szCs w:val="24"/>
          <w:lang w:eastAsia="en-GB"/>
        </w:rPr>
        <w:t>King v. Shelby Rural Electric Cooperative Corp., </w:t>
      </w:r>
      <w:hyperlink r:id="rId22" w:history="1">
        <w:r w:rsidRPr="00EA194D">
          <w:rPr>
            <w:rFonts w:ascii="Georgia" w:eastAsia="Times New Roman" w:hAnsi="Georgia" w:cs="Times New Roman"/>
            <w:color w:val="007BFF"/>
            <w:sz w:val="24"/>
            <w:szCs w:val="24"/>
            <w:lang w:eastAsia="en-GB"/>
          </w:rPr>
          <w:t>502 S.W.2d 659</w:t>
        </w:r>
      </w:hyperlink>
      <w:r w:rsidRPr="00EA194D">
        <w:rPr>
          <w:rFonts w:ascii="Georgia" w:eastAsia="Times New Roman" w:hAnsi="Georgia" w:cs="Times New Roman"/>
          <w:sz w:val="24"/>
          <w:szCs w:val="24"/>
          <w:lang w:eastAsia="en-GB"/>
        </w:rPr>
        <w:t>, 663 (Ky.1973), </w:t>
      </w:r>
      <w:r w:rsidRPr="00EA194D">
        <w:rPr>
          <w:rFonts w:ascii="Georgia" w:eastAsia="Times New Roman" w:hAnsi="Georgia" w:cs="Times New Roman"/>
          <w:i/>
          <w:iCs/>
          <w:sz w:val="24"/>
          <w:szCs w:val="24"/>
          <w:lang w:eastAsia="en-GB"/>
        </w:rPr>
        <w:t>cert. denied, </w:t>
      </w:r>
      <w:r w:rsidRPr="00EA194D">
        <w:rPr>
          <w:rFonts w:ascii="Georgia" w:eastAsia="Times New Roman" w:hAnsi="Georgia" w:cs="Times New Roman"/>
          <w:color w:val="007BFF"/>
          <w:sz w:val="24"/>
          <w:szCs w:val="24"/>
          <w:lang w:eastAsia="en-GB"/>
        </w:rPr>
        <w:t>417 U.S. 932</w:t>
      </w:r>
      <w:r w:rsidRPr="00EA194D">
        <w:rPr>
          <w:rFonts w:ascii="Georgia" w:eastAsia="Times New Roman" w:hAnsi="Georgia" w:cs="Times New Roman"/>
          <w:sz w:val="24"/>
          <w:szCs w:val="24"/>
          <w:lang w:eastAsia="en-GB"/>
        </w:rPr>
        <w:t>, </w:t>
      </w:r>
      <w:hyperlink r:id="rId23" w:history="1">
        <w:r w:rsidRPr="00EA194D">
          <w:rPr>
            <w:rFonts w:ascii="Georgia" w:eastAsia="Times New Roman" w:hAnsi="Georgia" w:cs="Times New Roman"/>
            <w:color w:val="007BFF"/>
            <w:sz w:val="24"/>
            <w:szCs w:val="24"/>
            <w:lang w:eastAsia="en-GB"/>
          </w:rPr>
          <w:t>94 S.Ct. 2644</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41 L.Ed.2d 235</w:t>
      </w:r>
      <w:r w:rsidRPr="00EA194D">
        <w:rPr>
          <w:rFonts w:ascii="Georgia" w:eastAsia="Times New Roman" w:hAnsi="Georgia" w:cs="Times New Roman"/>
          <w:sz w:val="24"/>
          <w:szCs w:val="24"/>
          <w:lang w:eastAsia="en-GB"/>
        </w:rPr>
        <w:t> (1974):</w:t>
      </w:r>
    </w:p>
    <w:p w14:paraId="443DEAF6"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There does not seem to be any valid reason why an employer of an independent contractor for the performance of specific work should be subjected to a greater liability than he would have if he had utilized his own employees on that particular work.</w:t>
      </w:r>
    </w:p>
    <w:p w14:paraId="443DEAF7"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89 N.M. at 282, 551 P.2d at 638.</w:t>
      </w:r>
    </w:p>
    <w:p w14:paraId="443DEAF8"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The general contractor is not an insurer of the employees of an independent contractor. </w:t>
      </w:r>
      <w:r w:rsidRPr="00EA194D">
        <w:rPr>
          <w:rFonts w:ascii="Georgia" w:eastAsia="Times New Roman" w:hAnsi="Georgia" w:cs="Times New Roman"/>
          <w:i/>
          <w:iCs/>
          <w:sz w:val="24"/>
          <w:szCs w:val="24"/>
          <w:lang w:eastAsia="en-GB"/>
        </w:rPr>
        <w:t>See Tipton v. Texaco. </w:t>
      </w:r>
      <w:r w:rsidRPr="00EA194D">
        <w:rPr>
          <w:rFonts w:ascii="Georgia" w:eastAsia="Times New Roman" w:hAnsi="Georgia" w:cs="Times New Roman"/>
          <w:sz w:val="24"/>
          <w:szCs w:val="24"/>
          <w:lang w:eastAsia="en-GB"/>
        </w:rPr>
        <w:t>Nor should he be penalized in a case, such as the one here, for the independent contractor’s failure to obtain workmen’s compensation insurance. </w:t>
      </w:r>
      <w:r w:rsidRPr="00EA194D">
        <w:rPr>
          <w:rFonts w:ascii="Georgia" w:eastAsia="Times New Roman" w:hAnsi="Georgia" w:cs="Times New Roman"/>
          <w:i/>
          <w:iCs/>
          <w:sz w:val="24"/>
          <w:szCs w:val="24"/>
          <w:lang w:eastAsia="en-GB"/>
        </w:rPr>
        <w:t>New Mexico Electric Service Co. v. Montanez.</w:t>
      </w:r>
    </w:p>
    <w:p w14:paraId="443DEAF9"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As a matter of law, then, Valdez was not a third party to whom Cillessen might become liable for failure to hire a competent and careful subcontractor, unless it should be found under Count III that All State was only an agent, not a subcontractor of Cillessen’s. In that event, Valdez might be able to recover under Cillessen’s workmen’s compensation coverage, if such coverage exists, but he still could not prevail on the theory pleaded in this count. </w:t>
      </w:r>
      <w:r w:rsidRPr="00EA194D">
        <w:rPr>
          <w:rFonts w:ascii="Georgia" w:eastAsia="Times New Roman" w:hAnsi="Georgia" w:cs="Times New Roman"/>
          <w:i/>
          <w:iCs/>
          <w:sz w:val="24"/>
          <w:szCs w:val="24"/>
          <w:lang w:eastAsia="en-GB"/>
        </w:rPr>
        <w:t>Id. </w:t>
      </w:r>
      <w:r w:rsidRPr="00EA194D">
        <w:rPr>
          <w:rFonts w:ascii="Georgia" w:eastAsia="Times New Roman" w:hAnsi="Georgia" w:cs="Times New Roman"/>
          <w:sz w:val="24"/>
          <w:szCs w:val="24"/>
          <w:lang w:eastAsia="en-GB"/>
        </w:rPr>
        <w:t>Consequently, we affirm summary judgment on Count IV.</w:t>
      </w:r>
    </w:p>
    <w:p w14:paraId="443DEAFA"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IV.</w:t>
      </w:r>
    </w:p>
    <w:p w14:paraId="443DEAFB" w14:textId="0A855C26"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In Counts V and VI, Valdez claims he is a third party beneficiary under the Cilles</w:t>
      </w:r>
      <w:hyperlink r:id="rId24" w:anchor="p581" w:history="1">
        <w:r w:rsidRPr="00EA194D">
          <w:rPr>
            <w:rFonts w:ascii="Georgia" w:eastAsia="Times New Roman" w:hAnsi="Georgia" w:cs="Times New Roman"/>
            <w:i/>
            <w:iCs/>
            <w:color w:val="979797"/>
            <w:sz w:val="19"/>
            <w:szCs w:val="19"/>
            <w:lang w:eastAsia="en-GB"/>
          </w:rPr>
          <w:t>*581</w:t>
        </w:r>
      </w:hyperlink>
      <w:r w:rsidRPr="00EA194D">
        <w:rPr>
          <w:rFonts w:ascii="Georgia" w:eastAsia="Times New Roman" w:hAnsi="Georgia" w:cs="Times New Roman"/>
          <w:sz w:val="24"/>
          <w:szCs w:val="24"/>
          <w:lang w:eastAsia="en-GB"/>
        </w:rPr>
        <w:t>sen-Indian Housing Authority contract and the Cillessen-All State contract, citing </w:t>
      </w:r>
      <w:r w:rsidRPr="00EA194D">
        <w:rPr>
          <w:rFonts w:ascii="Georgia" w:eastAsia="Times New Roman" w:hAnsi="Georgia" w:cs="Times New Roman"/>
          <w:i/>
          <w:iCs/>
          <w:sz w:val="24"/>
          <w:szCs w:val="24"/>
          <w:lang w:eastAsia="en-GB"/>
        </w:rPr>
        <w:t>Hoge v. Farmers Market and Supply Co., </w:t>
      </w:r>
      <w:r w:rsidRPr="00EA194D">
        <w:rPr>
          <w:rFonts w:ascii="Georgia" w:eastAsia="Times New Roman" w:hAnsi="Georgia" w:cs="Times New Roman"/>
          <w:color w:val="007BFF"/>
          <w:sz w:val="24"/>
          <w:szCs w:val="24"/>
          <w:lang w:eastAsia="en-GB"/>
        </w:rPr>
        <w:t>61 N.M. 138</w:t>
      </w:r>
      <w:r w:rsidRPr="00EA194D">
        <w:rPr>
          <w:rFonts w:ascii="Georgia" w:eastAsia="Times New Roman" w:hAnsi="Georgia" w:cs="Times New Roman"/>
          <w:sz w:val="24"/>
          <w:szCs w:val="24"/>
          <w:lang w:eastAsia="en-GB"/>
        </w:rPr>
        <w:t>, </w:t>
      </w:r>
      <w:hyperlink r:id="rId25" w:history="1">
        <w:r w:rsidRPr="00EA194D">
          <w:rPr>
            <w:rFonts w:ascii="Georgia" w:eastAsia="Times New Roman" w:hAnsi="Georgia" w:cs="Times New Roman"/>
            <w:color w:val="007BFF"/>
            <w:sz w:val="24"/>
            <w:szCs w:val="24"/>
            <w:lang w:eastAsia="en-GB"/>
          </w:rPr>
          <w:t>296 P.2d 476</w:t>
        </w:r>
      </w:hyperlink>
      <w:r w:rsidRPr="00EA194D">
        <w:rPr>
          <w:rFonts w:ascii="Georgia" w:eastAsia="Times New Roman" w:hAnsi="Georgia" w:cs="Times New Roman"/>
          <w:sz w:val="24"/>
          <w:szCs w:val="24"/>
          <w:lang w:eastAsia="en-GB"/>
        </w:rPr>
        <w:t> (1956). Additionally, he maintains that the contracts are ambiguous regarding the parties’ intent, and parole evidence should be allowed to clarify the intention of the parties. </w:t>
      </w:r>
      <w:r w:rsidRPr="00EA194D">
        <w:rPr>
          <w:rFonts w:ascii="Georgia" w:eastAsia="Times New Roman" w:hAnsi="Georgia" w:cs="Times New Roman"/>
          <w:i/>
          <w:iCs/>
          <w:sz w:val="24"/>
          <w:szCs w:val="24"/>
          <w:lang w:eastAsia="en-GB"/>
        </w:rPr>
        <w:t>See id.</w:t>
      </w:r>
    </w:p>
    <w:p w14:paraId="443DEAFC" w14:textId="0A28A904"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Cillessen concedes that Valdez may be an incidental beneficiary, but disputes that he is a third party beneficiary. Cillessen relies on </w:t>
      </w:r>
      <w:r w:rsidRPr="00EA194D">
        <w:rPr>
          <w:rFonts w:ascii="Georgia" w:eastAsia="Times New Roman" w:hAnsi="Georgia" w:cs="Times New Roman"/>
          <w:i/>
          <w:iCs/>
          <w:sz w:val="24"/>
          <w:szCs w:val="24"/>
          <w:lang w:eastAsia="en-GB"/>
        </w:rPr>
        <w:t>McKinney v. Davis, </w:t>
      </w:r>
      <w:r w:rsidRPr="00EA194D">
        <w:rPr>
          <w:rFonts w:ascii="Georgia" w:eastAsia="Times New Roman" w:hAnsi="Georgia" w:cs="Times New Roman"/>
          <w:color w:val="007BFF"/>
          <w:sz w:val="24"/>
          <w:szCs w:val="24"/>
          <w:lang w:eastAsia="en-GB"/>
        </w:rPr>
        <w:t>84 N.M. 352</w:t>
      </w:r>
      <w:r w:rsidRPr="00EA194D">
        <w:rPr>
          <w:rFonts w:ascii="Georgia" w:eastAsia="Times New Roman" w:hAnsi="Georgia" w:cs="Times New Roman"/>
          <w:sz w:val="24"/>
          <w:szCs w:val="24"/>
          <w:lang w:eastAsia="en-GB"/>
        </w:rPr>
        <w:t>, </w:t>
      </w:r>
      <w:hyperlink r:id="rId26" w:history="1">
        <w:r w:rsidRPr="00EA194D">
          <w:rPr>
            <w:rFonts w:ascii="Georgia" w:eastAsia="Times New Roman" w:hAnsi="Georgia" w:cs="Times New Roman"/>
            <w:color w:val="007BFF"/>
            <w:sz w:val="24"/>
            <w:szCs w:val="24"/>
            <w:lang w:eastAsia="en-GB"/>
          </w:rPr>
          <w:t>503 P.2d 332</w:t>
        </w:r>
      </w:hyperlink>
      <w:r w:rsidRPr="00EA194D">
        <w:rPr>
          <w:rFonts w:ascii="Georgia" w:eastAsia="Times New Roman" w:hAnsi="Georgia" w:cs="Times New Roman"/>
          <w:sz w:val="24"/>
          <w:szCs w:val="24"/>
          <w:lang w:eastAsia="en-GB"/>
        </w:rPr>
        <w:t> (1972), as support for his argument that nothing in the documents indicates that the motivating cause of the contracts was to benefit Valdez.</w:t>
      </w:r>
    </w:p>
    <w:p w14:paraId="443DEAFD"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The paramount indicator of third party beneficiary status is a showing that the parties to the contract intended to benefit the third party, either individually or as a member of a class of beneficiaries. </w:t>
      </w:r>
      <w:r w:rsidRPr="00EA194D">
        <w:rPr>
          <w:rFonts w:ascii="Georgia" w:eastAsia="Times New Roman" w:hAnsi="Georgia" w:cs="Times New Roman"/>
          <w:i/>
          <w:iCs/>
          <w:sz w:val="24"/>
          <w:szCs w:val="24"/>
          <w:lang w:eastAsia="en-GB"/>
        </w:rPr>
        <w:t>See McKinney v. Davis; see also Hoge v. Farmers Market and Supply Co. </w:t>
      </w:r>
      <w:r w:rsidRPr="00EA194D">
        <w:rPr>
          <w:rFonts w:ascii="Georgia" w:eastAsia="Times New Roman" w:hAnsi="Georgia" w:cs="Times New Roman"/>
          <w:sz w:val="24"/>
          <w:szCs w:val="24"/>
          <w:lang w:eastAsia="en-GB"/>
        </w:rPr>
        <w:t>Such intent must appear either from the contract itself or from some evidence that the person claiming to be a third party beneficiary is an intended beneficiary. </w:t>
      </w:r>
      <w:r w:rsidRPr="00EA194D">
        <w:rPr>
          <w:rFonts w:ascii="Georgia" w:eastAsia="Times New Roman" w:hAnsi="Georgia" w:cs="Times New Roman"/>
          <w:i/>
          <w:iCs/>
          <w:sz w:val="24"/>
          <w:szCs w:val="24"/>
          <w:lang w:eastAsia="en-GB"/>
        </w:rPr>
        <w:t>See Hoge v. Farmers Market &amp; Supply Co.</w:t>
      </w:r>
    </w:p>
    <w:p w14:paraId="443DEAFE"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Section 24 of the contract between Indian Housing Authority and Cillessen provides:</w:t>
      </w:r>
    </w:p>
    <w:p w14:paraId="443DEAFF"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i/>
          <w:iCs/>
          <w:color w:val="004FB3"/>
          <w:sz w:val="24"/>
          <w:szCs w:val="24"/>
          <w:lang w:eastAsia="en-GB"/>
        </w:rPr>
        <w:t>Sec. 24. Insurance</w:t>
      </w:r>
    </w:p>
    <w:p w14:paraId="443DEB00"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(a) Before commencing work, the Contractor and each of his subcontractors shall furnish the IHA with evidence showing that the following insurance is in force and will cover all operations under the Contract:</w:t>
      </w:r>
    </w:p>
    <w:p w14:paraId="443DEB01"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(1) Workmen’s Compensation Insurance in accordance with applicable laws.</w:t>
      </w:r>
    </w:p>
    <w:p w14:paraId="443DEB02"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In the Cillessen-All State contract, the following appears:</w:t>
      </w:r>
    </w:p>
    <w:p w14:paraId="443DEB03" w14:textId="77777777" w:rsidR="00EA194D" w:rsidRPr="00EA194D" w:rsidRDefault="00EA194D" w:rsidP="00EA194D">
      <w:pPr>
        <w:spacing w:after="100" w:line="240" w:lineRule="auto"/>
        <w:rPr>
          <w:rFonts w:ascii="Georgia" w:eastAsia="Times New Roman" w:hAnsi="Georgia" w:cs="Times New Roman"/>
          <w:color w:val="004FB3"/>
          <w:sz w:val="24"/>
          <w:szCs w:val="24"/>
          <w:lang w:eastAsia="en-GB"/>
        </w:rPr>
      </w:pPr>
      <w:r w:rsidRPr="00EA194D">
        <w:rPr>
          <w:rFonts w:ascii="Georgia" w:eastAsia="Times New Roman" w:hAnsi="Georgia" w:cs="Times New Roman"/>
          <w:color w:val="004FB3"/>
          <w:sz w:val="24"/>
          <w:szCs w:val="24"/>
          <w:lang w:eastAsia="en-GB"/>
        </w:rPr>
        <w:t>12. The Subcontractor shall carry and pay for workmen’s compensation and public liability insurance, with satisfactory limits and in acceptable companies____ The Subcontractor shall furnish the Contractor with certificates showing names of the carriers, numbers of the policies and expiration dates.</w:t>
      </w:r>
    </w:p>
    <w:p w14:paraId="443DEB04" w14:textId="013AA3E4"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Although Cillessen points to </w:t>
      </w:r>
      <w:r w:rsidRPr="00EA194D">
        <w:rPr>
          <w:rFonts w:ascii="Georgia" w:eastAsia="Times New Roman" w:hAnsi="Georgia" w:cs="Times New Roman"/>
          <w:i/>
          <w:iCs/>
          <w:sz w:val="24"/>
          <w:szCs w:val="24"/>
          <w:lang w:eastAsia="en-GB"/>
        </w:rPr>
        <w:t>McKinney v. Davis </w:t>
      </w:r>
      <w:r w:rsidRPr="00EA194D">
        <w:rPr>
          <w:rFonts w:ascii="Georgia" w:eastAsia="Times New Roman" w:hAnsi="Georgia" w:cs="Times New Roman"/>
          <w:sz w:val="24"/>
          <w:szCs w:val="24"/>
          <w:lang w:eastAsia="en-GB"/>
        </w:rPr>
        <w:t>as the “singularly relevant” New Mexico case on this issue, and contends that it is controlling, we do not agree. In </w:t>
      </w:r>
      <w:r w:rsidRPr="00EA194D">
        <w:rPr>
          <w:rFonts w:ascii="Georgia" w:eastAsia="Times New Roman" w:hAnsi="Georgia" w:cs="Times New Roman"/>
          <w:i/>
          <w:iCs/>
          <w:sz w:val="24"/>
          <w:szCs w:val="24"/>
          <w:lang w:eastAsia="en-GB"/>
        </w:rPr>
        <w:t>McKinney, </w:t>
      </w:r>
      <w:r w:rsidRPr="00EA194D">
        <w:rPr>
          <w:rFonts w:ascii="Georgia" w:eastAsia="Times New Roman" w:hAnsi="Georgia" w:cs="Times New Roman"/>
          <w:sz w:val="24"/>
          <w:szCs w:val="24"/>
          <w:lang w:eastAsia="en-GB"/>
        </w:rPr>
        <w:t>the contract explicitly provided that the required insurance was to protect plaintiff’s employer, the defendant in that case. Clearly, there was no ambiguity with respect to the intended beneficiary under that term in the contract. In the present case nothing in either of the Cillessen contracts indicates which workmen were to be protected by the workmen’s compensation provisions of those contracts. The intentions of the parties to both contracts are unclear; therefore, other evidence may be considered to clarify the ambiguities and determine what the parties intended. </w:t>
      </w:r>
      <w:r w:rsidRPr="00EA194D">
        <w:rPr>
          <w:rFonts w:ascii="Georgia" w:eastAsia="Times New Roman" w:hAnsi="Georgia" w:cs="Times New Roman"/>
          <w:i/>
          <w:iCs/>
          <w:sz w:val="24"/>
          <w:szCs w:val="24"/>
          <w:lang w:eastAsia="en-GB"/>
        </w:rPr>
        <w:t>Schaefer v. Hinkle, </w:t>
      </w:r>
      <w:r w:rsidRPr="00EA194D">
        <w:rPr>
          <w:rFonts w:ascii="Georgia" w:eastAsia="Times New Roman" w:hAnsi="Georgia" w:cs="Times New Roman"/>
          <w:color w:val="007BFF"/>
          <w:sz w:val="24"/>
          <w:szCs w:val="24"/>
          <w:lang w:eastAsia="en-GB"/>
        </w:rPr>
        <w:t>93 N.M. 129</w:t>
      </w:r>
      <w:r w:rsidRPr="00EA194D">
        <w:rPr>
          <w:rFonts w:ascii="Georgia" w:eastAsia="Times New Roman" w:hAnsi="Georgia" w:cs="Times New Roman"/>
          <w:sz w:val="24"/>
          <w:szCs w:val="24"/>
          <w:lang w:eastAsia="en-GB"/>
        </w:rPr>
        <w:t>, </w:t>
      </w:r>
      <w:hyperlink r:id="rId27" w:history="1">
        <w:r w:rsidRPr="00EA194D">
          <w:rPr>
            <w:rFonts w:ascii="Georgia" w:eastAsia="Times New Roman" w:hAnsi="Georgia" w:cs="Times New Roman"/>
            <w:color w:val="007BFF"/>
            <w:sz w:val="24"/>
            <w:szCs w:val="24"/>
            <w:lang w:eastAsia="en-GB"/>
          </w:rPr>
          <w:t>597 P.2d 314</w:t>
        </w:r>
      </w:hyperlink>
      <w:r w:rsidRPr="00EA194D">
        <w:rPr>
          <w:rFonts w:ascii="Georgia" w:eastAsia="Times New Roman" w:hAnsi="Georgia" w:cs="Times New Roman"/>
          <w:sz w:val="24"/>
          <w:szCs w:val="24"/>
          <w:lang w:eastAsia="en-GB"/>
        </w:rPr>
        <w:t> (1979). When construction of an agreement depends upon extrinsic evidence, the terms of the agreement become a question of fact for the trier of fact to decide. </w:t>
      </w:r>
      <w:r w:rsidRPr="00EA194D">
        <w:rPr>
          <w:rFonts w:ascii="Georgia" w:eastAsia="Times New Roman" w:hAnsi="Georgia" w:cs="Times New Roman"/>
          <w:i/>
          <w:iCs/>
          <w:sz w:val="24"/>
          <w:szCs w:val="24"/>
          <w:lang w:eastAsia="en-GB"/>
        </w:rPr>
        <w:t>Paperchase Partnership v. Bruckner.</w:t>
      </w:r>
    </w:p>
    <w:p w14:paraId="443DEB05"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If one of the purposes of Section 24 of the Indian Housing Authority-Cillessen contract was to protect the workers of subcontractors in case of injury on the job, a genuine issue of material fact exists. The same would hold true with respect to the ambiguity in the Cillessen-All State contract. Ergo, the grant of summary judgment on Counts V and VI was improper. </w:t>
      </w:r>
      <w:r w:rsidRPr="00EA194D">
        <w:rPr>
          <w:rFonts w:ascii="Georgia" w:eastAsia="Times New Roman" w:hAnsi="Georgia" w:cs="Times New Roman"/>
          <w:i/>
          <w:iCs/>
          <w:sz w:val="24"/>
          <w:szCs w:val="24"/>
          <w:lang w:eastAsia="en-GB"/>
        </w:rPr>
        <w:t>See Paperchase Partnership v. Bruckner. </w:t>
      </w:r>
      <w:r w:rsidRPr="00EA194D">
        <w:rPr>
          <w:rFonts w:ascii="Georgia" w:eastAsia="Times New Roman" w:hAnsi="Georgia" w:cs="Times New Roman"/>
          <w:sz w:val="24"/>
          <w:szCs w:val="24"/>
          <w:lang w:eastAsia="en-GB"/>
        </w:rPr>
        <w:t>Those judgments are therefore reversed and remanded for further proceedings.</w:t>
      </w:r>
    </w:p>
    <w:p w14:paraId="443DEB06"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V.</w:t>
      </w:r>
    </w:p>
    <w:p w14:paraId="443DEB07"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Lastly, on the propriety of awarding summary judgment against plaintiff for his claim of punitive damages under Count I, Valdez argues that All State’s acts and omissions, as Cillessen’s agent, rose to the level of gross negligence, thus presenting a factual issue to be decided after trial and not on a motion for summary judgment.</w:t>
      </w:r>
    </w:p>
    <w:p w14:paraId="443DEB08" w14:textId="639C79A2"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We agree that recovery for punitive damages may be based upon gross </w:t>
      </w:r>
      <w:r w:rsidRPr="00EA194D">
        <w:rPr>
          <w:rFonts w:ascii="Georgia" w:eastAsia="Times New Roman" w:hAnsi="Georgia" w:cs="Times New Roman"/>
          <w:i/>
          <w:iCs/>
          <w:color w:val="979797"/>
          <w:sz w:val="19"/>
          <w:szCs w:val="19"/>
          <w:lang w:eastAsia="en-GB"/>
        </w:rPr>
        <w:t>*582</w:t>
      </w:r>
      <w:r w:rsidRPr="00EA194D">
        <w:rPr>
          <w:rFonts w:ascii="Georgia" w:eastAsia="Times New Roman" w:hAnsi="Georgia" w:cs="Times New Roman"/>
          <w:sz w:val="24"/>
          <w:szCs w:val="24"/>
          <w:lang w:eastAsia="en-GB"/>
        </w:rPr>
        <w:t>negligence, </w:t>
      </w:r>
      <w:r w:rsidRPr="00EA194D">
        <w:rPr>
          <w:rFonts w:ascii="Georgia" w:eastAsia="Times New Roman" w:hAnsi="Georgia" w:cs="Times New Roman"/>
          <w:i/>
          <w:iCs/>
          <w:sz w:val="24"/>
          <w:szCs w:val="24"/>
          <w:lang w:eastAsia="en-GB"/>
        </w:rPr>
        <w:t>Ruiz v. Southern Pacific Transportation Co., </w:t>
      </w:r>
      <w:hyperlink r:id="rId28" w:history="1">
        <w:r w:rsidRPr="00EA194D">
          <w:rPr>
            <w:rFonts w:ascii="Georgia" w:eastAsia="Times New Roman" w:hAnsi="Georgia" w:cs="Times New Roman"/>
            <w:color w:val="007BFF"/>
            <w:sz w:val="24"/>
            <w:szCs w:val="24"/>
            <w:lang w:eastAsia="en-GB"/>
          </w:rPr>
          <w:t>97 N.M. 194</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638 P.2d 406</w:t>
      </w:r>
      <w:r w:rsidRPr="00EA194D">
        <w:rPr>
          <w:rFonts w:ascii="Georgia" w:eastAsia="Times New Roman" w:hAnsi="Georgia" w:cs="Times New Roman"/>
          <w:sz w:val="24"/>
          <w:szCs w:val="24"/>
          <w:lang w:eastAsia="en-GB"/>
        </w:rPr>
        <w:t> (Ct.App.), </w:t>
      </w:r>
      <w:r w:rsidRPr="00EA194D">
        <w:rPr>
          <w:rFonts w:ascii="Georgia" w:eastAsia="Times New Roman" w:hAnsi="Georgia" w:cs="Times New Roman"/>
          <w:i/>
          <w:iCs/>
          <w:sz w:val="24"/>
          <w:szCs w:val="24"/>
          <w:lang w:eastAsia="en-GB"/>
        </w:rPr>
        <w:t>cert. quashed, </w:t>
      </w:r>
      <w:hyperlink r:id="rId29" w:history="1">
        <w:r w:rsidRPr="00EA194D">
          <w:rPr>
            <w:rFonts w:ascii="Georgia" w:eastAsia="Times New Roman" w:hAnsi="Georgia" w:cs="Times New Roman"/>
            <w:color w:val="007BFF"/>
            <w:sz w:val="24"/>
            <w:szCs w:val="24"/>
            <w:lang w:eastAsia="en-GB"/>
          </w:rPr>
          <w:t>97 N.M. 242</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638 P.2d 1087</w:t>
      </w:r>
      <w:r w:rsidRPr="00EA194D">
        <w:rPr>
          <w:rFonts w:ascii="Georgia" w:eastAsia="Times New Roman" w:hAnsi="Georgia" w:cs="Times New Roman"/>
          <w:sz w:val="24"/>
          <w:szCs w:val="24"/>
          <w:lang w:eastAsia="en-GB"/>
        </w:rPr>
        <w:t> (1981), and that gross negligence may sometimes be shown by violation of a statute, depending on the circumstances, </w:t>
      </w:r>
      <w:r w:rsidRPr="00EA194D">
        <w:rPr>
          <w:rFonts w:ascii="Georgia" w:eastAsia="Times New Roman" w:hAnsi="Georgia" w:cs="Times New Roman"/>
          <w:i/>
          <w:iCs/>
          <w:sz w:val="24"/>
          <w:szCs w:val="24"/>
          <w:lang w:eastAsia="en-GB"/>
        </w:rPr>
        <w:t>see Hernandez v. Brooks, </w:t>
      </w:r>
      <w:hyperlink r:id="rId30" w:history="1">
        <w:r w:rsidRPr="00EA194D">
          <w:rPr>
            <w:rFonts w:ascii="Georgia" w:eastAsia="Times New Roman" w:hAnsi="Georgia" w:cs="Times New Roman"/>
            <w:color w:val="007BFF"/>
            <w:sz w:val="24"/>
            <w:szCs w:val="24"/>
            <w:lang w:eastAsia="en-GB"/>
          </w:rPr>
          <w:t>95 N.M. 670</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625 P.2d 1187</w:t>
      </w:r>
      <w:r w:rsidRPr="00EA194D">
        <w:rPr>
          <w:rFonts w:ascii="Georgia" w:eastAsia="Times New Roman" w:hAnsi="Georgia" w:cs="Times New Roman"/>
          <w:sz w:val="24"/>
          <w:szCs w:val="24"/>
          <w:lang w:eastAsia="en-GB"/>
        </w:rPr>
        <w:t> (Ct.App.), </w:t>
      </w:r>
      <w:r w:rsidRPr="00EA194D">
        <w:rPr>
          <w:rFonts w:ascii="Georgia" w:eastAsia="Times New Roman" w:hAnsi="Georgia" w:cs="Times New Roman"/>
          <w:i/>
          <w:iCs/>
          <w:sz w:val="24"/>
          <w:szCs w:val="24"/>
          <w:lang w:eastAsia="en-GB"/>
        </w:rPr>
        <w:t>cert. quashed, </w:t>
      </w:r>
      <w:hyperlink r:id="rId31" w:history="1">
        <w:r w:rsidRPr="00EA194D">
          <w:rPr>
            <w:rFonts w:ascii="Georgia" w:eastAsia="Times New Roman" w:hAnsi="Georgia" w:cs="Times New Roman"/>
            <w:color w:val="007BFF"/>
            <w:sz w:val="24"/>
            <w:szCs w:val="24"/>
            <w:lang w:eastAsia="en-GB"/>
          </w:rPr>
          <w:t>94 N.M. 675</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615 P.2d 992</w:t>
      </w:r>
      <w:r w:rsidRPr="00EA194D">
        <w:rPr>
          <w:rFonts w:ascii="Georgia" w:eastAsia="Times New Roman" w:hAnsi="Georgia" w:cs="Times New Roman"/>
          <w:sz w:val="24"/>
          <w:szCs w:val="24"/>
          <w:lang w:eastAsia="en-GB"/>
        </w:rPr>
        <w:t> (1980). That is a fact question to be resolved by the jury. </w:t>
      </w:r>
      <w:r w:rsidRPr="00EA194D">
        <w:rPr>
          <w:rFonts w:ascii="Georgia" w:eastAsia="Times New Roman" w:hAnsi="Georgia" w:cs="Times New Roman"/>
          <w:i/>
          <w:iCs/>
          <w:sz w:val="24"/>
          <w:szCs w:val="24"/>
          <w:lang w:eastAsia="en-GB"/>
        </w:rPr>
        <w:t>Id.</w:t>
      </w:r>
    </w:p>
    <w:p w14:paraId="443DEB09" w14:textId="7FAD5546"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Valdez, as the opposing party, is not required upon motion for summary judgment to prove his case. The burden is on the moving party to show, by affidavit or other evidence, that no material issue of fact remains on the matter to be decided. </w:t>
      </w:r>
      <w:r w:rsidRPr="00EA194D">
        <w:rPr>
          <w:rFonts w:ascii="Georgia" w:eastAsia="Times New Roman" w:hAnsi="Georgia" w:cs="Times New Roman"/>
          <w:i/>
          <w:iCs/>
          <w:sz w:val="24"/>
          <w:szCs w:val="24"/>
          <w:lang w:eastAsia="en-GB"/>
        </w:rPr>
        <w:t>Security Bank &amp; Trust v. Parmer, </w:t>
      </w:r>
      <w:hyperlink r:id="rId32" w:history="1">
        <w:r w:rsidRPr="00EA194D">
          <w:rPr>
            <w:rFonts w:ascii="Georgia" w:eastAsia="Times New Roman" w:hAnsi="Georgia" w:cs="Times New Roman"/>
            <w:color w:val="007BFF"/>
            <w:sz w:val="24"/>
            <w:szCs w:val="24"/>
            <w:lang w:eastAsia="en-GB"/>
          </w:rPr>
          <w:t>97 N.M. 108</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637 P.2d 539</w:t>
      </w:r>
      <w:r w:rsidRPr="00EA194D">
        <w:rPr>
          <w:rFonts w:ascii="Georgia" w:eastAsia="Times New Roman" w:hAnsi="Georgia" w:cs="Times New Roman"/>
          <w:sz w:val="24"/>
          <w:szCs w:val="24"/>
          <w:lang w:eastAsia="en-GB"/>
        </w:rPr>
        <w:t> (1981). We have said that fact issues remain concerning the degree of Cillessen’s control. Depending upon the jury’s determination of that issue, the decision on whether or not Cillessen could be found to be responsible for wilful, wanton conduct or utter disregard of plaintiff’s safety must be held in abeyance. If, upon trial of the issues remaining in this case, it appears that insufficient evidence has been adduced to show the necessary control that would permit the jury to reach the questions of such indifference or disregard on defendant’s part, or any obligation to provide a safe place or to warn of a dangerous condition, the trial court may then dismiss the claim for punitive damages. </w:t>
      </w:r>
      <w:r w:rsidRPr="00EA194D">
        <w:rPr>
          <w:rFonts w:ascii="Georgia" w:eastAsia="Times New Roman" w:hAnsi="Georgia" w:cs="Times New Roman"/>
          <w:i/>
          <w:iCs/>
          <w:sz w:val="24"/>
          <w:szCs w:val="24"/>
          <w:lang w:eastAsia="en-GB"/>
        </w:rPr>
        <w:t>See Ruiz v. Southern Pacific Transportation Co.</w:t>
      </w:r>
    </w:p>
    <w:p w14:paraId="443DEB0A"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 xml:space="preserve">In summary, the trial court’s grant of summary judgment on punitive damages in Count I was error and is reversed. </w:t>
      </w:r>
      <w:r w:rsidRPr="0081315C">
        <w:rPr>
          <w:rFonts w:ascii="Georgia" w:eastAsia="Times New Roman" w:hAnsi="Georgia" w:cs="Times New Roman"/>
          <w:sz w:val="24"/>
          <w:szCs w:val="24"/>
          <w:highlight w:val="red"/>
          <w:lang w:eastAsia="en-GB"/>
        </w:rPr>
        <w:t>The trial court’s grant of summary judgment on Counts II and IV is affirmed</w:t>
      </w:r>
      <w:r w:rsidRPr="00EA194D">
        <w:rPr>
          <w:rFonts w:ascii="Georgia" w:eastAsia="Times New Roman" w:hAnsi="Georgia" w:cs="Times New Roman"/>
          <w:sz w:val="24"/>
          <w:szCs w:val="24"/>
          <w:lang w:eastAsia="en-GB"/>
        </w:rPr>
        <w:t xml:space="preserve"> and its grant of summary judgment on Counts III, V, and VI is reversed. Counts I, III, V and VI are remanded for reinstatement and trial. IT IS SO ORDERED.</w:t>
      </w:r>
    </w:p>
    <w:p w14:paraId="443DEB0B"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SCARBOROUGH, C.J., SOSA, Senior Justice and RANSOM, J., concur.</w:t>
      </w:r>
    </w:p>
    <w:p w14:paraId="443DEB0C"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STOWERS, J. specially concurs in part and dissents in part.</w:t>
      </w:r>
    </w:p>
    <w:p w14:paraId="443DEB0D" w14:textId="77777777" w:rsidR="00EA194D" w:rsidRPr="00EA194D" w:rsidRDefault="00EA194D" w:rsidP="00EA194D">
      <w:pPr>
        <w:spacing w:before="100" w:beforeAutospacing="1" w:after="225" w:line="240" w:lineRule="auto"/>
        <w:rPr>
          <w:rFonts w:ascii="Georgia" w:eastAsia="Times New Roman" w:hAnsi="Georgia" w:cs="Times New Roman"/>
          <w:color w:val="E878FF"/>
          <w:sz w:val="24"/>
          <w:szCs w:val="24"/>
          <w:lang w:eastAsia="en-GB"/>
        </w:rPr>
      </w:pPr>
      <w:r w:rsidRPr="00EA194D">
        <w:rPr>
          <w:rFonts w:ascii="Georgia" w:eastAsia="Times New Roman" w:hAnsi="Georgia" w:cs="Times New Roman"/>
          <w:color w:val="E878FF"/>
          <w:sz w:val="24"/>
          <w:szCs w:val="24"/>
          <w:lang w:eastAsia="en-GB"/>
        </w:rPr>
        <w:t>STOWERS, Justice,</w:t>
      </w:r>
    </w:p>
    <w:p w14:paraId="443DEB0E"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specially concurring in part and dissenting in part.</w:t>
      </w:r>
    </w:p>
    <w:p w14:paraId="443DEB0F"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 concur with the portions of the majority’s opinion holding that summary judgments were inappropriate on Counts I, III and V and with the majority’s decision to affirm the trial court’s summary judgments on Counts II and IV. However, I believe that the trial court properly could have concluded from the language of the Cillessen — All State contract alone that Cillessen made no promise that Valdez could enforce by bringing an action in contract against Cillessen. I therefore believe that the trial court did not err in granting summary judgment in favor of Cillessen on Count VI, and dissent from the majority’s disposition of that count.</w:t>
      </w:r>
    </w:p>
    <w:p w14:paraId="443DEB10" w14:textId="2E193779"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 agree with the majority that both the Cillessen — All State and Cillessen — Indian Housing Authority contracts are distinguishable from the contract at issue in </w:t>
      </w:r>
      <w:r w:rsidRPr="00EA194D">
        <w:rPr>
          <w:rFonts w:ascii="Georgia" w:eastAsia="Times New Roman" w:hAnsi="Georgia" w:cs="Times New Roman"/>
          <w:i/>
          <w:iCs/>
          <w:sz w:val="24"/>
          <w:szCs w:val="24"/>
          <w:lang w:eastAsia="en-GB"/>
        </w:rPr>
        <w:t>McKinney v. Davis, </w:t>
      </w:r>
      <w:hyperlink r:id="rId33" w:history="1">
        <w:r w:rsidRPr="00EA194D">
          <w:rPr>
            <w:rFonts w:ascii="Georgia" w:eastAsia="Times New Roman" w:hAnsi="Georgia" w:cs="Times New Roman"/>
            <w:color w:val="007BFF"/>
            <w:sz w:val="24"/>
            <w:szCs w:val="24"/>
            <w:lang w:eastAsia="en-GB"/>
          </w:rPr>
          <w:t>84 N.M. 352</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503 P.2d 332</w:t>
      </w:r>
      <w:r w:rsidRPr="00EA194D">
        <w:rPr>
          <w:rFonts w:ascii="Georgia" w:eastAsia="Times New Roman" w:hAnsi="Georgia" w:cs="Times New Roman"/>
          <w:sz w:val="24"/>
          <w:szCs w:val="24"/>
          <w:lang w:eastAsia="en-GB"/>
        </w:rPr>
        <w:t> (1972), because they do not explicitly describe the intended beneficiaries of their provisions regarding workmen’s compensation insurance. Under these circumstances, I agree that the third party may show by extrinsic evidence that the parties to the contract intended those provisions for his benefit. </w:t>
      </w:r>
      <w:r w:rsidRPr="00EA194D">
        <w:rPr>
          <w:rFonts w:ascii="Georgia" w:eastAsia="Times New Roman" w:hAnsi="Georgia" w:cs="Times New Roman"/>
          <w:i/>
          <w:iCs/>
          <w:sz w:val="24"/>
          <w:szCs w:val="24"/>
          <w:lang w:eastAsia="en-GB"/>
        </w:rPr>
        <w:t>See Permian Basin Investment Corp. v. Lloyd, </w:t>
      </w:r>
      <w:hyperlink r:id="rId34" w:history="1">
        <w:r w:rsidRPr="00EA194D">
          <w:rPr>
            <w:rFonts w:ascii="Georgia" w:eastAsia="Times New Roman" w:hAnsi="Georgia" w:cs="Times New Roman"/>
            <w:color w:val="007BFF"/>
            <w:sz w:val="24"/>
            <w:szCs w:val="24"/>
            <w:lang w:eastAsia="en-GB"/>
          </w:rPr>
          <w:t>63 N.M. 1</w:t>
        </w:r>
      </w:hyperlink>
      <w:r w:rsidRPr="00EA194D">
        <w:rPr>
          <w:rFonts w:ascii="Georgia" w:eastAsia="Times New Roman" w:hAnsi="Georgia" w:cs="Times New Roman"/>
          <w:sz w:val="24"/>
          <w:szCs w:val="24"/>
          <w:lang w:eastAsia="en-GB"/>
        </w:rPr>
        <w:t>, 7, </w:t>
      </w:r>
      <w:r w:rsidRPr="00EA194D">
        <w:rPr>
          <w:rFonts w:ascii="Georgia" w:eastAsia="Times New Roman" w:hAnsi="Georgia" w:cs="Times New Roman"/>
          <w:color w:val="007BFF"/>
          <w:sz w:val="24"/>
          <w:szCs w:val="24"/>
          <w:lang w:eastAsia="en-GB"/>
        </w:rPr>
        <w:t>312 P.2d 533</w:t>
      </w:r>
      <w:r w:rsidRPr="00EA194D">
        <w:rPr>
          <w:rFonts w:ascii="Georgia" w:eastAsia="Times New Roman" w:hAnsi="Georgia" w:cs="Times New Roman"/>
          <w:sz w:val="24"/>
          <w:szCs w:val="24"/>
          <w:lang w:eastAsia="en-GB"/>
        </w:rPr>
        <w:t>, 537 (1957); </w:t>
      </w:r>
      <w:r w:rsidRPr="00EA194D">
        <w:rPr>
          <w:rFonts w:ascii="Georgia" w:eastAsia="Times New Roman" w:hAnsi="Georgia" w:cs="Times New Roman"/>
          <w:i/>
          <w:iCs/>
          <w:sz w:val="24"/>
          <w:szCs w:val="24"/>
          <w:lang w:eastAsia="en-GB"/>
        </w:rPr>
        <w:t>see also Stotlar v. Hester, </w:t>
      </w:r>
      <w:hyperlink r:id="rId35" w:history="1">
        <w:r w:rsidRPr="00EA194D">
          <w:rPr>
            <w:rFonts w:ascii="Georgia" w:eastAsia="Times New Roman" w:hAnsi="Georgia" w:cs="Times New Roman"/>
            <w:color w:val="007BFF"/>
            <w:sz w:val="24"/>
            <w:szCs w:val="24"/>
            <w:lang w:eastAsia="en-GB"/>
          </w:rPr>
          <w:t>92 N.M. 26</w:t>
        </w:r>
      </w:hyperlink>
      <w:r w:rsidRPr="00EA194D">
        <w:rPr>
          <w:rFonts w:ascii="Georgia" w:eastAsia="Times New Roman" w:hAnsi="Georgia" w:cs="Times New Roman"/>
          <w:sz w:val="24"/>
          <w:szCs w:val="24"/>
          <w:lang w:eastAsia="en-GB"/>
        </w:rPr>
        <w:t>, 30, </w:t>
      </w:r>
      <w:r w:rsidRPr="00EA194D">
        <w:rPr>
          <w:rFonts w:ascii="Georgia" w:eastAsia="Times New Roman" w:hAnsi="Georgia" w:cs="Times New Roman"/>
          <w:color w:val="007BFF"/>
          <w:sz w:val="24"/>
          <w:szCs w:val="24"/>
          <w:lang w:eastAsia="en-GB"/>
        </w:rPr>
        <w:t>582 P.2d 403</w:t>
      </w:r>
      <w:r w:rsidRPr="00EA194D">
        <w:rPr>
          <w:rFonts w:ascii="Georgia" w:eastAsia="Times New Roman" w:hAnsi="Georgia" w:cs="Times New Roman"/>
          <w:sz w:val="24"/>
          <w:szCs w:val="24"/>
          <w:lang w:eastAsia="en-GB"/>
        </w:rPr>
        <w:t>, 407 (Ct.App.), </w:t>
      </w:r>
      <w:r w:rsidRPr="00EA194D">
        <w:rPr>
          <w:rFonts w:ascii="Georgia" w:eastAsia="Times New Roman" w:hAnsi="Georgia" w:cs="Times New Roman"/>
          <w:i/>
          <w:iCs/>
          <w:sz w:val="24"/>
          <w:szCs w:val="24"/>
          <w:lang w:eastAsia="en-GB"/>
        </w:rPr>
        <w:t>cert. denied, </w:t>
      </w:r>
      <w:hyperlink r:id="rId36" w:history="1">
        <w:r w:rsidRPr="00EA194D">
          <w:rPr>
            <w:rFonts w:ascii="Georgia" w:eastAsia="Times New Roman" w:hAnsi="Georgia" w:cs="Times New Roman"/>
            <w:color w:val="007BFF"/>
            <w:sz w:val="24"/>
            <w:szCs w:val="24"/>
            <w:lang w:eastAsia="en-GB"/>
          </w:rPr>
          <w:t>92 N.M. 180</w:t>
        </w:r>
      </w:hyperlink>
      <w:r w:rsidRPr="00EA194D">
        <w:rPr>
          <w:rFonts w:ascii="Georgia" w:eastAsia="Times New Roman" w:hAnsi="Georgia" w:cs="Times New Roman"/>
          <w:sz w:val="24"/>
          <w:szCs w:val="24"/>
          <w:lang w:eastAsia="en-GB"/>
        </w:rPr>
        <w:t>, </w:t>
      </w:r>
      <w:r w:rsidRPr="00EA194D">
        <w:rPr>
          <w:rFonts w:ascii="Georgia" w:eastAsia="Times New Roman" w:hAnsi="Georgia" w:cs="Times New Roman"/>
          <w:color w:val="007BFF"/>
          <w:sz w:val="24"/>
          <w:szCs w:val="24"/>
          <w:lang w:eastAsia="en-GB"/>
        </w:rPr>
        <w:t>585 P.2d 324</w:t>
      </w:r>
      <w:r w:rsidRPr="00EA194D">
        <w:rPr>
          <w:rFonts w:ascii="Georgia" w:eastAsia="Times New Roman" w:hAnsi="Georgia" w:cs="Times New Roman"/>
          <w:sz w:val="24"/>
          <w:szCs w:val="24"/>
          <w:lang w:eastAsia="en-GB"/>
        </w:rPr>
        <w:t> (1978). However, the parties’ intention to benefit Valdez was not the issue determinative of Cillessen’s motion for summary judgment on Count VI.</w:t>
      </w:r>
    </w:p>
    <w:p w14:paraId="443DEB11" w14:textId="622D9A4B"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The trial court’s grant of summary judgment on Count VI was proper, I believe, because it is clear from the language of the contract itself that, although he may have had a right of action against All State, Valdez had no right of action against Cillessen as a third party beneficiary of the Cillessen — All State contract. This Court long has held that an action lies against the promisor by the third party to enforce the promise made for his benefit. </w:t>
      </w:r>
      <w:r w:rsidRPr="00EA194D">
        <w:rPr>
          <w:rFonts w:ascii="Georgia" w:eastAsia="Times New Roman" w:hAnsi="Georgia" w:cs="Times New Roman"/>
          <w:i/>
          <w:iCs/>
          <w:sz w:val="24"/>
          <w:szCs w:val="24"/>
          <w:lang w:eastAsia="en-GB"/>
        </w:rPr>
        <w:t>See John</w:t>
      </w:r>
      <w:hyperlink r:id="rId37" w:anchor="p583" w:history="1">
        <w:r w:rsidRPr="00EA194D">
          <w:rPr>
            <w:rFonts w:ascii="Georgia" w:eastAsia="Times New Roman" w:hAnsi="Georgia" w:cs="Times New Roman"/>
            <w:i/>
            <w:iCs/>
            <w:color w:val="979797"/>
            <w:sz w:val="19"/>
            <w:szCs w:val="19"/>
            <w:lang w:eastAsia="en-GB"/>
          </w:rPr>
          <w:t>*583</w:t>
        </w:r>
      </w:hyperlink>
      <w:r w:rsidRPr="00EA194D">
        <w:rPr>
          <w:rFonts w:ascii="Georgia" w:eastAsia="Times New Roman" w:hAnsi="Georgia" w:cs="Times New Roman"/>
          <w:i/>
          <w:iCs/>
          <w:sz w:val="24"/>
          <w:szCs w:val="24"/>
          <w:lang w:eastAsia="en-GB"/>
        </w:rPr>
        <w:t>son v. Armstrong &amp; Armstrong, </w:t>
      </w:r>
      <w:r w:rsidRPr="00EA194D">
        <w:rPr>
          <w:rFonts w:ascii="Georgia" w:eastAsia="Times New Roman" w:hAnsi="Georgia" w:cs="Times New Roman"/>
          <w:color w:val="007BFF"/>
          <w:sz w:val="24"/>
          <w:szCs w:val="24"/>
          <w:lang w:eastAsia="en-GB"/>
        </w:rPr>
        <w:t>41 N.M. 206</w:t>
      </w:r>
      <w:r w:rsidRPr="00EA194D">
        <w:rPr>
          <w:rFonts w:ascii="Georgia" w:eastAsia="Times New Roman" w:hAnsi="Georgia" w:cs="Times New Roman"/>
          <w:sz w:val="24"/>
          <w:szCs w:val="24"/>
          <w:lang w:eastAsia="en-GB"/>
        </w:rPr>
        <w:t>, 210, </w:t>
      </w:r>
      <w:hyperlink r:id="rId38" w:history="1">
        <w:r w:rsidRPr="00EA194D">
          <w:rPr>
            <w:rFonts w:ascii="Georgia" w:eastAsia="Times New Roman" w:hAnsi="Georgia" w:cs="Times New Roman"/>
            <w:color w:val="007BFF"/>
            <w:sz w:val="24"/>
            <w:szCs w:val="24"/>
            <w:lang w:eastAsia="en-GB"/>
          </w:rPr>
          <w:t>66 P.2d 992</w:t>
        </w:r>
      </w:hyperlink>
      <w:r w:rsidRPr="00EA194D">
        <w:rPr>
          <w:rFonts w:ascii="Georgia" w:eastAsia="Times New Roman" w:hAnsi="Georgia" w:cs="Times New Roman"/>
          <w:sz w:val="24"/>
          <w:szCs w:val="24"/>
          <w:lang w:eastAsia="en-GB"/>
        </w:rPr>
        <w:t>, 994 (1937); </w:t>
      </w:r>
      <w:r w:rsidRPr="00EA194D">
        <w:rPr>
          <w:rFonts w:ascii="Georgia" w:eastAsia="Times New Roman" w:hAnsi="Georgia" w:cs="Times New Roman"/>
          <w:i/>
          <w:iCs/>
          <w:sz w:val="24"/>
          <w:szCs w:val="24"/>
          <w:lang w:eastAsia="en-GB"/>
        </w:rPr>
        <w:t>see also </w:t>
      </w:r>
      <w:r w:rsidRPr="00EA194D">
        <w:rPr>
          <w:rFonts w:ascii="Georgia" w:eastAsia="Times New Roman" w:hAnsi="Georgia" w:cs="Times New Roman"/>
          <w:sz w:val="24"/>
          <w:szCs w:val="24"/>
          <w:lang w:eastAsia="en-GB"/>
        </w:rPr>
        <w:t>Restatement (Second) of Contracts §§ 304, 307 (1979); 4 A. Corbin, </w:t>
      </w:r>
      <w:r w:rsidRPr="00EA194D">
        <w:rPr>
          <w:rFonts w:ascii="Georgia" w:eastAsia="Times New Roman" w:hAnsi="Georgia" w:cs="Times New Roman"/>
          <w:i/>
          <w:iCs/>
          <w:sz w:val="24"/>
          <w:szCs w:val="24"/>
          <w:lang w:eastAsia="en-GB"/>
        </w:rPr>
        <w:t>Corbin on Contracts </w:t>
      </w:r>
      <w:r w:rsidRPr="00EA194D">
        <w:rPr>
          <w:rFonts w:ascii="Georgia" w:eastAsia="Times New Roman" w:hAnsi="Georgia" w:cs="Times New Roman"/>
          <w:sz w:val="24"/>
          <w:szCs w:val="24"/>
          <w:lang w:eastAsia="en-GB"/>
        </w:rPr>
        <w:t>§§ 773, 775, 782 (1951); 2 S. Williston, </w:t>
      </w:r>
      <w:r w:rsidRPr="00EA194D">
        <w:rPr>
          <w:rFonts w:ascii="Georgia" w:eastAsia="Times New Roman" w:hAnsi="Georgia" w:cs="Times New Roman"/>
          <w:i/>
          <w:iCs/>
          <w:sz w:val="24"/>
          <w:szCs w:val="24"/>
          <w:lang w:eastAsia="en-GB"/>
        </w:rPr>
        <w:t>A Treatise on the Law of Contracts </w:t>
      </w:r>
      <w:r w:rsidRPr="00EA194D">
        <w:rPr>
          <w:rFonts w:ascii="Georgia" w:eastAsia="Times New Roman" w:hAnsi="Georgia" w:cs="Times New Roman"/>
          <w:sz w:val="24"/>
          <w:szCs w:val="24"/>
          <w:lang w:eastAsia="en-GB"/>
        </w:rPr>
        <w:t>§§ 347, 356-359, 364A, 368 (3d ed. 1959). This right of action is premised upon a recognition that the third party who in fact suffers from the promisor’s breach of his contractual obligations has greater incentive to enforce the contract and to carry out the intentions of the promisee than does the promisee. </w:t>
      </w:r>
      <w:r w:rsidRPr="00EA194D">
        <w:rPr>
          <w:rFonts w:ascii="Georgia" w:eastAsia="Times New Roman" w:hAnsi="Georgia" w:cs="Times New Roman"/>
          <w:i/>
          <w:iCs/>
          <w:sz w:val="24"/>
          <w:szCs w:val="24"/>
          <w:lang w:eastAsia="en-GB"/>
        </w:rPr>
        <w:t>See </w:t>
      </w:r>
      <w:r w:rsidRPr="00EA194D">
        <w:rPr>
          <w:rFonts w:ascii="Georgia" w:eastAsia="Times New Roman" w:hAnsi="Georgia" w:cs="Times New Roman"/>
          <w:sz w:val="24"/>
          <w:szCs w:val="24"/>
          <w:lang w:eastAsia="en-GB"/>
        </w:rPr>
        <w:t>4 A Corbin, </w:t>
      </w:r>
      <w:r w:rsidRPr="00EA194D">
        <w:rPr>
          <w:rFonts w:ascii="Georgia" w:eastAsia="Times New Roman" w:hAnsi="Georgia" w:cs="Times New Roman"/>
          <w:i/>
          <w:iCs/>
          <w:sz w:val="24"/>
          <w:szCs w:val="24"/>
          <w:lang w:eastAsia="en-GB"/>
        </w:rPr>
        <w:t>supra, </w:t>
      </w:r>
      <w:r w:rsidRPr="00EA194D">
        <w:rPr>
          <w:rFonts w:ascii="Georgia" w:eastAsia="Times New Roman" w:hAnsi="Georgia" w:cs="Times New Roman"/>
          <w:sz w:val="24"/>
          <w:szCs w:val="24"/>
          <w:lang w:eastAsia="en-GB"/>
        </w:rPr>
        <w:t>§ 775, at 8; 2 S. Williston, </w:t>
      </w:r>
      <w:r w:rsidRPr="00EA194D">
        <w:rPr>
          <w:rFonts w:ascii="Georgia" w:eastAsia="Times New Roman" w:hAnsi="Georgia" w:cs="Times New Roman"/>
          <w:i/>
          <w:iCs/>
          <w:sz w:val="24"/>
          <w:szCs w:val="24"/>
          <w:lang w:eastAsia="en-GB"/>
        </w:rPr>
        <w:t>supra, </w:t>
      </w:r>
      <w:r w:rsidRPr="00EA194D">
        <w:rPr>
          <w:rFonts w:ascii="Georgia" w:eastAsia="Times New Roman" w:hAnsi="Georgia" w:cs="Times New Roman"/>
          <w:sz w:val="24"/>
          <w:szCs w:val="24"/>
          <w:lang w:eastAsia="en-GB"/>
        </w:rPr>
        <w:t>§ 357, at 843-44.</w:t>
      </w:r>
    </w:p>
    <w:p w14:paraId="443DEB12" w14:textId="321584FA"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In paragraph 12 of the Cillessen — All State contract, the subcontractor, All State, promised to carry and pay for workmen’s compensation insurance and to furnish the contractor, Cillessen, with evidence of its insurance policies. Nowhere in the contract, however, did Cillessen promise to compel All State to perform its promises regarding workmen’s compensation insurance. Whether an agreement is ambiguous is a question of law for the trial court, as is the construction of an unambiguous contract. </w:t>
      </w:r>
      <w:r w:rsidRPr="00EA194D">
        <w:rPr>
          <w:rFonts w:ascii="Georgia" w:eastAsia="Times New Roman" w:hAnsi="Georgia" w:cs="Times New Roman"/>
          <w:i/>
          <w:iCs/>
          <w:sz w:val="24"/>
          <w:szCs w:val="24"/>
          <w:lang w:eastAsia="en-GB"/>
        </w:rPr>
        <w:t>See Boatwright v. Howard, </w:t>
      </w:r>
      <w:r w:rsidRPr="00EA194D">
        <w:rPr>
          <w:rFonts w:ascii="Georgia" w:eastAsia="Times New Roman" w:hAnsi="Georgia" w:cs="Times New Roman"/>
          <w:color w:val="007BFF"/>
          <w:sz w:val="24"/>
          <w:szCs w:val="24"/>
          <w:lang w:eastAsia="en-GB"/>
        </w:rPr>
        <w:t>102 N.M. 262</w:t>
      </w:r>
      <w:r w:rsidRPr="00EA194D">
        <w:rPr>
          <w:rFonts w:ascii="Georgia" w:eastAsia="Times New Roman" w:hAnsi="Georgia" w:cs="Times New Roman"/>
          <w:sz w:val="24"/>
          <w:szCs w:val="24"/>
          <w:lang w:eastAsia="en-GB"/>
        </w:rPr>
        <w:t>, 264, </w:t>
      </w:r>
      <w:hyperlink r:id="rId39" w:history="1">
        <w:r w:rsidRPr="00EA194D">
          <w:rPr>
            <w:rFonts w:ascii="Georgia" w:eastAsia="Times New Roman" w:hAnsi="Georgia" w:cs="Times New Roman"/>
            <w:color w:val="007BFF"/>
            <w:sz w:val="24"/>
            <w:szCs w:val="24"/>
            <w:lang w:eastAsia="en-GB"/>
          </w:rPr>
          <w:t>694 P.2d 518</w:t>
        </w:r>
      </w:hyperlink>
      <w:r w:rsidRPr="00EA194D">
        <w:rPr>
          <w:rFonts w:ascii="Georgia" w:eastAsia="Times New Roman" w:hAnsi="Georgia" w:cs="Times New Roman"/>
          <w:sz w:val="24"/>
          <w:szCs w:val="24"/>
          <w:lang w:eastAsia="en-GB"/>
        </w:rPr>
        <w:t>, 520 (1985); </w:t>
      </w:r>
      <w:r w:rsidRPr="00EA194D">
        <w:rPr>
          <w:rFonts w:ascii="Georgia" w:eastAsia="Times New Roman" w:hAnsi="Georgia" w:cs="Times New Roman"/>
          <w:i/>
          <w:iCs/>
          <w:sz w:val="24"/>
          <w:szCs w:val="24"/>
          <w:lang w:eastAsia="en-GB"/>
        </w:rPr>
        <w:t>see also McKinney v. Davis, </w:t>
      </w:r>
      <w:r w:rsidRPr="00EA194D">
        <w:rPr>
          <w:rFonts w:ascii="Georgia" w:eastAsia="Times New Roman" w:hAnsi="Georgia" w:cs="Times New Roman"/>
          <w:sz w:val="24"/>
          <w:szCs w:val="24"/>
          <w:lang w:eastAsia="en-GB"/>
        </w:rPr>
        <w:t>84 N.M. at 353-54, 503 P.2d at 333-34. The trial court here properly could have concluded that the contract was unambiguous, and properly could have found in its language no promise by Cillessen to act for the benefit of Valdez.</w:t>
      </w:r>
    </w:p>
    <w:p w14:paraId="443DEB13" w14:textId="243309C0"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Summary judgment is appropriate where there is no genuine issue of material fact and the moving party is entitled to a judgment as a matter of law. </w:t>
      </w:r>
      <w:r w:rsidRPr="00EA194D">
        <w:rPr>
          <w:rFonts w:ascii="Georgia" w:eastAsia="Times New Roman" w:hAnsi="Georgia" w:cs="Times New Roman"/>
          <w:i/>
          <w:iCs/>
          <w:sz w:val="24"/>
          <w:szCs w:val="24"/>
          <w:lang w:eastAsia="en-GB"/>
        </w:rPr>
        <w:t>Westgate Families v. County Clerk, </w:t>
      </w:r>
      <w:r w:rsidRPr="00EA194D">
        <w:rPr>
          <w:rFonts w:ascii="Georgia" w:eastAsia="Times New Roman" w:hAnsi="Georgia" w:cs="Times New Roman"/>
          <w:color w:val="007BFF"/>
          <w:sz w:val="24"/>
          <w:szCs w:val="24"/>
          <w:lang w:eastAsia="en-GB"/>
        </w:rPr>
        <w:t>100 N.M. 146</w:t>
      </w:r>
      <w:r w:rsidRPr="00EA194D">
        <w:rPr>
          <w:rFonts w:ascii="Georgia" w:eastAsia="Times New Roman" w:hAnsi="Georgia" w:cs="Times New Roman"/>
          <w:sz w:val="24"/>
          <w:szCs w:val="24"/>
          <w:lang w:eastAsia="en-GB"/>
        </w:rPr>
        <w:t>, 148, </w:t>
      </w:r>
      <w:hyperlink r:id="rId40" w:history="1">
        <w:r w:rsidRPr="00EA194D">
          <w:rPr>
            <w:rFonts w:ascii="Georgia" w:eastAsia="Times New Roman" w:hAnsi="Georgia" w:cs="Times New Roman"/>
            <w:color w:val="007BFF"/>
            <w:sz w:val="24"/>
            <w:szCs w:val="24"/>
            <w:lang w:eastAsia="en-GB"/>
          </w:rPr>
          <w:t>667 P.2d 453</w:t>
        </w:r>
      </w:hyperlink>
      <w:r w:rsidRPr="00EA194D">
        <w:rPr>
          <w:rFonts w:ascii="Georgia" w:eastAsia="Times New Roman" w:hAnsi="Georgia" w:cs="Times New Roman"/>
          <w:sz w:val="24"/>
          <w:szCs w:val="24"/>
          <w:lang w:eastAsia="en-GB"/>
        </w:rPr>
        <w:t>, 455 (1983); NMSA 1978, Civ. P.R. 56 (Repl.Pamp.1980). Because the construction of the Cillessen — All State contract presented a question of law, not fact, and because Valdez had no right of action against Cillessen to enforce promises made to, not by, Cillessen, I believe that the trial court did not err in granting a summary judgment in favor of Cillessen on Count VI.</w:t>
      </w:r>
    </w:p>
    <w:p w14:paraId="443DEB14"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On the other hand, in paragraph 24 of the Cillessen — Indian Housing Authority contract, the contractor, Cillessen, promised to furnish the Indian Housing Authority with evidence that workmen’s compensation insurance was in force and would cover all operations under that contract. An action may lie against the promisor, Cillessen, to enforce this promise. Because the construction of this ambiguous contractual promise made by Cillessen and the intention of the parties to benefit Valdez raised material questions of fact, I agree with the majority that the trial court erred in granting a summary judgment in favor of Cillessen on Count V.</w:t>
      </w:r>
    </w:p>
    <w:p w14:paraId="443DEB15" w14:textId="77777777" w:rsidR="00EA194D" w:rsidRPr="00EA194D" w:rsidRDefault="00EA194D" w:rsidP="00EA194D">
      <w:pPr>
        <w:spacing w:before="100" w:beforeAutospacing="1" w:after="225" w:line="240" w:lineRule="auto"/>
        <w:rPr>
          <w:rFonts w:ascii="Georgia" w:eastAsia="Times New Roman" w:hAnsi="Georgia" w:cs="Times New Roman"/>
          <w:sz w:val="24"/>
          <w:szCs w:val="24"/>
          <w:lang w:eastAsia="en-GB"/>
        </w:rPr>
      </w:pPr>
      <w:r w:rsidRPr="00EA194D">
        <w:rPr>
          <w:rFonts w:ascii="Georgia" w:eastAsia="Times New Roman" w:hAnsi="Georgia" w:cs="Times New Roman"/>
          <w:sz w:val="24"/>
          <w:szCs w:val="24"/>
          <w:lang w:eastAsia="en-GB"/>
        </w:rPr>
        <w:t>For the foregoing reasons, I believe that the majority correctly disposed of Counts I through V but that the trial court’s ruling on Count VI should be affirmed. Therefore, I respectfully dissent in part.</w:t>
      </w:r>
    </w:p>
    <w:p w14:paraId="443DEB16"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94D"/>
    <w:rsid w:val="000D32E7"/>
    <w:rsid w:val="00100923"/>
    <w:rsid w:val="0036748D"/>
    <w:rsid w:val="003C7770"/>
    <w:rsid w:val="006C1919"/>
    <w:rsid w:val="0081315C"/>
    <w:rsid w:val="009144B5"/>
    <w:rsid w:val="00A5395A"/>
    <w:rsid w:val="00EA1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EABB"/>
  <w15:docId w15:val="{30E5C5E4-6BF5-4569-9985-6FB92E26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94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A194D"/>
  </w:style>
  <w:style w:type="character" w:customStyle="1" w:styleId="court-name">
    <w:name w:val="court-name"/>
    <w:basedOn w:val="DefaultParagraphFont"/>
    <w:rsid w:val="00EA194D"/>
  </w:style>
  <w:style w:type="character" w:customStyle="1" w:styleId="docket-number">
    <w:name w:val="docket-number"/>
    <w:basedOn w:val="DefaultParagraphFont"/>
    <w:rsid w:val="00EA194D"/>
  </w:style>
  <w:style w:type="character" w:customStyle="1" w:styleId="case-name-v">
    <w:name w:val="case-name-v"/>
    <w:basedOn w:val="DefaultParagraphFont"/>
    <w:rsid w:val="00EA194D"/>
  </w:style>
  <w:style w:type="paragraph" w:customStyle="1" w:styleId="citation">
    <w:name w:val="citation"/>
    <w:basedOn w:val="Normal"/>
    <w:rsid w:val="00EA19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A19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A19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A19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A194D"/>
    <w:rPr>
      <w:color w:val="0000FF"/>
      <w:u w:val="single"/>
    </w:rPr>
  </w:style>
  <w:style w:type="paragraph" w:styleId="NormalWeb">
    <w:name w:val="Normal (Web)"/>
    <w:basedOn w:val="Normal"/>
    <w:uiPriority w:val="99"/>
    <w:semiHidden/>
    <w:unhideWhenUsed/>
    <w:rsid w:val="00EA19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EA19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A194D"/>
    <w:rPr>
      <w:i/>
      <w:iCs/>
    </w:rPr>
  </w:style>
  <w:style w:type="paragraph" w:customStyle="1" w:styleId="judges">
    <w:name w:val="judges"/>
    <w:basedOn w:val="Normal"/>
    <w:rsid w:val="00EA19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639126">
      <w:bodyDiv w:val="1"/>
      <w:marLeft w:val="0"/>
      <w:marRight w:val="0"/>
      <w:marTop w:val="0"/>
      <w:marBottom w:val="0"/>
      <w:divBdr>
        <w:top w:val="none" w:sz="0" w:space="0" w:color="auto"/>
        <w:left w:val="none" w:sz="0" w:space="0" w:color="auto"/>
        <w:bottom w:val="none" w:sz="0" w:space="0" w:color="auto"/>
        <w:right w:val="none" w:sz="0" w:space="0" w:color="auto"/>
      </w:divBdr>
      <w:divsChild>
        <w:div w:id="457845189">
          <w:marLeft w:val="0"/>
          <w:marRight w:val="0"/>
          <w:marTop w:val="0"/>
          <w:marBottom w:val="0"/>
          <w:divBdr>
            <w:top w:val="none" w:sz="0" w:space="0" w:color="auto"/>
            <w:left w:val="none" w:sz="0" w:space="0" w:color="auto"/>
            <w:bottom w:val="none" w:sz="0" w:space="0" w:color="auto"/>
            <w:right w:val="none" w:sz="0" w:space="0" w:color="auto"/>
          </w:divBdr>
        </w:div>
        <w:div w:id="1833911629">
          <w:marLeft w:val="0"/>
          <w:marRight w:val="0"/>
          <w:marTop w:val="0"/>
          <w:marBottom w:val="0"/>
          <w:divBdr>
            <w:top w:val="none" w:sz="0" w:space="0" w:color="auto"/>
            <w:left w:val="none" w:sz="0" w:space="0" w:color="auto"/>
            <w:bottom w:val="none" w:sz="0" w:space="0" w:color="auto"/>
            <w:right w:val="none" w:sz="0" w:space="0" w:color="auto"/>
          </w:divBdr>
        </w:div>
        <w:div w:id="822696471">
          <w:marLeft w:val="0"/>
          <w:marRight w:val="0"/>
          <w:marTop w:val="0"/>
          <w:marBottom w:val="0"/>
          <w:divBdr>
            <w:top w:val="none" w:sz="0" w:space="0" w:color="auto"/>
            <w:left w:val="none" w:sz="0" w:space="0" w:color="auto"/>
            <w:bottom w:val="none" w:sz="0" w:space="0" w:color="auto"/>
            <w:right w:val="none" w:sz="0" w:space="0" w:color="auto"/>
          </w:divBdr>
          <w:divsChild>
            <w:div w:id="1129936442">
              <w:marLeft w:val="1019"/>
              <w:marRight w:val="0"/>
              <w:marTop w:val="0"/>
              <w:marBottom w:val="0"/>
              <w:divBdr>
                <w:top w:val="none" w:sz="0" w:space="0" w:color="auto"/>
                <w:left w:val="none" w:sz="0" w:space="0" w:color="auto"/>
                <w:bottom w:val="none" w:sz="0" w:space="0" w:color="auto"/>
                <w:right w:val="none" w:sz="0" w:space="0" w:color="auto"/>
              </w:divBdr>
            </w:div>
          </w:divsChild>
        </w:div>
        <w:div w:id="1216310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937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28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08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47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161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4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86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1608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44986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606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9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4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7370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5790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3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16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94/332/" TargetMode="External"/><Relationship Id="rId18" Type="http://schemas.openxmlformats.org/officeDocument/2006/relationships/hyperlink" Target="https://cite.case.law/p2d/644/1060/" TargetMode="External"/><Relationship Id="rId26" Type="http://schemas.openxmlformats.org/officeDocument/2006/relationships/hyperlink" Target="https://cite.case.law/p2d/503/332/" TargetMode="External"/><Relationship Id="rId39" Type="http://schemas.openxmlformats.org/officeDocument/2006/relationships/hyperlink" Target="https://cite.case.law/p2d/694/518/" TargetMode="External"/><Relationship Id="rId21" Type="http://schemas.openxmlformats.org/officeDocument/2006/relationships/hyperlink" Target="https://cite.case.law/nm/89/278/" TargetMode="External"/><Relationship Id="rId34" Type="http://schemas.openxmlformats.org/officeDocument/2006/relationships/hyperlink" Target="https://cite.case.law/nm/63/1/" TargetMode="External"/><Relationship Id="rId42" Type="http://schemas.openxmlformats.org/officeDocument/2006/relationships/theme" Target="theme/theme1.xml"/><Relationship Id="rId7" Type="http://schemas.openxmlformats.org/officeDocument/2006/relationships/hyperlink" Target="https://cite.case.law/p2d/658/1116/" TargetMode="External"/><Relationship Id="rId2" Type="http://schemas.openxmlformats.org/officeDocument/2006/relationships/settings" Target="settings.xml"/><Relationship Id="rId16" Type="http://schemas.openxmlformats.org/officeDocument/2006/relationships/hyperlink" Target="https://cite.case.law/nm/90/8/" TargetMode="External"/><Relationship Id="rId20" Type="http://schemas.openxmlformats.org/officeDocument/2006/relationships/hyperlink" Target="https://cite.case.law/p2d/693/587/" TargetMode="External"/><Relationship Id="rId29" Type="http://schemas.openxmlformats.org/officeDocument/2006/relationships/hyperlink" Target="https://cite.case.law/nm/97/24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p2d/658/1121/" TargetMode="External"/><Relationship Id="rId11" Type="http://schemas.openxmlformats.org/officeDocument/2006/relationships/hyperlink" Target="https://cite.case.law/wash2d/90/323/" TargetMode="External"/><Relationship Id="rId24" Type="http://schemas.openxmlformats.org/officeDocument/2006/relationships/hyperlink" Target="https://cite.case.law/nm/105/575/" TargetMode="External"/><Relationship Id="rId32" Type="http://schemas.openxmlformats.org/officeDocument/2006/relationships/hyperlink" Target="https://cite.case.law/nm/97/108/" TargetMode="External"/><Relationship Id="rId37" Type="http://schemas.openxmlformats.org/officeDocument/2006/relationships/hyperlink" Target="https://cite.case.law/nm/105/575/" TargetMode="External"/><Relationship Id="rId40" Type="http://schemas.openxmlformats.org/officeDocument/2006/relationships/hyperlink" Target="https://cite.case.law/p2d/667/453/" TargetMode="External"/><Relationship Id="rId5" Type="http://schemas.openxmlformats.org/officeDocument/2006/relationships/hyperlink" Target="https://cite.case.law/p2d/543/820/" TargetMode="External"/><Relationship Id="rId15" Type="http://schemas.openxmlformats.org/officeDocument/2006/relationships/hyperlink" Target="https://cite.case.law/nm/89/525/" TargetMode="External"/><Relationship Id="rId23" Type="http://schemas.openxmlformats.org/officeDocument/2006/relationships/hyperlink" Target="https://cite.case.law/sct/94/2644/" TargetMode="External"/><Relationship Id="rId28" Type="http://schemas.openxmlformats.org/officeDocument/2006/relationships/hyperlink" Target="https://cite.case.law/nm/97/194/" TargetMode="External"/><Relationship Id="rId36" Type="http://schemas.openxmlformats.org/officeDocument/2006/relationships/hyperlink" Target="https://cite.case.law/nm/92/180/" TargetMode="External"/><Relationship Id="rId10" Type="http://schemas.openxmlformats.org/officeDocument/2006/relationships/hyperlink" Target="https://cite.case.law/p2d/582/1302/" TargetMode="External"/><Relationship Id="rId19" Type="http://schemas.openxmlformats.org/officeDocument/2006/relationships/hyperlink" Target="https://cite.case.law/p2d/633/706/" TargetMode="External"/><Relationship Id="rId31" Type="http://schemas.openxmlformats.org/officeDocument/2006/relationships/hyperlink" Target="https://cite.case.law/nm/94/675/" TargetMode="External"/><Relationship Id="rId4" Type="http://schemas.openxmlformats.org/officeDocument/2006/relationships/hyperlink" Target="https://cite.case.law/nm/105/575/" TargetMode="External"/><Relationship Id="rId9" Type="http://schemas.openxmlformats.org/officeDocument/2006/relationships/hyperlink" Target="https://cite.case.law/p2d/628/686/" TargetMode="External"/><Relationship Id="rId14" Type="http://schemas.openxmlformats.org/officeDocument/2006/relationships/hyperlink" Target="https://cite.case.law/nm/103/689/" TargetMode="External"/><Relationship Id="rId22" Type="http://schemas.openxmlformats.org/officeDocument/2006/relationships/hyperlink" Target="https://cite.case.law/sw2d/502/659/" TargetMode="External"/><Relationship Id="rId27" Type="http://schemas.openxmlformats.org/officeDocument/2006/relationships/hyperlink" Target="https://cite.case.law/p2d/597/314/" TargetMode="External"/><Relationship Id="rId30" Type="http://schemas.openxmlformats.org/officeDocument/2006/relationships/hyperlink" Target="https://cite.case.law/nm/95/670/" TargetMode="External"/><Relationship Id="rId35" Type="http://schemas.openxmlformats.org/officeDocument/2006/relationships/hyperlink" Target="https://cite.case.law/nm/92/26/" TargetMode="External"/><Relationship Id="rId8" Type="http://schemas.openxmlformats.org/officeDocument/2006/relationships/hyperlink" Target="https://cite.case.law/p2d/628/329/" TargetMode="External"/><Relationship Id="rId3" Type="http://schemas.openxmlformats.org/officeDocument/2006/relationships/webSettings" Target="webSettings.xml"/><Relationship Id="rId12" Type="http://schemas.openxmlformats.org/officeDocument/2006/relationships/hyperlink" Target="https://cite.case.law/conn/184/173/" TargetMode="External"/><Relationship Id="rId17" Type="http://schemas.openxmlformats.org/officeDocument/2006/relationships/hyperlink" Target="https://cite.case.law/nm/105/575/" TargetMode="External"/><Relationship Id="rId25" Type="http://schemas.openxmlformats.org/officeDocument/2006/relationships/hyperlink" Target="https://cite.case.law/p2d/296/476/" TargetMode="External"/><Relationship Id="rId33" Type="http://schemas.openxmlformats.org/officeDocument/2006/relationships/hyperlink" Target="https://cite.case.law/nm/84/352/" TargetMode="External"/><Relationship Id="rId38" Type="http://schemas.openxmlformats.org/officeDocument/2006/relationships/hyperlink" Target="https://cite.case.law/p2d/66/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4570</Words>
  <Characters>26054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2024-09-17T13:14:00Z</dcterms:created>
  <dcterms:modified xsi:type="dcterms:W3CDTF">2024-09-17T13:14:00Z</dcterms:modified>
</cp:coreProperties>
</file>