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47D25" w14:textId="77777777" w:rsidR="001D538C" w:rsidRDefault="001D538C" w:rsidP="001D538C">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Porter v. Ortiz, 100 N.M. 58, 665 P.2d 1149 (1983)</w:t>
      </w:r>
    </w:p>
    <w:p w14:paraId="45447D26" w14:textId="77777777" w:rsidR="001D538C" w:rsidRDefault="001D538C" w:rsidP="001D538C">
      <w:pPr>
        <w:shd w:val="clear" w:color="auto" w:fill="FFFFFF"/>
        <w:jc w:val="center"/>
        <w:rPr>
          <w:color w:val="2F2F2F"/>
          <w:spacing w:val="3"/>
          <w:sz w:val="27"/>
          <w:szCs w:val="27"/>
        </w:rPr>
      </w:pPr>
      <w:r>
        <w:rPr>
          <w:rStyle w:val="decision-date"/>
          <w:color w:val="2F2F2F"/>
          <w:spacing w:val="3"/>
          <w:sz w:val="27"/>
          <w:szCs w:val="27"/>
        </w:rPr>
        <w:t>Feb. 15, 1983</w:t>
      </w:r>
      <w:r>
        <w:rPr>
          <w:color w:val="2F2F2F"/>
          <w:spacing w:val="3"/>
          <w:sz w:val="27"/>
          <w:szCs w:val="27"/>
        </w:rPr>
        <w:t> · </w:t>
      </w:r>
      <w:r>
        <w:rPr>
          <w:rStyle w:val="court-name"/>
          <w:color w:val="2F2F2F"/>
          <w:spacing w:val="3"/>
          <w:sz w:val="27"/>
          <w:szCs w:val="27"/>
        </w:rPr>
        <w:t>Court of Appeals of New Mexico</w:t>
      </w:r>
      <w:r>
        <w:rPr>
          <w:color w:val="2F2F2F"/>
          <w:spacing w:val="3"/>
          <w:sz w:val="27"/>
          <w:szCs w:val="27"/>
        </w:rPr>
        <w:t> · </w:t>
      </w:r>
      <w:r>
        <w:rPr>
          <w:rStyle w:val="docket-number"/>
          <w:color w:val="2F2F2F"/>
          <w:spacing w:val="3"/>
          <w:sz w:val="27"/>
          <w:szCs w:val="27"/>
        </w:rPr>
        <w:t>No. 5725</w:t>
      </w:r>
    </w:p>
    <w:p w14:paraId="45447D27" w14:textId="77777777" w:rsidR="001D538C" w:rsidRDefault="001D538C" w:rsidP="001D538C">
      <w:pPr>
        <w:shd w:val="clear" w:color="auto" w:fill="FFFFFF"/>
        <w:spacing w:line="480" w:lineRule="atLeast"/>
        <w:jc w:val="center"/>
        <w:rPr>
          <w:color w:val="2F2F2F"/>
          <w:spacing w:val="3"/>
          <w:sz w:val="27"/>
          <w:szCs w:val="27"/>
        </w:rPr>
      </w:pPr>
      <w:r>
        <w:rPr>
          <w:color w:val="2F2F2F"/>
          <w:spacing w:val="3"/>
          <w:sz w:val="27"/>
          <w:szCs w:val="27"/>
        </w:rPr>
        <w:t>100 N.M. 58, 665 P.2d 1149</w:t>
      </w:r>
    </w:p>
    <w:p w14:paraId="45447D28" w14:textId="77777777" w:rsidR="001D538C" w:rsidRDefault="001D538C" w:rsidP="001D538C">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Daniel PORTER, Sr., individually and as personal representative of the estate of Elizabeth Porter, a deceased minor; and Ceferino Flores, individually and as father and next friend of Anna Marie Flores and Frances Flores, minors, Plaintiffs-Appellants,</w:t>
      </w:r>
      <w:r>
        <w:rPr>
          <w:rStyle w:val="case-name-v"/>
          <w:rFonts w:ascii="Georgia" w:hAnsi="Georgia" w:cs="Arial"/>
          <w:i/>
          <w:iCs/>
          <w:color w:val="2F2F2F"/>
          <w:spacing w:val="3"/>
          <w:sz w:val="30"/>
          <w:szCs w:val="30"/>
        </w:rPr>
        <w:t>v.</w:t>
      </w:r>
      <w:r>
        <w:rPr>
          <w:rFonts w:ascii="Georgia" w:hAnsi="Georgia" w:cs="Arial"/>
          <w:color w:val="2F2F2F"/>
          <w:spacing w:val="3"/>
          <w:sz w:val="30"/>
          <w:szCs w:val="30"/>
        </w:rPr>
        <w:t>Juan R. ORTIZ, individually and d/b/a El Alto Bar, Defendant-Appellee</w:t>
      </w:r>
    </w:p>
    <w:p w14:paraId="45447D29" w14:textId="77777777" w:rsidR="001D538C" w:rsidRDefault="001D538C" w:rsidP="001D538C">
      <w:pPr>
        <w:pStyle w:val="citation"/>
        <w:rPr>
          <w:rFonts w:ascii="Georgia" w:hAnsi="Georgia"/>
        </w:rPr>
      </w:pPr>
      <w:r>
        <w:rPr>
          <w:rFonts w:ascii="Georgia" w:hAnsi="Georgia"/>
        </w:rPr>
        <w:t>665 P.2d 1149</w:t>
      </w:r>
    </w:p>
    <w:p w14:paraId="45447D2A" w14:textId="77777777" w:rsidR="001D538C" w:rsidRDefault="001D538C" w:rsidP="001D538C">
      <w:pPr>
        <w:pStyle w:val="court"/>
        <w:rPr>
          <w:rFonts w:ascii="Georgia" w:hAnsi="Georgia"/>
        </w:rPr>
      </w:pPr>
      <w:r>
        <w:rPr>
          <w:rFonts w:ascii="Georgia" w:hAnsi="Georgia"/>
        </w:rPr>
        <w:t>Court of Appeals of New Mexico.</w:t>
      </w:r>
    </w:p>
    <w:p w14:paraId="45447D2B" w14:textId="77777777" w:rsidR="001D538C" w:rsidRDefault="001D538C" w:rsidP="001D538C">
      <w:pPr>
        <w:pStyle w:val="otherdate"/>
        <w:rPr>
          <w:rFonts w:ascii="Georgia" w:hAnsi="Georgia"/>
        </w:rPr>
      </w:pPr>
      <w:r>
        <w:rPr>
          <w:rFonts w:ascii="Georgia" w:hAnsi="Georgia"/>
        </w:rPr>
        <w:t>Certiorari Quashed June 24, 1983.</w:t>
      </w:r>
    </w:p>
    <w:p w14:paraId="45447D2C" w14:textId="77777777" w:rsidR="001D538C" w:rsidRDefault="001D538C" w:rsidP="001D538C">
      <w:pPr>
        <w:pStyle w:val="attorneys"/>
        <w:shd w:val="clear" w:color="auto" w:fill="F7F7F9"/>
        <w:spacing w:after="0" w:afterAutospacing="0"/>
        <w:rPr>
          <w:rFonts w:ascii="Georgia" w:hAnsi="Georgia"/>
        </w:rPr>
      </w:pPr>
      <w:r>
        <w:rPr>
          <w:rFonts w:ascii="Georgia" w:hAnsi="Georgia"/>
        </w:rPr>
        <w:t>Jones, Gallegos, Snead &amp; Wertheim, P.A. by Peter V. Culbert, Santa Fe, for plaintiffs-appellants.</w:t>
      </w:r>
    </w:p>
    <w:p w14:paraId="45447D2D" w14:textId="77777777" w:rsidR="001D538C" w:rsidRDefault="001D538C" w:rsidP="001D538C">
      <w:pPr>
        <w:pStyle w:val="attorneys"/>
        <w:shd w:val="clear" w:color="auto" w:fill="F7F7F9"/>
        <w:spacing w:before="0" w:beforeAutospacing="0" w:after="0" w:afterAutospacing="0"/>
        <w:rPr>
          <w:rFonts w:ascii="Georgia" w:hAnsi="Georgia"/>
        </w:rPr>
      </w:pPr>
      <w:r>
        <w:rPr>
          <w:rFonts w:ascii="Georgia" w:hAnsi="Georgia"/>
        </w:rPr>
        <w:t>Gerber, Ives &amp; Gramer by Paul D. Gerber and Janice M. Ahern, Santa Fe, for defendant-appellee.</w:t>
      </w:r>
    </w:p>
    <w:p w14:paraId="45447D2E" w14:textId="77777777" w:rsidR="001D538C" w:rsidRDefault="001D538C" w:rsidP="001D538C">
      <w:pPr>
        <w:pStyle w:val="NormalWeb"/>
        <w:spacing w:after="225" w:afterAutospacing="0"/>
        <w:rPr>
          <w:rFonts w:ascii="Georgia" w:hAnsi="Georgia"/>
        </w:rPr>
      </w:pPr>
      <w:r>
        <w:rPr>
          <w:rFonts w:ascii="Georgia" w:hAnsi="Georgia"/>
        </w:rPr>
        <w:t>OPINION</w:t>
      </w:r>
    </w:p>
    <w:p w14:paraId="45447D2F" w14:textId="77777777" w:rsidR="001D538C" w:rsidRDefault="001D538C" w:rsidP="001D538C">
      <w:pPr>
        <w:pStyle w:val="author"/>
        <w:spacing w:after="225" w:afterAutospacing="0"/>
        <w:rPr>
          <w:rFonts w:ascii="Georgia" w:hAnsi="Georgia"/>
          <w:color w:val="E878FF"/>
        </w:rPr>
      </w:pPr>
      <w:r>
        <w:rPr>
          <w:rFonts w:ascii="Georgia" w:hAnsi="Georgia"/>
          <w:color w:val="E878FF"/>
        </w:rPr>
        <w:t>NEAL, Judge.</w:t>
      </w:r>
    </w:p>
    <w:p w14:paraId="45447D30" w14:textId="77777777" w:rsidR="001D538C" w:rsidRDefault="001D538C" w:rsidP="001D538C">
      <w:pPr>
        <w:pStyle w:val="NormalWeb"/>
        <w:spacing w:after="225" w:afterAutospacing="0"/>
        <w:rPr>
          <w:rFonts w:ascii="Georgia" w:hAnsi="Georgia"/>
        </w:rPr>
      </w:pPr>
      <w:r>
        <w:rPr>
          <w:rFonts w:ascii="Georgia" w:hAnsi="Georgia"/>
        </w:rPr>
        <w:t>Is a tavern keeper liable when he knowingly sells alcohol to minors and, as a result of the sale, the minors are killed or injured?</w:t>
      </w:r>
    </w:p>
    <w:p w14:paraId="45447D31" w14:textId="77777777" w:rsidR="001D538C" w:rsidRPr="00902A08" w:rsidRDefault="001D538C" w:rsidP="001D538C">
      <w:pPr>
        <w:pStyle w:val="NormalWeb"/>
        <w:spacing w:after="225" w:afterAutospacing="0"/>
        <w:rPr>
          <w:rFonts w:ascii="Georgia" w:hAnsi="Georgia"/>
          <w:highlight w:val="magenta"/>
        </w:rPr>
      </w:pPr>
      <w:r w:rsidRPr="00902A08">
        <w:rPr>
          <w:rFonts w:ascii="Georgia" w:hAnsi="Georgia"/>
          <w:highlight w:val="yellow"/>
        </w:rPr>
        <w:t>Elizabeth Porter, 16, was killed when her car overturned. Anna Marie Flores and Frances Flores, minor passengers in the car, were injured. Another minor passenger, Julie Roybal, was not injured.</w:t>
      </w:r>
      <w:r>
        <w:rPr>
          <w:rFonts w:ascii="Georgia" w:hAnsi="Georgia"/>
        </w:rPr>
        <w:t xml:space="preserve"> </w:t>
      </w:r>
      <w:r w:rsidRPr="00902A08">
        <w:rPr>
          <w:rFonts w:ascii="Georgia" w:hAnsi="Georgia"/>
          <w:highlight w:val="magenta"/>
        </w:rPr>
        <w:t>Elizabeth Porter is represented by her father, Daniel Porter, Sr., and the Flores sisters are represented by their father, Ceferino Flores.</w:t>
      </w:r>
    </w:p>
    <w:p w14:paraId="45447D32" w14:textId="60A72735" w:rsidR="001D538C" w:rsidRDefault="001D538C" w:rsidP="001D538C">
      <w:pPr>
        <w:pStyle w:val="NormalWeb"/>
        <w:spacing w:after="225" w:afterAutospacing="0"/>
        <w:rPr>
          <w:rFonts w:ascii="Georgia" w:hAnsi="Georgia"/>
        </w:rPr>
      </w:pPr>
      <w:r w:rsidRPr="00902A08">
        <w:rPr>
          <w:rFonts w:ascii="Georgia" w:hAnsi="Georgia"/>
          <w:highlight w:val="magenta"/>
        </w:rPr>
        <w:t>The plaintiffs filed their complaint against Ortiz on April 3, 1981. They alleged that Ortiz, owner of the El Alto Bar in Pecos, New Mexico, willfully or negligently provided alcohol to the girls, knowing that they were minors. The defendant moved to dismiss the complaint for failure </w:t>
      </w:r>
      <w:r w:rsidRPr="00A426CC">
        <w:rPr>
          <w:rFonts w:ascii="Georgia" w:hAnsi="Georgia"/>
          <w:i/>
          <w:iCs/>
          <w:sz w:val="19"/>
          <w:szCs w:val="19"/>
          <w:highlight w:val="magenta"/>
        </w:rPr>
        <w:t>*59</w:t>
      </w:r>
      <w:r w:rsidRPr="00902A08">
        <w:rPr>
          <w:rFonts w:ascii="Georgia" w:hAnsi="Georgia"/>
          <w:highlight w:val="magenta"/>
        </w:rPr>
        <w:t>to state a claim, or in the alternative for summary judgment. After hearing, the trial court ruled that there were genuine issues of material fact, but that as a matter of law plaintiffs did not state a claim against Ortiz. The plaintiffs appeal the dismissal of their complaint.</w:t>
      </w:r>
    </w:p>
    <w:p w14:paraId="45447D33" w14:textId="77777777" w:rsidR="001D538C" w:rsidRDefault="001D538C" w:rsidP="001D538C">
      <w:pPr>
        <w:pStyle w:val="NormalWeb"/>
        <w:spacing w:after="225" w:afterAutospacing="0"/>
        <w:rPr>
          <w:rFonts w:ascii="Georgia" w:hAnsi="Georgia"/>
        </w:rPr>
      </w:pPr>
      <w:r w:rsidRPr="00902A08">
        <w:rPr>
          <w:rFonts w:ascii="Georgia" w:hAnsi="Georgia"/>
          <w:highlight w:val="red"/>
        </w:rPr>
        <w:t>We reverse.</w:t>
      </w:r>
    </w:p>
    <w:p w14:paraId="45447D34" w14:textId="22B2A6F6" w:rsidR="001D538C" w:rsidRDefault="001D538C" w:rsidP="001D538C">
      <w:pPr>
        <w:pStyle w:val="NormalWeb"/>
        <w:spacing w:after="225" w:afterAutospacing="0"/>
        <w:rPr>
          <w:rFonts w:ascii="Georgia" w:hAnsi="Georgia"/>
        </w:rPr>
      </w:pPr>
      <w:r>
        <w:rPr>
          <w:rFonts w:ascii="Georgia" w:hAnsi="Georgia"/>
        </w:rPr>
        <w:t>Since the trial court’s ruling our Supreme Court, in </w:t>
      </w:r>
      <w:r w:rsidRPr="00902A08">
        <w:rPr>
          <w:rStyle w:val="Emphasis"/>
          <w:rFonts w:ascii="Georgia" w:hAnsi="Georgia"/>
          <w:highlight w:val="cyan"/>
        </w:rPr>
        <w:t>Lopez v. Maez, </w:t>
      </w:r>
      <w:hyperlink r:id="rId4" w:history="1">
        <w:r w:rsidRPr="00902A08">
          <w:rPr>
            <w:rStyle w:val="Hyperlink"/>
            <w:rFonts w:ascii="Georgia" w:hAnsi="Georgia"/>
            <w:color w:val="007BFF"/>
            <w:highlight w:val="cyan"/>
          </w:rPr>
          <w:t>98 N.M. 625</w:t>
        </w:r>
      </w:hyperlink>
      <w:r w:rsidRPr="00902A08">
        <w:rPr>
          <w:rFonts w:ascii="Georgia" w:hAnsi="Georgia"/>
          <w:highlight w:val="cyan"/>
        </w:rPr>
        <w:t>, </w:t>
      </w:r>
      <w:r w:rsidRPr="00A426CC">
        <w:rPr>
          <w:rFonts w:ascii="Georgia" w:hAnsi="Georgia"/>
          <w:highlight w:val="cyan"/>
        </w:rPr>
        <w:t>651 P.2d 1269</w:t>
      </w:r>
      <w:r w:rsidRPr="00902A08">
        <w:rPr>
          <w:rFonts w:ascii="Georgia" w:hAnsi="Georgia"/>
          <w:highlight w:val="cyan"/>
        </w:rPr>
        <w:t> (1982)</w:t>
      </w:r>
      <w:r>
        <w:rPr>
          <w:rFonts w:ascii="Georgia" w:hAnsi="Georgia"/>
        </w:rPr>
        <w:t xml:space="preserve"> and </w:t>
      </w:r>
      <w:r w:rsidRPr="00902A08">
        <w:rPr>
          <w:rStyle w:val="Emphasis"/>
          <w:rFonts w:ascii="Georgia" w:hAnsi="Georgia"/>
          <w:highlight w:val="cyan"/>
        </w:rPr>
        <w:t>MRC Properties, </w:t>
      </w:r>
      <w:r w:rsidRPr="00902A08">
        <w:rPr>
          <w:rFonts w:ascii="Georgia" w:hAnsi="Georgia"/>
          <w:highlight w:val="cyan"/>
        </w:rPr>
        <w:t>Inc. v. </w:t>
      </w:r>
      <w:r w:rsidRPr="00902A08">
        <w:rPr>
          <w:rStyle w:val="Emphasis"/>
          <w:rFonts w:ascii="Georgia" w:hAnsi="Georgia"/>
          <w:highlight w:val="cyan"/>
        </w:rPr>
        <w:t>Gries, </w:t>
      </w:r>
      <w:hyperlink r:id="rId5" w:history="1">
        <w:r w:rsidRPr="00902A08">
          <w:rPr>
            <w:rStyle w:val="Hyperlink"/>
            <w:rFonts w:ascii="Georgia" w:hAnsi="Georgia"/>
            <w:color w:val="007BFF"/>
            <w:highlight w:val="cyan"/>
          </w:rPr>
          <w:t>98 N.M. 710</w:t>
        </w:r>
      </w:hyperlink>
      <w:r w:rsidRPr="00902A08">
        <w:rPr>
          <w:rFonts w:ascii="Georgia" w:hAnsi="Georgia"/>
          <w:highlight w:val="cyan"/>
        </w:rPr>
        <w:t>, </w:t>
      </w:r>
      <w:r w:rsidRPr="00A426CC">
        <w:rPr>
          <w:rFonts w:ascii="Georgia" w:hAnsi="Georgia"/>
          <w:highlight w:val="cyan"/>
        </w:rPr>
        <w:t>652 P.2d 732</w:t>
      </w:r>
      <w:r w:rsidRPr="00902A08">
        <w:rPr>
          <w:rFonts w:ascii="Georgia" w:hAnsi="Georgia"/>
          <w:highlight w:val="cyan"/>
        </w:rPr>
        <w:t> (1982)</w:t>
      </w:r>
      <w:r>
        <w:rPr>
          <w:rFonts w:ascii="Georgia" w:hAnsi="Georgia"/>
        </w:rPr>
        <w:t xml:space="preserve">, has held that tavern keepers may be liable under certain </w:t>
      </w:r>
      <w:r>
        <w:rPr>
          <w:rFonts w:ascii="Georgia" w:hAnsi="Georgia"/>
        </w:rPr>
        <w:lastRenderedPageBreak/>
        <w:t>circumstances. </w:t>
      </w:r>
      <w:r w:rsidRPr="00902A08">
        <w:rPr>
          <w:rStyle w:val="Emphasis"/>
          <w:rFonts w:ascii="Georgia" w:hAnsi="Georgia"/>
          <w:highlight w:val="cyan"/>
        </w:rPr>
        <w:t>Lopez</w:t>
      </w:r>
      <w:r>
        <w:rPr>
          <w:rStyle w:val="Emphasis"/>
          <w:rFonts w:ascii="Georgia" w:hAnsi="Georgia"/>
        </w:rPr>
        <w:t> </w:t>
      </w:r>
      <w:r>
        <w:rPr>
          <w:rFonts w:ascii="Georgia" w:hAnsi="Georgia"/>
        </w:rPr>
        <w:t>and </w:t>
      </w:r>
      <w:r w:rsidRPr="00902A08">
        <w:rPr>
          <w:rStyle w:val="Emphasis"/>
          <w:rFonts w:ascii="Georgia" w:hAnsi="Georgia"/>
          <w:highlight w:val="cyan"/>
        </w:rPr>
        <w:t>MRC</w:t>
      </w:r>
      <w:r>
        <w:rPr>
          <w:rStyle w:val="Emphasis"/>
          <w:rFonts w:ascii="Georgia" w:hAnsi="Georgia"/>
        </w:rPr>
        <w:t> </w:t>
      </w:r>
      <w:r>
        <w:rPr>
          <w:rFonts w:ascii="Georgia" w:hAnsi="Georgia"/>
        </w:rPr>
        <w:t>overruled </w:t>
      </w:r>
      <w:r>
        <w:rPr>
          <w:rStyle w:val="Emphasis"/>
          <w:rFonts w:ascii="Georgia" w:hAnsi="Georgia"/>
        </w:rPr>
        <w:t>Marchiondo v. Roper, </w:t>
      </w:r>
      <w:hyperlink r:id="rId6" w:history="1">
        <w:r>
          <w:rPr>
            <w:rStyle w:val="Hyperlink"/>
            <w:rFonts w:ascii="Georgia" w:hAnsi="Georgia"/>
            <w:color w:val="007BFF"/>
          </w:rPr>
          <w:t>90 N.M. 367</w:t>
        </w:r>
      </w:hyperlink>
      <w:r>
        <w:rPr>
          <w:rFonts w:ascii="Georgia" w:hAnsi="Georgia"/>
        </w:rPr>
        <w:t>, </w:t>
      </w:r>
      <w:r w:rsidRPr="00A426CC">
        <w:rPr>
          <w:rFonts w:ascii="Georgia" w:hAnsi="Georgia"/>
        </w:rPr>
        <w:t>563 P.2d 1160</w:t>
      </w:r>
      <w:r>
        <w:rPr>
          <w:rFonts w:ascii="Georgia" w:hAnsi="Georgia"/>
        </w:rPr>
        <w:t> (1977); </w:t>
      </w:r>
      <w:r>
        <w:rPr>
          <w:rStyle w:val="Emphasis"/>
          <w:rFonts w:ascii="Georgia" w:hAnsi="Georgia"/>
        </w:rPr>
        <w:t>Hall v. Budagher, </w:t>
      </w:r>
      <w:hyperlink r:id="rId7" w:history="1">
        <w:r>
          <w:rPr>
            <w:rStyle w:val="Hyperlink"/>
            <w:rFonts w:ascii="Georgia" w:hAnsi="Georgia"/>
            <w:color w:val="007BFF"/>
          </w:rPr>
          <w:t>76 N.M. 591</w:t>
        </w:r>
      </w:hyperlink>
      <w:r>
        <w:rPr>
          <w:rFonts w:ascii="Georgia" w:hAnsi="Georgia"/>
        </w:rPr>
        <w:t>, </w:t>
      </w:r>
      <w:r w:rsidRPr="00A426CC">
        <w:rPr>
          <w:rFonts w:ascii="Georgia" w:hAnsi="Georgia"/>
        </w:rPr>
        <w:t>417 P.2d 71</w:t>
      </w:r>
      <w:r>
        <w:rPr>
          <w:rFonts w:ascii="Georgia" w:hAnsi="Georgia"/>
        </w:rPr>
        <w:t> (1966).</w:t>
      </w:r>
    </w:p>
    <w:p w14:paraId="45447D35" w14:textId="77777777" w:rsidR="001D538C" w:rsidRDefault="001D538C" w:rsidP="001D538C">
      <w:pPr>
        <w:pStyle w:val="NormalWeb"/>
        <w:spacing w:after="225" w:afterAutospacing="0"/>
        <w:rPr>
          <w:rFonts w:ascii="Georgia" w:hAnsi="Georgia"/>
        </w:rPr>
      </w:pPr>
      <w:r>
        <w:rPr>
          <w:rFonts w:ascii="Georgia" w:hAnsi="Georgia"/>
        </w:rPr>
        <w:t>We reiterate generally what was said in </w:t>
      </w:r>
      <w:r w:rsidRPr="00902A08">
        <w:rPr>
          <w:rStyle w:val="Emphasis"/>
          <w:rFonts w:ascii="Georgia" w:hAnsi="Georgia"/>
          <w:highlight w:val="cyan"/>
        </w:rPr>
        <w:t>Lopez</w:t>
      </w:r>
      <w:r>
        <w:rPr>
          <w:rStyle w:val="Emphasis"/>
          <w:rFonts w:ascii="Georgia" w:hAnsi="Georgia"/>
        </w:rPr>
        <w:t> </w:t>
      </w:r>
      <w:r>
        <w:rPr>
          <w:rFonts w:ascii="Georgia" w:hAnsi="Georgia"/>
        </w:rPr>
        <w:t>and </w:t>
      </w:r>
      <w:r w:rsidRPr="00902A08">
        <w:rPr>
          <w:rStyle w:val="Emphasis"/>
          <w:rFonts w:ascii="Georgia" w:hAnsi="Georgia"/>
          <w:highlight w:val="cyan"/>
        </w:rPr>
        <w:t>MRC</w:t>
      </w:r>
      <w:r>
        <w:rPr>
          <w:rStyle w:val="Emphasis"/>
          <w:rFonts w:ascii="Georgia" w:hAnsi="Georgia"/>
        </w:rPr>
        <w:t>. </w:t>
      </w:r>
      <w:r>
        <w:rPr>
          <w:rFonts w:ascii="Georgia" w:hAnsi="Georgia"/>
        </w:rPr>
        <w:t>Those cases provide for tavern keeper liability when the plaintiff can show that the tavern keeper owes him a duty of care, and that the breach of that duty is the proximate cause of his injury. </w:t>
      </w:r>
      <w:r w:rsidRPr="00902A08">
        <w:rPr>
          <w:rStyle w:val="Emphasis"/>
          <w:rFonts w:ascii="Georgia" w:hAnsi="Georgia"/>
          <w:highlight w:val="cyan"/>
        </w:rPr>
        <w:t>Lopez</w:t>
      </w:r>
      <w:r>
        <w:rPr>
          <w:rStyle w:val="Emphasis"/>
          <w:rFonts w:ascii="Georgia" w:hAnsi="Georgia"/>
        </w:rPr>
        <w:t> </w:t>
      </w:r>
      <w:r>
        <w:rPr>
          <w:rFonts w:ascii="Georgia" w:hAnsi="Georgia"/>
        </w:rPr>
        <w:t>recognized that a duty may be established by statute.</w:t>
      </w:r>
    </w:p>
    <w:p w14:paraId="45447D36" w14:textId="55804935" w:rsidR="001D538C" w:rsidRDefault="001D538C" w:rsidP="001D538C">
      <w:pPr>
        <w:pStyle w:val="NormalWeb"/>
        <w:spacing w:after="225" w:afterAutospacing="0"/>
        <w:rPr>
          <w:rFonts w:ascii="Georgia" w:hAnsi="Georgia"/>
        </w:rPr>
      </w:pPr>
      <w:r w:rsidRPr="00902A08">
        <w:rPr>
          <w:rFonts w:ascii="Georgia" w:hAnsi="Georgia"/>
          <w:highlight w:val="magenta"/>
        </w:rPr>
        <w:t>We must view the evidence in the light most favorable to the plaintiffs, and assume that all of their well-pleaded allegations are true.</w:t>
      </w:r>
      <w:r>
        <w:rPr>
          <w:rFonts w:ascii="Georgia" w:hAnsi="Georgia"/>
        </w:rPr>
        <w:t> </w:t>
      </w:r>
      <w:r>
        <w:rPr>
          <w:rStyle w:val="Emphasis"/>
          <w:rFonts w:ascii="Georgia" w:hAnsi="Georgia"/>
        </w:rPr>
        <w:t>Davis &amp; Carruth v. Valley Mercantile, etc., Co., </w:t>
      </w:r>
      <w:hyperlink r:id="rId8" w:history="1">
        <w:r>
          <w:rPr>
            <w:rStyle w:val="Hyperlink"/>
            <w:rFonts w:ascii="Georgia" w:hAnsi="Georgia"/>
            <w:color w:val="007BFF"/>
          </w:rPr>
          <w:t>33 N.M. 295</w:t>
        </w:r>
      </w:hyperlink>
      <w:r>
        <w:rPr>
          <w:rFonts w:ascii="Georgia" w:hAnsi="Georgia"/>
        </w:rPr>
        <w:t>, </w:t>
      </w:r>
      <w:r w:rsidRPr="00A426CC">
        <w:rPr>
          <w:rFonts w:ascii="Georgia" w:hAnsi="Georgia"/>
        </w:rPr>
        <w:t>265 P. 35</w:t>
      </w:r>
      <w:r>
        <w:rPr>
          <w:rFonts w:ascii="Georgia" w:hAnsi="Georgia"/>
        </w:rPr>
        <w:t> (1928); </w:t>
      </w:r>
      <w:r>
        <w:rPr>
          <w:rStyle w:val="Emphasis"/>
          <w:rFonts w:ascii="Georgia" w:hAnsi="Georgia"/>
        </w:rPr>
        <w:t>Hall, supra. </w:t>
      </w:r>
      <w:r>
        <w:rPr>
          <w:rFonts w:ascii="Georgia" w:hAnsi="Georgia"/>
        </w:rPr>
        <w:t>We must assume that Ortiz knowingly sold alcohol not only to Elizabeth Porter, but to all of the minor girls, all of whom he knew were minors and could see out of the front windows of the bar.</w:t>
      </w:r>
    </w:p>
    <w:p w14:paraId="45447D37" w14:textId="77777777" w:rsidR="001D538C" w:rsidRDefault="001D538C" w:rsidP="001D538C">
      <w:pPr>
        <w:pStyle w:val="NormalWeb"/>
        <w:spacing w:after="225" w:afterAutospacing="0"/>
        <w:rPr>
          <w:rFonts w:ascii="Georgia" w:hAnsi="Georgia"/>
        </w:rPr>
      </w:pPr>
      <w:r>
        <w:rPr>
          <w:rFonts w:ascii="Georgia" w:hAnsi="Georgia"/>
        </w:rPr>
        <w:t xml:space="preserve">Both </w:t>
      </w:r>
      <w:r w:rsidRPr="00902A08">
        <w:rPr>
          <w:rFonts w:ascii="Georgia" w:hAnsi="Georgia"/>
          <w:highlight w:val="cyan"/>
        </w:rPr>
        <w:t>§ 60-7B-1 and § 60-7B-1.1, N.M.S.A.1978 (1981 RepLPamph.)</w:t>
      </w:r>
      <w:r>
        <w:rPr>
          <w:rFonts w:ascii="Georgia" w:hAnsi="Georgia"/>
        </w:rPr>
        <w:t xml:space="preserve"> make it a violation of the Liquor Control Act to “sell” or “deliver” alcohol to a minor, or to “aid or assist” a minor in procuring alcohol. In </w:t>
      </w:r>
      <w:r w:rsidRPr="00902A08">
        <w:rPr>
          <w:rStyle w:val="Emphasis"/>
          <w:rFonts w:ascii="Georgia" w:hAnsi="Georgia"/>
          <w:highlight w:val="cyan"/>
        </w:rPr>
        <w:t>MRC</w:t>
      </w:r>
      <w:r>
        <w:rPr>
          <w:rStyle w:val="Emphasis"/>
          <w:rFonts w:ascii="Georgia" w:hAnsi="Georgia"/>
        </w:rPr>
        <w:t>, </w:t>
      </w:r>
      <w:r>
        <w:rPr>
          <w:rFonts w:ascii="Georgia" w:hAnsi="Georgia"/>
        </w:rPr>
        <w:t xml:space="preserve">the predecessor statute to </w:t>
      </w:r>
      <w:r w:rsidRPr="00902A08">
        <w:rPr>
          <w:rFonts w:ascii="Georgia" w:hAnsi="Georgia"/>
          <w:highlight w:val="cyan"/>
        </w:rPr>
        <w:t>§ 60-7B-1(A), </w:t>
      </w:r>
      <w:r w:rsidRPr="00902A08">
        <w:rPr>
          <w:rStyle w:val="Emphasis"/>
          <w:rFonts w:ascii="Georgia" w:hAnsi="Georgia"/>
          <w:highlight w:val="cyan"/>
        </w:rPr>
        <w:t>supra</w:t>
      </w:r>
      <w:r>
        <w:rPr>
          <w:rStyle w:val="Emphasis"/>
          <w:rFonts w:ascii="Georgia" w:hAnsi="Georgia"/>
        </w:rPr>
        <w:t>, </w:t>
      </w:r>
      <w:r>
        <w:rPr>
          <w:rFonts w:ascii="Georgia" w:hAnsi="Georgia"/>
        </w:rPr>
        <w:t>which was substantially the same as the new statute, created a duty to a third party who was injured by a minor who had been served alcohol contrary to the Liquor Control Act. Here, the minors, and not a third party, were injured. This supports our conclusion that Ortiz owed a duty of care to the minor girls.</w:t>
      </w:r>
    </w:p>
    <w:p w14:paraId="45447D38" w14:textId="77777777" w:rsidR="001D538C" w:rsidRDefault="001D538C" w:rsidP="001D538C">
      <w:pPr>
        <w:pStyle w:val="NormalWeb"/>
        <w:spacing w:after="225" w:afterAutospacing="0"/>
        <w:rPr>
          <w:rFonts w:ascii="Georgia" w:hAnsi="Georgia"/>
        </w:rPr>
      </w:pPr>
      <w:r w:rsidRPr="00902A08">
        <w:rPr>
          <w:rFonts w:ascii="Georgia" w:hAnsi="Georgia"/>
          <w:highlight w:val="green"/>
        </w:rPr>
        <w:t>Consistent with </w:t>
      </w:r>
      <w:r w:rsidRPr="00902A08">
        <w:rPr>
          <w:rStyle w:val="Emphasis"/>
          <w:rFonts w:ascii="Georgia" w:hAnsi="Georgia"/>
          <w:highlight w:val="green"/>
        </w:rPr>
        <w:t>Lopez </w:t>
      </w:r>
      <w:r w:rsidRPr="00902A08">
        <w:rPr>
          <w:rFonts w:ascii="Georgia" w:hAnsi="Georgia"/>
          <w:highlight w:val="green"/>
        </w:rPr>
        <w:t>and </w:t>
      </w:r>
      <w:r w:rsidRPr="00902A08">
        <w:rPr>
          <w:rStyle w:val="Emphasis"/>
          <w:rFonts w:ascii="Georgia" w:hAnsi="Georgia"/>
          <w:highlight w:val="green"/>
        </w:rPr>
        <w:t>MRC </w:t>
      </w:r>
      <w:r w:rsidRPr="00902A08">
        <w:rPr>
          <w:rFonts w:ascii="Georgia" w:hAnsi="Georgia"/>
          <w:highlight w:val="green"/>
        </w:rPr>
        <w:t>we conclude that, under the facts in the plaintiffs’ complaint, Ortiz may be liable for the death of Elizabeth Porter and the injuries to the Flores sisters.</w:t>
      </w:r>
    </w:p>
    <w:p w14:paraId="45447D39" w14:textId="77777777" w:rsidR="001D538C" w:rsidRDefault="001D538C" w:rsidP="001D538C">
      <w:pPr>
        <w:pStyle w:val="NormalWeb"/>
        <w:spacing w:after="225" w:afterAutospacing="0"/>
        <w:rPr>
          <w:rFonts w:ascii="Georgia" w:hAnsi="Georgia"/>
        </w:rPr>
      </w:pPr>
      <w:r>
        <w:rPr>
          <w:rFonts w:ascii="Georgia" w:hAnsi="Georgia"/>
        </w:rPr>
        <w:t xml:space="preserve">The breach of that duty must be shown to be the proximate cause of the accident. The plaintiffs alleged this in their complaint, and </w:t>
      </w:r>
      <w:r w:rsidRPr="00902A08">
        <w:rPr>
          <w:rFonts w:ascii="Georgia" w:hAnsi="Georgia"/>
          <w:highlight w:val="magenta"/>
        </w:rPr>
        <w:t>for purposes of this appeal, we assume that the breach of duty was the proximate cause of the accident.</w:t>
      </w:r>
    </w:p>
    <w:p w14:paraId="45447D3A" w14:textId="77777777" w:rsidR="001D538C" w:rsidRDefault="001D538C" w:rsidP="001D538C">
      <w:pPr>
        <w:pStyle w:val="NormalWeb"/>
        <w:spacing w:after="225" w:afterAutospacing="0"/>
        <w:rPr>
          <w:rFonts w:ascii="Georgia" w:hAnsi="Georgia"/>
        </w:rPr>
      </w:pPr>
      <w:r w:rsidRPr="00902A08">
        <w:rPr>
          <w:rFonts w:ascii="Georgia" w:hAnsi="Georgia"/>
          <w:highlight w:val="green"/>
        </w:rPr>
        <w:t>We have no difficulty concluding that under </w:t>
      </w:r>
      <w:r w:rsidRPr="00902A08">
        <w:rPr>
          <w:rStyle w:val="Emphasis"/>
          <w:rFonts w:ascii="Georgia" w:hAnsi="Georgia"/>
          <w:highlight w:val="green"/>
        </w:rPr>
        <w:t>Lopez </w:t>
      </w:r>
      <w:r w:rsidRPr="00902A08">
        <w:rPr>
          <w:rFonts w:ascii="Georgia" w:hAnsi="Georgia"/>
          <w:highlight w:val="green"/>
        </w:rPr>
        <w:t>and </w:t>
      </w:r>
      <w:r w:rsidRPr="00902A08">
        <w:rPr>
          <w:rStyle w:val="Emphasis"/>
          <w:rFonts w:ascii="Georgia" w:hAnsi="Georgia"/>
          <w:highlight w:val="green"/>
        </w:rPr>
        <w:t>MRC, </w:t>
      </w:r>
      <w:r w:rsidRPr="00902A08">
        <w:rPr>
          <w:rFonts w:ascii="Georgia" w:hAnsi="Georgia"/>
          <w:highlight w:val="green"/>
        </w:rPr>
        <w:t>the complaint states a claim against Ortiz.</w:t>
      </w:r>
      <w:r>
        <w:rPr>
          <w:rFonts w:ascii="Georgia" w:hAnsi="Georgia"/>
        </w:rPr>
        <w:t xml:space="preserve"> A more difficult issue, and the critical issue, is whether these cases apply to the present case. We hold that they do. In </w:t>
      </w:r>
      <w:r w:rsidRPr="00902A08">
        <w:rPr>
          <w:rStyle w:val="Emphasis"/>
          <w:rFonts w:ascii="Georgia" w:hAnsi="Georgia"/>
          <w:highlight w:val="cyan"/>
        </w:rPr>
        <w:t>MRC</w:t>
      </w:r>
      <w:r>
        <w:rPr>
          <w:rStyle w:val="Emphasis"/>
          <w:rFonts w:ascii="Georgia" w:hAnsi="Georgia"/>
        </w:rPr>
        <w:t> </w:t>
      </w:r>
      <w:r>
        <w:rPr>
          <w:rFonts w:ascii="Georgia" w:hAnsi="Georgia"/>
        </w:rPr>
        <w:t>the Supreme Court stated: “The present case and </w:t>
      </w:r>
      <w:r w:rsidRPr="00902A08">
        <w:rPr>
          <w:rStyle w:val="Emphasis"/>
          <w:rFonts w:ascii="Georgia" w:hAnsi="Georgia"/>
          <w:highlight w:val="cyan"/>
        </w:rPr>
        <w:t>Lopez v. Maez</w:t>
      </w:r>
      <w:r>
        <w:rPr>
          <w:rStyle w:val="Emphasis"/>
          <w:rFonts w:ascii="Georgia" w:hAnsi="Georgia"/>
        </w:rPr>
        <w:t> </w:t>
      </w:r>
      <w:r>
        <w:rPr>
          <w:rFonts w:ascii="Georgia" w:hAnsi="Georgia"/>
        </w:rPr>
        <w:t>were on appeal in our Court at the same time; therefore, we will allow the application of the common law negligence principle set forth in </w:t>
      </w:r>
      <w:r w:rsidRPr="00902A08">
        <w:rPr>
          <w:rStyle w:val="Emphasis"/>
          <w:rFonts w:ascii="Georgia" w:hAnsi="Georgia"/>
          <w:highlight w:val="cyan"/>
        </w:rPr>
        <w:t>Lopez v. Maez</w:t>
      </w:r>
      <w:r>
        <w:rPr>
          <w:rStyle w:val="Emphasis"/>
          <w:rFonts w:ascii="Georgia" w:hAnsi="Georgia"/>
        </w:rPr>
        <w:t> </w:t>
      </w:r>
      <w:r>
        <w:rPr>
          <w:rFonts w:ascii="Georgia" w:hAnsi="Georgia"/>
        </w:rPr>
        <w:t>to apply to the present case.”</w:t>
      </w:r>
    </w:p>
    <w:p w14:paraId="45447D3B" w14:textId="77777777" w:rsidR="001D538C" w:rsidRDefault="001D538C" w:rsidP="001D538C">
      <w:pPr>
        <w:pStyle w:val="NormalWeb"/>
        <w:spacing w:after="225" w:afterAutospacing="0"/>
        <w:rPr>
          <w:rFonts w:ascii="Georgia" w:hAnsi="Georgia"/>
        </w:rPr>
      </w:pPr>
      <w:r>
        <w:rPr>
          <w:rFonts w:ascii="Georgia" w:hAnsi="Georgia"/>
        </w:rPr>
        <w:t>The present case was pending on appeal at the same time as </w:t>
      </w:r>
      <w:r w:rsidRPr="00902A08">
        <w:rPr>
          <w:rStyle w:val="Emphasis"/>
          <w:rFonts w:ascii="Georgia" w:hAnsi="Georgia"/>
          <w:highlight w:val="cyan"/>
        </w:rPr>
        <w:t>Lopez</w:t>
      </w:r>
      <w:r>
        <w:rPr>
          <w:rStyle w:val="Emphasis"/>
          <w:rFonts w:ascii="Georgia" w:hAnsi="Georgia"/>
        </w:rPr>
        <w:t> </w:t>
      </w:r>
      <w:r>
        <w:rPr>
          <w:rFonts w:ascii="Georgia" w:hAnsi="Georgia"/>
        </w:rPr>
        <w:t>and </w:t>
      </w:r>
      <w:r w:rsidRPr="00902A08">
        <w:rPr>
          <w:rStyle w:val="Emphasis"/>
          <w:rFonts w:ascii="Georgia" w:hAnsi="Georgia"/>
          <w:highlight w:val="cyan"/>
        </w:rPr>
        <w:t>MRC</w:t>
      </w:r>
      <w:r>
        <w:rPr>
          <w:rStyle w:val="Emphasis"/>
          <w:rFonts w:ascii="Georgia" w:hAnsi="Georgia"/>
        </w:rPr>
        <w:t> </w:t>
      </w:r>
      <w:r>
        <w:rPr>
          <w:rFonts w:ascii="Georgia" w:hAnsi="Georgia"/>
        </w:rPr>
        <w:t>and, therefore, we hold that those cases apply to this case. The fact that this case was pending in the Court of Appeals, and not the Supreme Court, does not alter our conclusion. The balancing of different policies used in </w:t>
      </w:r>
      <w:r w:rsidRPr="00902A08">
        <w:rPr>
          <w:rStyle w:val="Emphasis"/>
          <w:rFonts w:ascii="Georgia" w:hAnsi="Georgia"/>
          <w:highlight w:val="cyan"/>
        </w:rPr>
        <w:t>Lopez</w:t>
      </w:r>
      <w:r>
        <w:rPr>
          <w:rStyle w:val="Emphasis"/>
          <w:rFonts w:ascii="Georgia" w:hAnsi="Georgia"/>
        </w:rPr>
        <w:t> </w:t>
      </w:r>
      <w:r>
        <w:rPr>
          <w:rFonts w:ascii="Georgia" w:hAnsi="Georgia"/>
        </w:rPr>
        <w:t>and in </w:t>
      </w:r>
      <w:r w:rsidRPr="00902A08">
        <w:rPr>
          <w:rStyle w:val="Emphasis"/>
          <w:rFonts w:ascii="Georgia" w:hAnsi="Georgia"/>
          <w:highlight w:val="cyan"/>
        </w:rPr>
        <w:t>MRC</w:t>
      </w:r>
      <w:r>
        <w:rPr>
          <w:rStyle w:val="Emphasis"/>
          <w:rFonts w:ascii="Georgia" w:hAnsi="Georgia"/>
        </w:rPr>
        <w:t> </w:t>
      </w:r>
      <w:r>
        <w:rPr>
          <w:rFonts w:ascii="Georgia" w:hAnsi="Georgia"/>
        </w:rPr>
        <w:t>is no different when the case is pending in the Court of Appeals.</w:t>
      </w:r>
    </w:p>
    <w:p w14:paraId="45447D3C" w14:textId="77777777" w:rsidR="001D538C" w:rsidRDefault="001D538C" w:rsidP="001D538C">
      <w:pPr>
        <w:pStyle w:val="NormalWeb"/>
        <w:spacing w:after="225" w:afterAutospacing="0"/>
        <w:rPr>
          <w:rFonts w:ascii="Georgia" w:hAnsi="Georgia"/>
        </w:rPr>
      </w:pPr>
      <w:r w:rsidRPr="00902A08">
        <w:rPr>
          <w:rFonts w:ascii="Georgia" w:hAnsi="Georgia"/>
          <w:highlight w:val="red"/>
        </w:rPr>
        <w:t>The case is remanded to the district court for trial.</w:t>
      </w:r>
    </w:p>
    <w:p w14:paraId="45447D3D" w14:textId="77777777" w:rsidR="001D538C" w:rsidRDefault="001D538C" w:rsidP="001D538C">
      <w:pPr>
        <w:pStyle w:val="NormalWeb"/>
        <w:spacing w:after="225" w:afterAutospacing="0"/>
        <w:rPr>
          <w:rFonts w:ascii="Georgia" w:hAnsi="Georgia"/>
        </w:rPr>
      </w:pPr>
      <w:r>
        <w:rPr>
          <w:rFonts w:ascii="Georgia" w:hAnsi="Georgia"/>
        </w:rPr>
        <w:t>IT IS SO ORDERED.</w:t>
      </w:r>
    </w:p>
    <w:p w14:paraId="45447D3E" w14:textId="77777777" w:rsidR="001D538C" w:rsidRDefault="001D538C" w:rsidP="001D538C">
      <w:pPr>
        <w:pStyle w:val="judges"/>
        <w:spacing w:after="225" w:afterAutospacing="0"/>
        <w:rPr>
          <w:rFonts w:ascii="Georgia" w:hAnsi="Georgia"/>
        </w:rPr>
      </w:pPr>
      <w:r>
        <w:rPr>
          <w:rFonts w:ascii="Georgia" w:hAnsi="Georgia"/>
        </w:rPr>
        <w:t>HENDLEY, J., concurs.</w:t>
      </w:r>
    </w:p>
    <w:p w14:paraId="45447D3F" w14:textId="77777777" w:rsidR="001D538C" w:rsidRDefault="001D538C" w:rsidP="001D538C">
      <w:pPr>
        <w:pStyle w:val="judges"/>
        <w:spacing w:after="225" w:afterAutospacing="0"/>
        <w:rPr>
          <w:rFonts w:ascii="Georgia" w:hAnsi="Georgia"/>
        </w:rPr>
      </w:pPr>
      <w:r>
        <w:rPr>
          <w:rFonts w:ascii="Georgia" w:hAnsi="Georgia"/>
        </w:rPr>
        <w:lastRenderedPageBreak/>
        <w:t>BIVINS, J. (concurring in part, dissenting in part).</w:t>
      </w:r>
    </w:p>
    <w:p w14:paraId="45447D40" w14:textId="77777777" w:rsidR="001D538C" w:rsidRDefault="001D538C" w:rsidP="001D538C">
      <w:pPr>
        <w:pStyle w:val="author"/>
        <w:spacing w:after="225" w:afterAutospacing="0"/>
        <w:rPr>
          <w:rFonts w:ascii="Georgia" w:hAnsi="Georgia"/>
          <w:color w:val="E878FF"/>
        </w:rPr>
      </w:pPr>
      <w:r>
        <w:rPr>
          <w:rFonts w:ascii="Georgia" w:hAnsi="Georgia"/>
          <w:color w:val="E878FF"/>
        </w:rPr>
        <w:t>BIVINS, Judge</w:t>
      </w:r>
    </w:p>
    <w:p w14:paraId="45447D41" w14:textId="77777777" w:rsidR="001D538C" w:rsidRDefault="001D538C" w:rsidP="001D538C">
      <w:pPr>
        <w:pStyle w:val="NormalWeb"/>
        <w:spacing w:after="225" w:afterAutospacing="0"/>
        <w:rPr>
          <w:rFonts w:ascii="Georgia" w:hAnsi="Georgia"/>
        </w:rPr>
      </w:pPr>
      <w:r>
        <w:rPr>
          <w:rFonts w:ascii="Georgia" w:hAnsi="Georgia"/>
        </w:rPr>
        <w:t>(concurring in part, dissenting in part).</w:t>
      </w:r>
    </w:p>
    <w:p w14:paraId="45447D42" w14:textId="4BB2059E" w:rsidR="001D538C" w:rsidRDefault="001D538C" w:rsidP="001D538C">
      <w:pPr>
        <w:pStyle w:val="NormalWeb"/>
        <w:spacing w:after="225" w:afterAutospacing="0"/>
        <w:rPr>
          <w:rFonts w:ascii="Georgia" w:hAnsi="Georgia"/>
        </w:rPr>
      </w:pPr>
      <w:r>
        <w:rPr>
          <w:rFonts w:ascii="Georgia" w:hAnsi="Georgia"/>
        </w:rPr>
        <w:t>I concur with that part of the majority opinion holding that under </w:t>
      </w:r>
      <w:r>
        <w:rPr>
          <w:rStyle w:val="Emphasis"/>
          <w:rFonts w:ascii="Georgia" w:hAnsi="Georgia"/>
        </w:rPr>
        <w:t>Lopez v. Maez, </w:t>
      </w:r>
      <w:hyperlink r:id="rId9" w:history="1">
        <w:r>
          <w:rPr>
            <w:rStyle w:val="Hyperlink"/>
            <w:rFonts w:ascii="Georgia" w:hAnsi="Georgia"/>
            <w:color w:val="007BFF"/>
          </w:rPr>
          <w:t>98 N.M. 625</w:t>
        </w:r>
      </w:hyperlink>
      <w:r>
        <w:rPr>
          <w:rFonts w:ascii="Georgia" w:hAnsi="Georgia"/>
        </w:rPr>
        <w:t>, </w:t>
      </w:r>
      <w:r w:rsidRPr="00A426CC">
        <w:rPr>
          <w:rFonts w:ascii="Georgia" w:hAnsi="Georgia"/>
        </w:rPr>
        <w:t>651 P.2d 1269</w:t>
      </w:r>
      <w:r>
        <w:rPr>
          <w:rFonts w:ascii="Georgia" w:hAnsi="Georgia"/>
        </w:rPr>
        <w:t> (1982) and </w:t>
      </w:r>
      <w:r>
        <w:rPr>
          <w:rStyle w:val="Emphasis"/>
          <w:rFonts w:ascii="Georgia" w:hAnsi="Georgia"/>
        </w:rPr>
        <w:t>MRC Properties, Inc. v. Gries, </w:t>
      </w:r>
      <w:hyperlink r:id="rId10" w:history="1">
        <w:r>
          <w:rPr>
            <w:rStyle w:val="Hyperlink"/>
            <w:rFonts w:ascii="Georgia" w:hAnsi="Georgia"/>
            <w:color w:val="007BFF"/>
          </w:rPr>
          <w:t>98 N.M. 710</w:t>
        </w:r>
      </w:hyperlink>
      <w:r>
        <w:rPr>
          <w:rFonts w:ascii="Georgia" w:hAnsi="Georgia"/>
        </w:rPr>
        <w:t>, </w:t>
      </w:r>
      <w:r w:rsidRPr="00A426CC">
        <w:rPr>
          <w:rFonts w:ascii="Georgia" w:hAnsi="Georgia"/>
        </w:rPr>
        <w:t>652 P.2d 732</w:t>
      </w:r>
      <w:r>
        <w:rPr>
          <w:rFonts w:ascii="Georgia" w:hAnsi="Georgia"/>
        </w:rPr>
        <w:t> (1982) the complaint states a claim against Ortiz.</w:t>
      </w:r>
    </w:p>
    <w:p w14:paraId="45447D43" w14:textId="77777777" w:rsidR="001D538C" w:rsidRDefault="00A426CC" w:rsidP="001D538C">
      <w:pPr>
        <w:pStyle w:val="NormalWeb"/>
        <w:spacing w:after="225" w:afterAutospacing="0"/>
        <w:rPr>
          <w:rFonts w:ascii="Georgia" w:hAnsi="Georgia"/>
        </w:rPr>
      </w:pPr>
      <w:hyperlink r:id="rId11" w:anchor="p60" w:history="1">
        <w:r w:rsidR="001D538C">
          <w:rPr>
            <w:rStyle w:val="Hyperlink"/>
            <w:rFonts w:ascii="Georgia" w:hAnsi="Georgia"/>
            <w:i/>
            <w:iCs/>
            <w:color w:val="979797"/>
            <w:sz w:val="19"/>
            <w:szCs w:val="19"/>
          </w:rPr>
          <w:t>*60</w:t>
        </w:r>
      </w:hyperlink>
      <w:r w:rsidR="001D538C">
        <w:rPr>
          <w:rFonts w:ascii="Georgia" w:hAnsi="Georgia"/>
        </w:rPr>
        <w:t>I disagree with the conclusion reached by the majority allowing the common law principle announced in </w:t>
      </w:r>
      <w:r w:rsidR="001D538C">
        <w:rPr>
          <w:rStyle w:val="Emphasis"/>
          <w:rFonts w:ascii="Georgia" w:hAnsi="Georgia"/>
        </w:rPr>
        <w:t>Lopez </w:t>
      </w:r>
      <w:r w:rsidR="001D538C">
        <w:rPr>
          <w:rFonts w:ascii="Georgia" w:hAnsi="Georgia"/>
        </w:rPr>
        <w:t>and </w:t>
      </w:r>
      <w:r w:rsidR="001D538C">
        <w:rPr>
          <w:rStyle w:val="Emphasis"/>
          <w:rFonts w:ascii="Georgia" w:hAnsi="Georgia"/>
        </w:rPr>
        <w:t>MRC </w:t>
      </w:r>
      <w:r w:rsidR="001D538C">
        <w:rPr>
          <w:rFonts w:ascii="Georgia" w:hAnsi="Georgia"/>
        </w:rPr>
        <w:t>to apply to the present case.</w:t>
      </w:r>
    </w:p>
    <w:p w14:paraId="45447D44" w14:textId="374E43C3" w:rsidR="001D538C" w:rsidRDefault="001D538C" w:rsidP="001D538C">
      <w:pPr>
        <w:pStyle w:val="NormalWeb"/>
        <w:spacing w:after="225" w:afterAutospacing="0"/>
        <w:rPr>
          <w:rFonts w:ascii="Georgia" w:hAnsi="Georgia"/>
        </w:rPr>
      </w:pPr>
      <w:r>
        <w:rPr>
          <w:rStyle w:val="Emphasis"/>
          <w:rFonts w:ascii="Georgia" w:hAnsi="Georgia"/>
        </w:rPr>
        <w:t>Lopez </w:t>
      </w:r>
      <w:r>
        <w:rPr>
          <w:rFonts w:ascii="Georgia" w:hAnsi="Georgia"/>
        </w:rPr>
        <w:t>made a major change in the law. It imposed a new liability on tavernowners and in doing so expressly overruled </w:t>
      </w:r>
      <w:r>
        <w:rPr>
          <w:rStyle w:val="Emphasis"/>
          <w:rFonts w:ascii="Georgia" w:hAnsi="Georgia"/>
        </w:rPr>
        <w:t>Marchiondo v. Roper, </w:t>
      </w:r>
      <w:r w:rsidRPr="00A426CC">
        <w:rPr>
          <w:rFonts w:ascii="Georgia" w:hAnsi="Georgia"/>
        </w:rPr>
        <w:t>90 N.M. 367</w:t>
      </w:r>
      <w:r>
        <w:rPr>
          <w:rFonts w:ascii="Georgia" w:hAnsi="Georgia"/>
        </w:rPr>
        <w:t>, </w:t>
      </w:r>
      <w:hyperlink r:id="rId12" w:history="1">
        <w:r>
          <w:rPr>
            <w:rStyle w:val="Hyperlink"/>
            <w:rFonts w:ascii="Georgia" w:hAnsi="Georgia"/>
            <w:color w:val="007BFF"/>
          </w:rPr>
          <w:t>563 P.2d 1160</w:t>
        </w:r>
      </w:hyperlink>
      <w:r>
        <w:rPr>
          <w:rFonts w:ascii="Georgia" w:hAnsi="Georgia"/>
        </w:rPr>
        <w:t> (1977) and </w:t>
      </w:r>
      <w:r>
        <w:rPr>
          <w:rStyle w:val="Emphasis"/>
          <w:rFonts w:ascii="Georgia" w:hAnsi="Georgia"/>
        </w:rPr>
        <w:t>Hall v. Budagher, </w:t>
      </w:r>
      <w:r w:rsidRPr="00A426CC">
        <w:rPr>
          <w:rFonts w:ascii="Georgia" w:hAnsi="Georgia"/>
        </w:rPr>
        <w:t>76 N.M. 591</w:t>
      </w:r>
      <w:r>
        <w:rPr>
          <w:rFonts w:ascii="Georgia" w:hAnsi="Georgia"/>
        </w:rPr>
        <w:t>, </w:t>
      </w:r>
      <w:hyperlink r:id="rId13" w:history="1">
        <w:r>
          <w:rPr>
            <w:rStyle w:val="Hyperlink"/>
            <w:rFonts w:ascii="Georgia" w:hAnsi="Georgia"/>
            <w:color w:val="007BFF"/>
          </w:rPr>
          <w:t>417 P.2d 71</w:t>
        </w:r>
      </w:hyperlink>
      <w:r>
        <w:rPr>
          <w:rFonts w:ascii="Georgia" w:hAnsi="Georgia"/>
        </w:rPr>
        <w:t> (1966). In discussing the application of this new liability the Supreme Court in </w:t>
      </w:r>
      <w:r>
        <w:rPr>
          <w:rStyle w:val="Emphasis"/>
          <w:rFonts w:ascii="Georgia" w:hAnsi="Georgia"/>
        </w:rPr>
        <w:t>Lopez </w:t>
      </w:r>
      <w:r>
        <w:rPr>
          <w:rFonts w:ascii="Georgia" w:hAnsi="Georgia"/>
        </w:rPr>
        <w:t>said:</w:t>
      </w:r>
    </w:p>
    <w:p w14:paraId="45447D45" w14:textId="77777777" w:rsidR="001D538C" w:rsidRDefault="001D538C" w:rsidP="001D538C">
      <w:pPr>
        <w:rPr>
          <w:rFonts w:ascii="Georgia" w:hAnsi="Georgia"/>
          <w:color w:val="004FB3"/>
        </w:rPr>
      </w:pPr>
      <w:r>
        <w:rPr>
          <w:rFonts w:ascii="Georgia" w:hAnsi="Georgia"/>
          <w:color w:val="004FB3"/>
        </w:rPr>
        <w:t>If the new law imposes significant new duties and conditions and takes away previously existing rights, then the law should be applied prospectively, (citation omitted). For example, the imposition of this new liability on tavernowners may subject the tavernowners to liability when they are not properly insured, (citations omitted).</w:t>
      </w:r>
    </w:p>
    <w:p w14:paraId="45447D46" w14:textId="6741BE2F" w:rsidR="001D538C" w:rsidRDefault="001D538C" w:rsidP="001D538C">
      <w:pPr>
        <w:pStyle w:val="NormalWeb"/>
        <w:spacing w:after="225" w:afterAutospacing="0"/>
        <w:rPr>
          <w:rFonts w:ascii="Georgia" w:hAnsi="Georgia"/>
        </w:rPr>
      </w:pPr>
      <w:r w:rsidRPr="00A426CC">
        <w:rPr>
          <w:rFonts w:ascii="Georgia" w:hAnsi="Georgia"/>
        </w:rPr>
        <w:t>98 N.M. at 632</w:t>
      </w:r>
      <w:r>
        <w:rPr>
          <w:rFonts w:ascii="Georgia" w:hAnsi="Georgia"/>
        </w:rPr>
        <w:t>, </w:t>
      </w:r>
      <w:hyperlink r:id="rId14" w:history="1">
        <w:r>
          <w:rPr>
            <w:rStyle w:val="Hyperlink"/>
            <w:rFonts w:ascii="Georgia" w:hAnsi="Georgia"/>
            <w:color w:val="007BFF"/>
          </w:rPr>
          <w:t>651 P.2d at 1276</w:t>
        </w:r>
      </w:hyperlink>
      <w:r>
        <w:rPr>
          <w:rFonts w:ascii="Georgia" w:hAnsi="Georgia"/>
        </w:rPr>
        <w:t>.</w:t>
      </w:r>
    </w:p>
    <w:p w14:paraId="45447D47" w14:textId="77777777" w:rsidR="001D538C" w:rsidRDefault="001D538C" w:rsidP="001D538C">
      <w:pPr>
        <w:pStyle w:val="NormalWeb"/>
        <w:spacing w:after="225" w:afterAutospacing="0"/>
        <w:rPr>
          <w:rFonts w:ascii="Georgia" w:hAnsi="Georgia"/>
        </w:rPr>
      </w:pPr>
      <w:r>
        <w:rPr>
          <w:rFonts w:ascii="Georgia" w:hAnsi="Georgia"/>
        </w:rPr>
        <w:t>The Supreme Court applied the new law to </w:t>
      </w:r>
      <w:r>
        <w:rPr>
          <w:rStyle w:val="Emphasis"/>
          <w:rFonts w:ascii="Georgia" w:hAnsi="Georgia"/>
        </w:rPr>
        <w:t>Lopez, </w:t>
      </w:r>
      <w:r>
        <w:rPr>
          <w:rFonts w:ascii="Georgia" w:hAnsi="Georgia"/>
        </w:rPr>
        <w:t>because it afforded the opportunity to change an outmoded and unjust rule of law, and to prospective cases in which the damages and injuries arise after the date of the mandate in that case. The new liability was also applied to </w:t>
      </w:r>
      <w:r>
        <w:rPr>
          <w:rStyle w:val="Emphasis"/>
          <w:rFonts w:ascii="Georgia" w:hAnsi="Georgia"/>
        </w:rPr>
        <w:t>MRC, </w:t>
      </w:r>
      <w:r>
        <w:rPr>
          <w:rFonts w:ascii="Georgia" w:hAnsi="Georgia"/>
        </w:rPr>
        <w:t>but only because that case was pending on appeal before the Supreme Court at the same time as </w:t>
      </w:r>
      <w:r>
        <w:rPr>
          <w:rStyle w:val="Emphasis"/>
          <w:rFonts w:ascii="Georgia" w:hAnsi="Georgia"/>
        </w:rPr>
        <w:t>Lopez. </w:t>
      </w:r>
      <w:r>
        <w:rPr>
          <w:rFonts w:ascii="Georgia" w:hAnsi="Georgia"/>
        </w:rPr>
        <w:t>The present case was not pending before the Supreme Court when </w:t>
      </w:r>
      <w:r>
        <w:rPr>
          <w:rStyle w:val="Emphasis"/>
          <w:rFonts w:ascii="Georgia" w:hAnsi="Georgia"/>
        </w:rPr>
        <w:t>Lopez </w:t>
      </w:r>
      <w:r>
        <w:rPr>
          <w:rFonts w:ascii="Georgia" w:hAnsi="Georgia"/>
        </w:rPr>
        <w:t>was decided; it was pending before the Court of Appeals. The Supreme Court expressed no intent to include other cases which were then on appeal.</w:t>
      </w:r>
    </w:p>
    <w:p w14:paraId="45447D48" w14:textId="2EA88AC8" w:rsidR="001D538C" w:rsidRDefault="001D538C" w:rsidP="001D538C">
      <w:pPr>
        <w:pStyle w:val="NormalWeb"/>
        <w:spacing w:after="225" w:afterAutospacing="0"/>
        <w:rPr>
          <w:rFonts w:ascii="Georgia" w:hAnsi="Georgia"/>
        </w:rPr>
      </w:pPr>
      <w:r>
        <w:rPr>
          <w:rFonts w:ascii="Georgia" w:hAnsi="Georgia"/>
        </w:rPr>
        <w:t>Justice Riordan said in </w:t>
      </w:r>
      <w:r>
        <w:rPr>
          <w:rStyle w:val="Emphasis"/>
          <w:rFonts w:ascii="Georgia" w:hAnsi="Georgia"/>
        </w:rPr>
        <w:t>Lopez </w:t>
      </w:r>
      <w:r>
        <w:rPr>
          <w:rFonts w:ascii="Georgia" w:hAnsi="Georgia"/>
        </w:rPr>
        <w:t>“It is within the inherent power of the state’s highest court to give a decision prospective or retrospective application without offending constitutional principles” </w:t>
      </w:r>
      <w:r>
        <w:rPr>
          <w:rStyle w:val="Emphasis"/>
          <w:rFonts w:ascii="Georgia" w:hAnsi="Georgia"/>
        </w:rPr>
        <w:t>Id. </w:t>
      </w:r>
      <w:r>
        <w:rPr>
          <w:rFonts w:ascii="Georgia" w:hAnsi="Georgia"/>
        </w:rPr>
        <w:t>at 632, </w:t>
      </w:r>
      <w:r w:rsidRPr="00A426CC">
        <w:rPr>
          <w:rFonts w:ascii="Georgia" w:hAnsi="Georgia"/>
        </w:rPr>
        <w:t>651 P.2d at 1276</w:t>
      </w:r>
      <w:r>
        <w:rPr>
          <w:rFonts w:ascii="Georgia" w:hAnsi="Georgia"/>
        </w:rPr>
        <w:t>. (citation omitted). In deciding on the application the Supreme Court in </w:t>
      </w:r>
      <w:r>
        <w:rPr>
          <w:rStyle w:val="Emphasis"/>
          <w:rFonts w:ascii="Georgia" w:hAnsi="Georgia"/>
        </w:rPr>
        <w:t>Lopez </w:t>
      </w:r>
      <w:r>
        <w:rPr>
          <w:rFonts w:ascii="Georgia" w:hAnsi="Georgia"/>
        </w:rPr>
        <w:t>was sensitive to the effect the new liability would have on those who had relied on </w:t>
      </w:r>
      <w:r>
        <w:rPr>
          <w:rStyle w:val="Emphasis"/>
          <w:rFonts w:ascii="Georgia" w:hAnsi="Georgia"/>
        </w:rPr>
        <w:t>Marchiondo v. Roper </w:t>
      </w:r>
      <w:r>
        <w:rPr>
          <w:rFonts w:ascii="Georgia" w:hAnsi="Georgia"/>
        </w:rPr>
        <w:t>and </w:t>
      </w:r>
      <w:r>
        <w:rPr>
          <w:rStyle w:val="Emphasis"/>
          <w:rFonts w:ascii="Georgia" w:hAnsi="Georgia"/>
        </w:rPr>
        <w:t>Hall v. Budagher. </w:t>
      </w:r>
      <w:r>
        <w:rPr>
          <w:rFonts w:ascii="Georgia" w:hAnsi="Georgia"/>
        </w:rPr>
        <w:t>See special concurring opinion of Chief Justice Oman in </w:t>
      </w:r>
      <w:r>
        <w:rPr>
          <w:rStyle w:val="Emphasis"/>
          <w:rFonts w:ascii="Georgia" w:hAnsi="Georgia"/>
        </w:rPr>
        <w:t>Hicks v. State, </w:t>
      </w:r>
      <w:hyperlink r:id="rId15" w:history="1">
        <w:r>
          <w:rPr>
            <w:rStyle w:val="Hyperlink"/>
            <w:rFonts w:ascii="Georgia" w:hAnsi="Georgia"/>
            <w:color w:val="007BFF"/>
          </w:rPr>
          <w:t>88 N.M. 588</w:t>
        </w:r>
      </w:hyperlink>
      <w:r>
        <w:rPr>
          <w:rFonts w:ascii="Georgia" w:hAnsi="Georgia"/>
        </w:rPr>
        <w:t>, </w:t>
      </w:r>
      <w:r w:rsidRPr="00A426CC">
        <w:rPr>
          <w:rFonts w:ascii="Georgia" w:hAnsi="Georgia"/>
        </w:rPr>
        <w:t>544 P.2d 1153</w:t>
      </w:r>
      <w:r>
        <w:rPr>
          <w:rFonts w:ascii="Georgia" w:hAnsi="Georgia"/>
        </w:rPr>
        <w:t> (1976). This Court should not modify that application.</w:t>
      </w:r>
    </w:p>
    <w:p w14:paraId="45447D49" w14:textId="77777777" w:rsidR="001D538C" w:rsidRDefault="001D538C" w:rsidP="001D538C">
      <w:pPr>
        <w:pStyle w:val="NormalWeb"/>
        <w:spacing w:after="225" w:afterAutospacing="0"/>
        <w:rPr>
          <w:rFonts w:ascii="Georgia" w:hAnsi="Georgia"/>
        </w:rPr>
      </w:pPr>
      <w:r>
        <w:rPr>
          <w:rFonts w:ascii="Georgia" w:hAnsi="Georgia"/>
        </w:rPr>
        <w:t>I would proceed to consider plaintiffs’ alternative theories of liability. The majority holding otherwise, I respectfully dissent.</w:t>
      </w:r>
    </w:p>
    <w:p w14:paraId="45447D4A" w14:textId="77777777" w:rsidR="00A20373" w:rsidRDefault="00A20373" w:rsidP="001D538C"/>
    <w:p w14:paraId="45447D4B" w14:textId="77777777" w:rsidR="00902A08" w:rsidRDefault="00902A08" w:rsidP="00902A08">
      <w:pPr>
        <w:spacing w:before="100" w:beforeAutospacing="1" w:after="225" w:line="240" w:lineRule="auto"/>
        <w:rPr>
          <w:rFonts w:ascii="Georgia" w:eastAsia="Times New Roman" w:hAnsi="Georgia" w:cs="Times New Roman"/>
          <w:b/>
          <w:sz w:val="32"/>
          <w:szCs w:val="24"/>
          <w:lang w:eastAsia="en-GB"/>
        </w:rPr>
      </w:pPr>
    </w:p>
    <w:p w14:paraId="45447D4C" w14:textId="77777777" w:rsidR="00902A08" w:rsidRPr="009456D4" w:rsidRDefault="00902A08" w:rsidP="00902A0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5447D4D" w14:textId="77777777" w:rsidR="00902A08" w:rsidRPr="00902A08" w:rsidRDefault="00902A08" w:rsidP="00902A08">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A driver (minor) was killed and passengers (also minors) were injured when the driver’s car overturned. The plaintiffs sued a tavern keeper for wilfully or negligently providing alcohol to the minors. The appellate court held that it was possible that the tavern keeper was liable for the harm. </w:t>
      </w:r>
    </w:p>
    <w:sectPr w:rsidR="00902A08" w:rsidRPr="00902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CFD"/>
    <w:rsid w:val="001B183C"/>
    <w:rsid w:val="001D538C"/>
    <w:rsid w:val="00222CFD"/>
    <w:rsid w:val="0036748D"/>
    <w:rsid w:val="003C7770"/>
    <w:rsid w:val="00837E06"/>
    <w:rsid w:val="00902A08"/>
    <w:rsid w:val="00A20373"/>
    <w:rsid w:val="00A426CC"/>
    <w:rsid w:val="00DE5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7D25"/>
  <w15:docId w15:val="{B80D35E2-E31C-4A2B-8BE4-13195BB7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2C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F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22CFD"/>
  </w:style>
  <w:style w:type="character" w:customStyle="1" w:styleId="court-name">
    <w:name w:val="court-name"/>
    <w:basedOn w:val="DefaultParagraphFont"/>
    <w:rsid w:val="00222CFD"/>
  </w:style>
  <w:style w:type="character" w:customStyle="1" w:styleId="docket-number">
    <w:name w:val="docket-number"/>
    <w:basedOn w:val="DefaultParagraphFont"/>
    <w:rsid w:val="00222CFD"/>
  </w:style>
  <w:style w:type="character" w:customStyle="1" w:styleId="case-name-v">
    <w:name w:val="case-name-v"/>
    <w:basedOn w:val="DefaultParagraphFont"/>
    <w:rsid w:val="00222CFD"/>
  </w:style>
  <w:style w:type="paragraph" w:customStyle="1" w:styleId="citation">
    <w:name w:val="citation"/>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22CFD"/>
    <w:rPr>
      <w:color w:val="0000FF"/>
      <w:u w:val="single"/>
    </w:rPr>
  </w:style>
  <w:style w:type="paragraph" w:styleId="NormalWeb">
    <w:name w:val="Normal (Web)"/>
    <w:basedOn w:val="Normal"/>
    <w:uiPriority w:val="99"/>
    <w:semiHidden/>
    <w:unhideWhenUsed/>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22CFD"/>
    <w:rPr>
      <w:i/>
      <w:iCs/>
    </w:rPr>
  </w:style>
  <w:style w:type="paragraph" w:customStyle="1" w:styleId="judges">
    <w:name w:val="judges"/>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392242">
      <w:bodyDiv w:val="1"/>
      <w:marLeft w:val="0"/>
      <w:marRight w:val="0"/>
      <w:marTop w:val="0"/>
      <w:marBottom w:val="0"/>
      <w:divBdr>
        <w:top w:val="none" w:sz="0" w:space="0" w:color="auto"/>
        <w:left w:val="none" w:sz="0" w:space="0" w:color="auto"/>
        <w:bottom w:val="none" w:sz="0" w:space="0" w:color="auto"/>
        <w:right w:val="none" w:sz="0" w:space="0" w:color="auto"/>
      </w:divBdr>
      <w:divsChild>
        <w:div w:id="1511220654">
          <w:marLeft w:val="0"/>
          <w:marRight w:val="0"/>
          <w:marTop w:val="0"/>
          <w:marBottom w:val="0"/>
          <w:divBdr>
            <w:top w:val="none" w:sz="0" w:space="0" w:color="auto"/>
            <w:left w:val="none" w:sz="0" w:space="0" w:color="auto"/>
            <w:bottom w:val="none" w:sz="0" w:space="0" w:color="auto"/>
            <w:right w:val="none" w:sz="0" w:space="0" w:color="auto"/>
          </w:divBdr>
        </w:div>
        <w:div w:id="1507093873">
          <w:marLeft w:val="0"/>
          <w:marRight w:val="0"/>
          <w:marTop w:val="0"/>
          <w:marBottom w:val="0"/>
          <w:divBdr>
            <w:top w:val="none" w:sz="0" w:space="0" w:color="auto"/>
            <w:left w:val="none" w:sz="0" w:space="0" w:color="auto"/>
            <w:bottom w:val="none" w:sz="0" w:space="0" w:color="auto"/>
            <w:right w:val="none" w:sz="0" w:space="0" w:color="auto"/>
          </w:divBdr>
        </w:div>
        <w:div w:id="25259995">
          <w:marLeft w:val="0"/>
          <w:marRight w:val="0"/>
          <w:marTop w:val="0"/>
          <w:marBottom w:val="0"/>
          <w:divBdr>
            <w:top w:val="none" w:sz="0" w:space="0" w:color="auto"/>
            <w:left w:val="none" w:sz="0" w:space="0" w:color="auto"/>
            <w:bottom w:val="none" w:sz="0" w:space="0" w:color="auto"/>
            <w:right w:val="none" w:sz="0" w:space="0" w:color="auto"/>
          </w:divBdr>
          <w:divsChild>
            <w:div w:id="628097668">
              <w:marLeft w:val="1275"/>
              <w:marRight w:val="0"/>
              <w:marTop w:val="0"/>
              <w:marBottom w:val="0"/>
              <w:divBdr>
                <w:top w:val="none" w:sz="0" w:space="0" w:color="auto"/>
                <w:left w:val="none" w:sz="0" w:space="0" w:color="auto"/>
                <w:bottom w:val="none" w:sz="0" w:space="0" w:color="auto"/>
                <w:right w:val="none" w:sz="0" w:space="0" w:color="auto"/>
              </w:divBdr>
            </w:div>
          </w:divsChild>
        </w:div>
        <w:div w:id="150011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967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77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1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8600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607086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5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919684">
          <w:blockQuote w:val="1"/>
          <w:marLeft w:val="720"/>
          <w:marRight w:val="720"/>
          <w:marTop w:val="100"/>
          <w:marBottom w:val="100"/>
          <w:divBdr>
            <w:top w:val="none" w:sz="0" w:space="0" w:color="auto"/>
            <w:left w:val="none" w:sz="0" w:space="0" w:color="auto"/>
            <w:bottom w:val="none" w:sz="0" w:space="0" w:color="auto"/>
            <w:right w:val="none" w:sz="0" w:space="0" w:color="auto"/>
          </w:divBdr>
        </w:div>
        <w:div w:id="97375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393814486">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08405">
          <w:blockQuote w:val="1"/>
          <w:marLeft w:val="720"/>
          <w:marRight w:val="720"/>
          <w:marTop w:val="100"/>
          <w:marBottom w:val="100"/>
          <w:divBdr>
            <w:top w:val="none" w:sz="0" w:space="0" w:color="auto"/>
            <w:left w:val="none" w:sz="0" w:space="0" w:color="auto"/>
            <w:bottom w:val="none" w:sz="0" w:space="0" w:color="auto"/>
            <w:right w:val="none" w:sz="0" w:space="0" w:color="auto"/>
          </w:divBdr>
        </w:div>
        <w:div w:id="62882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552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00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37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0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64555">
          <w:blockQuote w:val="1"/>
          <w:marLeft w:val="720"/>
          <w:marRight w:val="720"/>
          <w:marTop w:val="100"/>
          <w:marBottom w:val="100"/>
          <w:divBdr>
            <w:top w:val="none" w:sz="0" w:space="0" w:color="auto"/>
            <w:left w:val="none" w:sz="0" w:space="0" w:color="auto"/>
            <w:bottom w:val="none" w:sz="0" w:space="0" w:color="auto"/>
            <w:right w:val="none" w:sz="0" w:space="0" w:color="auto"/>
          </w:divBdr>
        </w:div>
        <w:div w:id="635061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34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936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266744">
      <w:bodyDiv w:val="1"/>
      <w:marLeft w:val="0"/>
      <w:marRight w:val="0"/>
      <w:marTop w:val="0"/>
      <w:marBottom w:val="0"/>
      <w:divBdr>
        <w:top w:val="none" w:sz="0" w:space="0" w:color="auto"/>
        <w:left w:val="none" w:sz="0" w:space="0" w:color="auto"/>
        <w:bottom w:val="none" w:sz="0" w:space="0" w:color="auto"/>
        <w:right w:val="none" w:sz="0" w:space="0" w:color="auto"/>
      </w:divBdr>
      <w:divsChild>
        <w:div w:id="454569461">
          <w:marLeft w:val="0"/>
          <w:marRight w:val="0"/>
          <w:marTop w:val="0"/>
          <w:marBottom w:val="0"/>
          <w:divBdr>
            <w:top w:val="none" w:sz="0" w:space="0" w:color="auto"/>
            <w:left w:val="none" w:sz="0" w:space="0" w:color="auto"/>
            <w:bottom w:val="none" w:sz="0" w:space="0" w:color="auto"/>
            <w:right w:val="none" w:sz="0" w:space="0" w:color="auto"/>
          </w:divBdr>
        </w:div>
        <w:div w:id="588391905">
          <w:marLeft w:val="0"/>
          <w:marRight w:val="0"/>
          <w:marTop w:val="0"/>
          <w:marBottom w:val="0"/>
          <w:divBdr>
            <w:top w:val="none" w:sz="0" w:space="0" w:color="auto"/>
            <w:left w:val="none" w:sz="0" w:space="0" w:color="auto"/>
            <w:bottom w:val="none" w:sz="0" w:space="0" w:color="auto"/>
            <w:right w:val="none" w:sz="0" w:space="0" w:color="auto"/>
          </w:divBdr>
        </w:div>
        <w:div w:id="1336766927">
          <w:marLeft w:val="0"/>
          <w:marRight w:val="0"/>
          <w:marTop w:val="0"/>
          <w:marBottom w:val="0"/>
          <w:divBdr>
            <w:top w:val="none" w:sz="0" w:space="0" w:color="auto"/>
            <w:left w:val="none" w:sz="0" w:space="0" w:color="auto"/>
            <w:bottom w:val="none" w:sz="0" w:space="0" w:color="auto"/>
            <w:right w:val="none" w:sz="0" w:space="0" w:color="auto"/>
          </w:divBdr>
          <w:divsChild>
            <w:div w:id="1249651263">
              <w:marLeft w:val="1275"/>
              <w:marRight w:val="0"/>
              <w:marTop w:val="0"/>
              <w:marBottom w:val="0"/>
              <w:divBdr>
                <w:top w:val="none" w:sz="0" w:space="0" w:color="auto"/>
                <w:left w:val="none" w:sz="0" w:space="0" w:color="auto"/>
                <w:bottom w:val="none" w:sz="0" w:space="0" w:color="auto"/>
                <w:right w:val="none" w:sz="0" w:space="0" w:color="auto"/>
              </w:divBdr>
            </w:div>
          </w:divsChild>
        </w:div>
        <w:div w:id="1209295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33/295/" TargetMode="External"/><Relationship Id="rId13" Type="http://schemas.openxmlformats.org/officeDocument/2006/relationships/hyperlink" Target="https://cite.case.law/nm/76/591/" TargetMode="External"/><Relationship Id="rId3" Type="http://schemas.openxmlformats.org/officeDocument/2006/relationships/webSettings" Target="webSettings.xml"/><Relationship Id="rId7" Type="http://schemas.openxmlformats.org/officeDocument/2006/relationships/hyperlink" Target="https://cite.case.law/nm/76/591/" TargetMode="External"/><Relationship Id="rId12" Type="http://schemas.openxmlformats.org/officeDocument/2006/relationships/hyperlink" Target="https://cite.case.law/nm/90/36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90/367/" TargetMode="External"/><Relationship Id="rId11" Type="http://schemas.openxmlformats.org/officeDocument/2006/relationships/hyperlink" Target="https://cite.case.law/nm/100/58/" TargetMode="External"/><Relationship Id="rId5" Type="http://schemas.openxmlformats.org/officeDocument/2006/relationships/hyperlink" Target="https://cite.case.law/nm/98/710/" TargetMode="External"/><Relationship Id="rId15" Type="http://schemas.openxmlformats.org/officeDocument/2006/relationships/hyperlink" Target="https://cite.case.law/nm/88/588/" TargetMode="External"/><Relationship Id="rId10" Type="http://schemas.openxmlformats.org/officeDocument/2006/relationships/hyperlink" Target="https://cite.case.law/nm/98/710/" TargetMode="External"/><Relationship Id="rId4" Type="http://schemas.openxmlformats.org/officeDocument/2006/relationships/hyperlink" Target="https://cite.case.law/nm/98/625/" TargetMode="External"/><Relationship Id="rId9" Type="http://schemas.openxmlformats.org/officeDocument/2006/relationships/hyperlink" Target="https://cite.case.law/nm/98/625/" TargetMode="External"/><Relationship Id="rId14" Type="http://schemas.openxmlformats.org/officeDocument/2006/relationships/hyperlink" Target="https://cite.case.law/p2d/651/1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2024-09-17T13:15:00Z</dcterms:created>
  <dcterms:modified xsi:type="dcterms:W3CDTF">2024-09-17T13:15:00Z</dcterms:modified>
</cp:coreProperties>
</file>