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9B5D" w14:textId="77777777" w:rsidR="001A5EF5" w:rsidRPr="001A5EF5" w:rsidRDefault="001A5EF5" w:rsidP="001A5EF5">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A5EF5">
        <w:rPr>
          <w:rFonts w:ascii="Times New Roman" w:eastAsia="Times New Roman" w:hAnsi="Times New Roman" w:cs="Times New Roman"/>
          <w:b/>
          <w:bCs/>
          <w:color w:val="2F2F2F"/>
          <w:spacing w:val="3"/>
          <w:kern w:val="36"/>
          <w:sz w:val="35"/>
          <w:szCs w:val="35"/>
          <w:lang w:eastAsia="en-GB"/>
        </w:rPr>
        <w:t>Equitable General Insurance v. Silva, 99 N.M. 371, 658 P.2d 446 (1983)</w:t>
      </w:r>
    </w:p>
    <w:p w14:paraId="1C089B5E" w14:textId="77777777" w:rsidR="001A5EF5" w:rsidRPr="001A5EF5" w:rsidRDefault="001A5EF5" w:rsidP="001A5EF5">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A5EF5">
        <w:rPr>
          <w:rFonts w:ascii="Times New Roman" w:eastAsia="Times New Roman" w:hAnsi="Times New Roman" w:cs="Times New Roman"/>
          <w:color w:val="2F2F2F"/>
          <w:spacing w:val="3"/>
          <w:sz w:val="27"/>
          <w:szCs w:val="27"/>
          <w:lang w:eastAsia="en-GB"/>
        </w:rPr>
        <w:t>Jan. 4, 1983 · Court of Appeals of New Mexico · No. 5849</w:t>
      </w:r>
    </w:p>
    <w:p w14:paraId="1C089B5F" w14:textId="77777777" w:rsidR="001A5EF5" w:rsidRPr="001A5EF5" w:rsidRDefault="001A5EF5" w:rsidP="001A5EF5">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A5EF5">
        <w:rPr>
          <w:rFonts w:ascii="Times New Roman" w:eastAsia="Times New Roman" w:hAnsi="Times New Roman" w:cs="Times New Roman"/>
          <w:color w:val="2F2F2F"/>
          <w:spacing w:val="3"/>
          <w:sz w:val="27"/>
          <w:szCs w:val="27"/>
          <w:lang w:eastAsia="en-GB"/>
        </w:rPr>
        <w:t>99 N.M. 371, 658 P.2d 446</w:t>
      </w:r>
    </w:p>
    <w:p w14:paraId="1C089B60" w14:textId="77777777" w:rsidR="001A5EF5" w:rsidRPr="001A5EF5" w:rsidRDefault="001A5EF5" w:rsidP="001A5EF5">
      <w:pPr>
        <w:shd w:val="clear" w:color="auto" w:fill="FFFFFF"/>
        <w:spacing w:after="0" w:line="240" w:lineRule="auto"/>
        <w:rPr>
          <w:rFonts w:ascii="Georgia" w:eastAsia="Times New Roman" w:hAnsi="Georgia" w:cs="Arial"/>
          <w:color w:val="2F2F2F"/>
          <w:spacing w:val="3"/>
          <w:sz w:val="30"/>
          <w:szCs w:val="30"/>
          <w:lang w:eastAsia="en-GB"/>
        </w:rPr>
      </w:pPr>
      <w:r w:rsidRPr="001A5EF5">
        <w:rPr>
          <w:rFonts w:ascii="Georgia" w:eastAsia="Times New Roman" w:hAnsi="Georgia" w:cs="Arial"/>
          <w:color w:val="2F2F2F"/>
          <w:spacing w:val="3"/>
          <w:sz w:val="30"/>
          <w:szCs w:val="30"/>
          <w:lang w:eastAsia="en-GB"/>
        </w:rPr>
        <w:t>EQUITABLE GENERAL INSURANCE COMPANY, a foreign insurance corporation, and Robert Smith, Plaintiffs-Appellants,</w:t>
      </w:r>
      <w:r w:rsidRPr="001A5EF5">
        <w:rPr>
          <w:rFonts w:ascii="Georgia" w:eastAsia="Times New Roman" w:hAnsi="Georgia" w:cs="Arial"/>
          <w:i/>
          <w:iCs/>
          <w:color w:val="2F2F2F"/>
          <w:spacing w:val="3"/>
          <w:sz w:val="30"/>
          <w:szCs w:val="30"/>
          <w:lang w:eastAsia="en-GB"/>
        </w:rPr>
        <w:t>v.</w:t>
      </w:r>
      <w:r w:rsidRPr="001A5EF5">
        <w:rPr>
          <w:rFonts w:ascii="Georgia" w:eastAsia="Times New Roman" w:hAnsi="Georgia" w:cs="Arial"/>
          <w:color w:val="2F2F2F"/>
          <w:spacing w:val="3"/>
          <w:sz w:val="30"/>
          <w:szCs w:val="30"/>
          <w:lang w:eastAsia="en-GB"/>
        </w:rPr>
        <w:t>Jerry G. SILVA, Defendant-Appellee</w:t>
      </w:r>
    </w:p>
    <w:p w14:paraId="1C089B61" w14:textId="77777777" w:rsidR="001A5EF5" w:rsidRPr="001A5EF5" w:rsidRDefault="001A5EF5" w:rsidP="001A5EF5">
      <w:pPr>
        <w:spacing w:before="100" w:beforeAutospacing="1" w:after="100" w:afterAutospacing="1"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658 P.2d 446</w:t>
      </w:r>
    </w:p>
    <w:p w14:paraId="1C089B62" w14:textId="77777777" w:rsidR="001A5EF5" w:rsidRPr="001A5EF5" w:rsidRDefault="001A5EF5" w:rsidP="001A5EF5">
      <w:pPr>
        <w:spacing w:before="100" w:beforeAutospacing="1" w:after="100" w:afterAutospacing="1"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Court of Appeals of New Mexico.</w:t>
      </w:r>
    </w:p>
    <w:p w14:paraId="1C089B63" w14:textId="77777777" w:rsidR="001A5EF5" w:rsidRPr="001A5EF5" w:rsidRDefault="001A5EF5" w:rsidP="001A5EF5">
      <w:pPr>
        <w:spacing w:before="100" w:beforeAutospacing="1" w:after="100" w:afterAutospacing="1"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Certiorari Denied Feb. 15, 1983.</w:t>
      </w:r>
    </w:p>
    <w:p w14:paraId="1C089B64" w14:textId="0B6491B5" w:rsidR="001A5EF5" w:rsidRPr="001A5EF5" w:rsidRDefault="001A5EF5" w:rsidP="001A5EF5">
      <w:pPr>
        <w:shd w:val="clear" w:color="auto" w:fill="F7F7F9"/>
        <w:spacing w:before="100" w:beforeAutospacing="1" w:after="0" w:line="240" w:lineRule="auto"/>
        <w:rPr>
          <w:rFonts w:ascii="Georgia" w:eastAsia="Times New Roman" w:hAnsi="Georgia" w:cs="Times New Roman"/>
          <w:sz w:val="24"/>
          <w:szCs w:val="24"/>
          <w:lang w:eastAsia="en-GB"/>
        </w:rPr>
      </w:pPr>
      <w:r w:rsidRPr="001A5EF5">
        <w:rPr>
          <w:rFonts w:ascii="Georgia" w:eastAsia="Times New Roman" w:hAnsi="Georgia" w:cs="Times New Roman"/>
          <w:i/>
          <w:iCs/>
          <w:color w:val="979797"/>
          <w:sz w:val="19"/>
          <w:szCs w:val="19"/>
          <w:lang w:eastAsia="en-GB"/>
        </w:rPr>
        <w:t>*372</w:t>
      </w:r>
      <w:r w:rsidRPr="001A5EF5">
        <w:rPr>
          <w:rFonts w:ascii="Georgia" w:eastAsia="Times New Roman" w:hAnsi="Georgia" w:cs="Times New Roman"/>
          <w:sz w:val="24"/>
          <w:szCs w:val="24"/>
          <w:lang w:eastAsia="en-GB"/>
        </w:rPr>
        <w:t>Timothy J. Dreher, Robert N. Singer, P.A., Albuquerque, for plaintiffs-appellants,</w:t>
      </w:r>
    </w:p>
    <w:p w14:paraId="1C089B65" w14:textId="77777777" w:rsidR="001A5EF5" w:rsidRPr="001A5EF5" w:rsidRDefault="001A5EF5" w:rsidP="001A5EF5">
      <w:pPr>
        <w:shd w:val="clear" w:color="auto" w:fill="F7F7F9"/>
        <w:spacing w:after="0"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Peter Everett IV, Albuquerque, for defendant-appellee.</w:t>
      </w:r>
    </w:p>
    <w:p w14:paraId="1C089B66"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OPINION</w:t>
      </w:r>
    </w:p>
    <w:p w14:paraId="1C089B67" w14:textId="77777777" w:rsidR="001A5EF5" w:rsidRPr="001A5EF5" w:rsidRDefault="001A5EF5" w:rsidP="001A5EF5">
      <w:pPr>
        <w:spacing w:before="100" w:beforeAutospacing="1" w:after="225" w:line="240" w:lineRule="auto"/>
        <w:rPr>
          <w:rFonts w:ascii="Georgia" w:eastAsia="Times New Roman" w:hAnsi="Georgia" w:cs="Times New Roman"/>
          <w:color w:val="E878FF"/>
          <w:sz w:val="24"/>
          <w:szCs w:val="24"/>
          <w:lang w:eastAsia="en-GB"/>
        </w:rPr>
      </w:pPr>
      <w:r w:rsidRPr="001A5EF5">
        <w:rPr>
          <w:rFonts w:ascii="Georgia" w:eastAsia="Times New Roman" w:hAnsi="Georgia" w:cs="Times New Roman"/>
          <w:color w:val="E878FF"/>
          <w:sz w:val="24"/>
          <w:szCs w:val="24"/>
          <w:lang w:eastAsia="en-GB"/>
        </w:rPr>
        <w:t>WOOD, Judge.</w:t>
      </w:r>
    </w:p>
    <w:p w14:paraId="1C089B68"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 xml:space="preserve">The dispositive issue is the applicability of </w:t>
      </w:r>
      <w:r w:rsidRPr="001A5EF5">
        <w:rPr>
          <w:rFonts w:ascii="Georgia" w:eastAsia="Times New Roman" w:hAnsi="Georgia" w:cs="Times New Roman"/>
          <w:sz w:val="24"/>
          <w:szCs w:val="24"/>
          <w:highlight w:val="cyan"/>
          <w:lang w:eastAsia="en-GB"/>
        </w:rPr>
        <w:t>§ 66-5-41, N.M.S.A.1978</w:t>
      </w:r>
      <w:r w:rsidRPr="001A5EF5">
        <w:rPr>
          <w:rFonts w:ascii="Georgia" w:eastAsia="Times New Roman" w:hAnsi="Georgia" w:cs="Times New Roman"/>
          <w:sz w:val="24"/>
          <w:szCs w:val="24"/>
          <w:lang w:eastAsia="en-GB"/>
        </w:rPr>
        <w:t xml:space="preserve"> to the facts of this case. </w:t>
      </w:r>
      <w:r w:rsidRPr="001A5EF5">
        <w:rPr>
          <w:rFonts w:ascii="Georgia" w:eastAsia="Times New Roman" w:hAnsi="Georgia" w:cs="Times New Roman"/>
          <w:sz w:val="24"/>
          <w:szCs w:val="24"/>
          <w:highlight w:val="cyan"/>
          <w:lang w:eastAsia="en-GB"/>
        </w:rPr>
        <w:t>Section 66-5 — 41</w:t>
      </w:r>
      <w:r w:rsidRPr="001A5EF5">
        <w:rPr>
          <w:rFonts w:ascii="Georgia" w:eastAsia="Times New Roman" w:hAnsi="Georgia" w:cs="Times New Roman"/>
          <w:sz w:val="24"/>
          <w:szCs w:val="24"/>
          <w:lang w:eastAsia="en-GB"/>
        </w:rPr>
        <w:t xml:space="preserve"> states:</w:t>
      </w:r>
    </w:p>
    <w:p w14:paraId="1C089B69" w14:textId="77777777" w:rsidR="001A5EF5" w:rsidRPr="001A5EF5" w:rsidRDefault="001A5EF5" w:rsidP="001A5EF5">
      <w:pPr>
        <w:spacing w:after="100" w:line="240" w:lineRule="auto"/>
        <w:rPr>
          <w:rFonts w:ascii="Georgia" w:eastAsia="Times New Roman" w:hAnsi="Georgia" w:cs="Times New Roman"/>
          <w:color w:val="004FB3"/>
          <w:sz w:val="24"/>
          <w:szCs w:val="24"/>
          <w:lang w:eastAsia="en-GB"/>
        </w:rPr>
      </w:pPr>
      <w:r w:rsidRPr="001A5EF5">
        <w:rPr>
          <w:rFonts w:ascii="Georgia" w:eastAsia="Times New Roman" w:hAnsi="Georgia" w:cs="Times New Roman"/>
          <w:color w:val="004FB3"/>
          <w:sz w:val="24"/>
          <w:szCs w:val="24"/>
          <w:highlight w:val="cyan"/>
          <w:lang w:eastAsia="en-GB"/>
        </w:rPr>
        <w:t>No person shall authorize or knowingly permit a motor vehicle owned by him or under his control to be driven upon any highway by any person who is not authorized hereunder or is in violation of any of the provisions of this article.</w:t>
      </w:r>
    </w:p>
    <w:p w14:paraId="1C089B6A"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highlight w:val="yellow"/>
          <w:lang w:eastAsia="en-GB"/>
        </w:rPr>
        <w:t>Silva, the owner, “loaned his vehicle to Menchaca to go to get a hamburger at a local fast food store in [the municipality of] Bernalillo. The authorized use was for 30 minutes and involved a round trip distance of less than two miles. Menchaca drove the vehicle beyond the limits so authorized, and into the City of Albuquerque, where the accident occurred.” Menchaca failed to obey a traffic signal; he drove through a red traffic signal and collided with the vehicle being driven by Smith. Smith and Equitable (Equitable General Insurance Company), Smith’s collision insurance carrier, and as subrogee of Smith, sought to recover the amount of the damage to Smith’s vehicle.</w:t>
      </w:r>
    </w:p>
    <w:p w14:paraId="1C089B6B"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 xml:space="preserve">Menchaca is not a party; the trial court’s finding, supported by substantial evidence, is that </w:t>
      </w:r>
      <w:r w:rsidRPr="001A5EF5">
        <w:rPr>
          <w:rFonts w:ascii="Georgia" w:eastAsia="Times New Roman" w:hAnsi="Georgia" w:cs="Times New Roman"/>
          <w:sz w:val="24"/>
          <w:szCs w:val="24"/>
          <w:highlight w:val="yellow"/>
          <w:lang w:eastAsia="en-GB"/>
        </w:rPr>
        <w:t>Menchaca was “in this country illegally and without federal or state authorization.”</w:t>
      </w:r>
      <w:r w:rsidRPr="001A5EF5">
        <w:rPr>
          <w:rFonts w:ascii="Georgia" w:eastAsia="Times New Roman" w:hAnsi="Georgia" w:cs="Times New Roman"/>
          <w:sz w:val="24"/>
          <w:szCs w:val="24"/>
          <w:lang w:eastAsia="en-GB"/>
        </w:rPr>
        <w:t xml:space="preserve"> The evidence is to the effect that </w:t>
      </w:r>
      <w:r w:rsidRPr="001A5EF5">
        <w:rPr>
          <w:rFonts w:ascii="Georgia" w:eastAsia="Times New Roman" w:hAnsi="Georgia" w:cs="Times New Roman"/>
          <w:sz w:val="24"/>
          <w:szCs w:val="24"/>
          <w:highlight w:val="yellow"/>
          <w:lang w:eastAsia="en-GB"/>
        </w:rPr>
        <w:t>Menchaca was deported to Mexico after the accident.</w:t>
      </w:r>
      <w:r w:rsidRPr="001A5EF5">
        <w:rPr>
          <w:rFonts w:ascii="Georgia" w:eastAsia="Times New Roman" w:hAnsi="Georgia" w:cs="Times New Roman"/>
          <w:sz w:val="24"/>
          <w:szCs w:val="24"/>
          <w:lang w:eastAsia="en-GB"/>
        </w:rPr>
        <w:t xml:space="preserve"> </w:t>
      </w:r>
      <w:r w:rsidRPr="001A5EF5">
        <w:rPr>
          <w:rFonts w:ascii="Georgia" w:eastAsia="Times New Roman" w:hAnsi="Georgia" w:cs="Times New Roman"/>
          <w:sz w:val="24"/>
          <w:szCs w:val="24"/>
          <w:highlight w:val="magenta"/>
          <w:lang w:eastAsia="en-GB"/>
        </w:rPr>
        <w:t>The plaintiffs sought to recover their damages from Silva; the trial court held for Silva.</w:t>
      </w:r>
    </w:p>
    <w:p w14:paraId="1C089B6C" w14:textId="4688390E"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highlight w:val="magenta"/>
          <w:lang w:eastAsia="en-GB"/>
        </w:rPr>
        <w:t>Plaintiffs appeal</w:t>
      </w:r>
      <w:r w:rsidRPr="001A5EF5">
        <w:rPr>
          <w:rFonts w:ascii="Georgia" w:eastAsia="Times New Roman" w:hAnsi="Georgia" w:cs="Times New Roman"/>
          <w:sz w:val="24"/>
          <w:szCs w:val="24"/>
          <w:lang w:eastAsia="en-GB"/>
        </w:rPr>
        <w:t xml:space="preserve">, contending: (1) that the trial court erred in ruling that Silva did not violate § 66-5 — 41; (2) that the violation of § 66-5 — 41 was a foreseeable proximate cause of the accident; and (3) that Menchaca’s deviation from his authorized use does not relieve Silva from liability for Menchaca’s negligent operation of Silva’s car. </w:t>
      </w:r>
      <w:r w:rsidRPr="001A5EF5">
        <w:rPr>
          <w:rFonts w:ascii="Georgia" w:eastAsia="Times New Roman" w:hAnsi="Georgia" w:cs="Times New Roman"/>
          <w:sz w:val="24"/>
          <w:szCs w:val="24"/>
          <w:lang w:eastAsia="en-GB"/>
        </w:rPr>
        <w:lastRenderedPageBreak/>
        <w:t>Cases cited in Annot., Automobiles—</w:t>
      </w:r>
      <w:r w:rsidRPr="001A5EF5">
        <w:rPr>
          <w:rFonts w:ascii="Georgia" w:eastAsia="Times New Roman" w:hAnsi="Georgia" w:cs="Times New Roman"/>
          <w:i/>
          <w:iCs/>
          <w:sz w:val="24"/>
          <w:szCs w:val="24"/>
          <w:lang w:eastAsia="en-GB"/>
        </w:rPr>
        <w:t>Unlicensed Operator, </w:t>
      </w:r>
      <w:hyperlink r:id="rId4" w:history="1">
        <w:r w:rsidRPr="001A5EF5">
          <w:rPr>
            <w:rFonts w:ascii="Georgia" w:eastAsia="Times New Roman" w:hAnsi="Georgia" w:cs="Times New Roman"/>
            <w:color w:val="007BFF"/>
            <w:sz w:val="24"/>
            <w:szCs w:val="24"/>
            <w:lang w:eastAsia="en-GB"/>
          </w:rPr>
          <w:t>69 A.L.R.2d 978</w:t>
        </w:r>
      </w:hyperlink>
      <w:r w:rsidRPr="001A5EF5">
        <w:rPr>
          <w:rFonts w:ascii="Georgia" w:eastAsia="Times New Roman" w:hAnsi="Georgia" w:cs="Times New Roman"/>
          <w:sz w:val="24"/>
          <w:szCs w:val="24"/>
          <w:lang w:eastAsia="en-GB"/>
        </w:rPr>
        <w:t> (1960), support the second and third contentions; however, </w:t>
      </w:r>
      <w:r w:rsidRPr="001A5EF5">
        <w:rPr>
          <w:rFonts w:ascii="Georgia" w:eastAsia="Times New Roman" w:hAnsi="Georgia" w:cs="Times New Roman"/>
          <w:i/>
          <w:iCs/>
          <w:sz w:val="24"/>
          <w:szCs w:val="24"/>
          <w:lang w:eastAsia="en-GB"/>
        </w:rPr>
        <w:t>see Lopez v. Maez, </w:t>
      </w:r>
      <w:r w:rsidRPr="001A5EF5">
        <w:rPr>
          <w:rFonts w:ascii="Georgia" w:eastAsia="Times New Roman" w:hAnsi="Georgia" w:cs="Times New Roman"/>
          <w:color w:val="007BFF"/>
          <w:sz w:val="24"/>
          <w:szCs w:val="24"/>
          <w:lang w:eastAsia="en-GB"/>
        </w:rPr>
        <w:t>98 N.M. 625</w:t>
      </w:r>
      <w:r w:rsidRPr="001A5EF5">
        <w:rPr>
          <w:rFonts w:ascii="Georgia" w:eastAsia="Times New Roman" w:hAnsi="Georgia" w:cs="Times New Roman"/>
          <w:sz w:val="24"/>
          <w:szCs w:val="24"/>
          <w:lang w:eastAsia="en-GB"/>
        </w:rPr>
        <w:t>, </w:t>
      </w:r>
      <w:hyperlink r:id="rId5" w:history="1">
        <w:r w:rsidRPr="001A5EF5">
          <w:rPr>
            <w:rFonts w:ascii="Georgia" w:eastAsia="Times New Roman" w:hAnsi="Georgia" w:cs="Times New Roman"/>
            <w:color w:val="007BFF"/>
            <w:sz w:val="24"/>
            <w:szCs w:val="24"/>
            <w:lang w:eastAsia="en-GB"/>
          </w:rPr>
          <w:t>651 P.2d 1269</w:t>
        </w:r>
      </w:hyperlink>
      <w:r w:rsidRPr="001A5EF5">
        <w:rPr>
          <w:rFonts w:ascii="Georgia" w:eastAsia="Times New Roman" w:hAnsi="Georgia" w:cs="Times New Roman"/>
          <w:sz w:val="24"/>
          <w:szCs w:val="24"/>
          <w:lang w:eastAsia="en-GB"/>
        </w:rPr>
        <w:t> (1982), </w:t>
      </w:r>
      <w:r w:rsidRPr="001A5EF5">
        <w:rPr>
          <w:rFonts w:ascii="Georgia" w:eastAsia="Times New Roman" w:hAnsi="Georgia" w:cs="Times New Roman"/>
          <w:i/>
          <w:iCs/>
          <w:sz w:val="24"/>
          <w:szCs w:val="24"/>
          <w:lang w:eastAsia="en-GB"/>
        </w:rPr>
        <w:t>Bouldin v. Sategna, </w:t>
      </w:r>
      <w:r w:rsidRPr="001A5EF5">
        <w:rPr>
          <w:rFonts w:ascii="Georgia" w:eastAsia="Times New Roman" w:hAnsi="Georgia" w:cs="Times New Roman"/>
          <w:color w:val="007BFF"/>
          <w:sz w:val="24"/>
          <w:szCs w:val="24"/>
          <w:lang w:eastAsia="en-GB"/>
        </w:rPr>
        <w:t>71 N.M. 329</w:t>
      </w:r>
      <w:r w:rsidRPr="001A5EF5">
        <w:rPr>
          <w:rFonts w:ascii="Georgia" w:eastAsia="Times New Roman" w:hAnsi="Georgia" w:cs="Times New Roman"/>
          <w:sz w:val="24"/>
          <w:szCs w:val="24"/>
          <w:lang w:eastAsia="en-GB"/>
        </w:rPr>
        <w:t>, </w:t>
      </w:r>
      <w:hyperlink r:id="rId6" w:history="1">
        <w:r w:rsidRPr="001A5EF5">
          <w:rPr>
            <w:rFonts w:ascii="Georgia" w:eastAsia="Times New Roman" w:hAnsi="Georgia" w:cs="Times New Roman"/>
            <w:color w:val="007BFF"/>
            <w:sz w:val="24"/>
            <w:szCs w:val="24"/>
            <w:lang w:eastAsia="en-GB"/>
          </w:rPr>
          <w:t>378 P.2d 370</w:t>
        </w:r>
      </w:hyperlink>
      <w:r w:rsidRPr="001A5EF5">
        <w:rPr>
          <w:rFonts w:ascii="Georgia" w:eastAsia="Times New Roman" w:hAnsi="Georgia" w:cs="Times New Roman"/>
          <w:sz w:val="24"/>
          <w:szCs w:val="24"/>
          <w:lang w:eastAsia="en-GB"/>
        </w:rPr>
        <w:t> (1963), and </w:t>
      </w:r>
      <w:r w:rsidRPr="001A5EF5">
        <w:rPr>
          <w:rFonts w:ascii="Georgia" w:eastAsia="Times New Roman" w:hAnsi="Georgia" w:cs="Times New Roman"/>
          <w:i/>
          <w:iCs/>
          <w:sz w:val="24"/>
          <w:szCs w:val="24"/>
          <w:lang w:eastAsia="en-GB"/>
        </w:rPr>
        <w:t>State v. Seward, </w:t>
      </w:r>
      <w:r w:rsidRPr="001A5EF5">
        <w:rPr>
          <w:rFonts w:ascii="Georgia" w:eastAsia="Times New Roman" w:hAnsi="Georgia" w:cs="Times New Roman"/>
          <w:color w:val="007BFF"/>
          <w:sz w:val="24"/>
          <w:szCs w:val="24"/>
          <w:lang w:eastAsia="en-GB"/>
        </w:rPr>
        <w:t>46 N.M. 84</w:t>
      </w:r>
      <w:r w:rsidRPr="001A5EF5">
        <w:rPr>
          <w:rFonts w:ascii="Georgia" w:eastAsia="Times New Roman" w:hAnsi="Georgia" w:cs="Times New Roman"/>
          <w:sz w:val="24"/>
          <w:szCs w:val="24"/>
          <w:lang w:eastAsia="en-GB"/>
        </w:rPr>
        <w:t>, </w:t>
      </w:r>
      <w:hyperlink r:id="rId7" w:history="1">
        <w:r w:rsidRPr="001A5EF5">
          <w:rPr>
            <w:rFonts w:ascii="Georgia" w:eastAsia="Times New Roman" w:hAnsi="Georgia" w:cs="Times New Roman"/>
            <w:color w:val="007BFF"/>
            <w:sz w:val="24"/>
            <w:szCs w:val="24"/>
            <w:lang w:eastAsia="en-GB"/>
          </w:rPr>
          <w:t>121 P.2d 145</w:t>
        </w:r>
      </w:hyperlink>
      <w:r w:rsidRPr="001A5EF5">
        <w:rPr>
          <w:rFonts w:ascii="Georgia" w:eastAsia="Times New Roman" w:hAnsi="Georgia" w:cs="Times New Roman"/>
          <w:sz w:val="24"/>
          <w:szCs w:val="24"/>
          <w:lang w:eastAsia="en-GB"/>
        </w:rPr>
        <w:t xml:space="preserve"> (1942). We do not decide these two claims because they are dependent on the first issue and </w:t>
      </w:r>
      <w:r w:rsidRPr="001A5EF5">
        <w:rPr>
          <w:rFonts w:ascii="Georgia" w:eastAsia="Times New Roman" w:hAnsi="Georgia" w:cs="Times New Roman"/>
          <w:sz w:val="24"/>
          <w:szCs w:val="24"/>
          <w:highlight w:val="green"/>
          <w:lang w:eastAsia="en-GB"/>
        </w:rPr>
        <w:t>we hold that the trial court could properly rule, under the evidence, that there was no violation of § 66-5 — 41.</w:t>
      </w:r>
    </w:p>
    <w:p w14:paraId="1C089B6D" w14:textId="21DEBD69"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Generally speaking, New Mexico requires that a person operating a motor vehicle upon public roads be licensed by the state. </w:t>
      </w:r>
      <w:r w:rsidRPr="001A5EF5">
        <w:rPr>
          <w:rFonts w:ascii="Georgia" w:eastAsia="Times New Roman" w:hAnsi="Georgia" w:cs="Times New Roman"/>
          <w:i/>
          <w:iCs/>
          <w:color w:val="979797"/>
          <w:sz w:val="19"/>
          <w:szCs w:val="19"/>
          <w:lang w:eastAsia="en-GB"/>
        </w:rPr>
        <w:t>*373</w:t>
      </w:r>
      <w:r w:rsidRPr="001A5EF5">
        <w:rPr>
          <w:rFonts w:ascii="Georgia" w:eastAsia="Times New Roman" w:hAnsi="Georgia" w:cs="Times New Roman"/>
          <w:sz w:val="24"/>
          <w:szCs w:val="24"/>
          <w:lang w:eastAsia="en-GB"/>
        </w:rPr>
        <w:t> </w:t>
      </w:r>
      <w:r w:rsidRPr="001A5EF5">
        <w:rPr>
          <w:rFonts w:ascii="Georgia" w:eastAsia="Times New Roman" w:hAnsi="Georgia" w:cs="Times New Roman"/>
          <w:i/>
          <w:iCs/>
          <w:sz w:val="24"/>
          <w:szCs w:val="24"/>
          <w:lang w:eastAsia="en-GB"/>
        </w:rPr>
        <w:t>See </w:t>
      </w:r>
      <w:r w:rsidRPr="001A5EF5">
        <w:rPr>
          <w:rFonts w:ascii="Georgia" w:eastAsia="Times New Roman" w:hAnsi="Georgia" w:cs="Times New Roman"/>
          <w:sz w:val="24"/>
          <w:szCs w:val="24"/>
          <w:highlight w:val="cyan"/>
          <w:lang w:eastAsia="en-GB"/>
        </w:rPr>
        <w:t>§ 66-5-2, N.M.S.A.1978 (1982 Cum. Supp.)</w:t>
      </w:r>
      <w:r w:rsidRPr="001A5EF5">
        <w:rPr>
          <w:rFonts w:ascii="Georgia" w:eastAsia="Times New Roman" w:hAnsi="Georgia" w:cs="Times New Roman"/>
          <w:sz w:val="24"/>
          <w:szCs w:val="24"/>
          <w:lang w:eastAsia="en-GB"/>
        </w:rPr>
        <w:t xml:space="preserve"> and </w:t>
      </w:r>
      <w:r w:rsidRPr="001A5EF5">
        <w:rPr>
          <w:rFonts w:ascii="Georgia" w:eastAsia="Times New Roman" w:hAnsi="Georgia" w:cs="Times New Roman"/>
          <w:sz w:val="24"/>
          <w:szCs w:val="24"/>
          <w:highlight w:val="cyan"/>
          <w:lang w:eastAsia="en-GB"/>
        </w:rPr>
        <w:t>§ 66-5-4, N.M.S.A.1978</w:t>
      </w:r>
      <w:r w:rsidRPr="001A5EF5">
        <w:rPr>
          <w:rFonts w:ascii="Georgia" w:eastAsia="Times New Roman" w:hAnsi="Georgia" w:cs="Times New Roman"/>
          <w:sz w:val="24"/>
          <w:szCs w:val="24"/>
          <w:lang w:eastAsia="en-GB"/>
        </w:rPr>
        <w:t>. Plaintiffs correctly assert that such a requirement is for the protection of the public, which included Smith. </w:t>
      </w:r>
      <w:r w:rsidRPr="001A5EF5">
        <w:rPr>
          <w:rFonts w:ascii="Georgia" w:eastAsia="Times New Roman" w:hAnsi="Georgia" w:cs="Times New Roman"/>
          <w:i/>
          <w:iCs/>
          <w:sz w:val="24"/>
          <w:szCs w:val="24"/>
          <w:lang w:eastAsia="en-GB"/>
        </w:rPr>
        <w:t>See </w:t>
      </w:r>
      <w:r w:rsidRPr="001A5EF5">
        <w:rPr>
          <w:rFonts w:ascii="Georgia" w:eastAsia="Times New Roman" w:hAnsi="Georgia" w:cs="Times New Roman"/>
          <w:sz w:val="24"/>
          <w:szCs w:val="24"/>
          <w:lang w:eastAsia="en-GB"/>
        </w:rPr>
        <w:t>69 A.L.R.2d, </w:t>
      </w:r>
      <w:r w:rsidRPr="001A5EF5">
        <w:rPr>
          <w:rFonts w:ascii="Georgia" w:eastAsia="Times New Roman" w:hAnsi="Georgia" w:cs="Times New Roman"/>
          <w:i/>
          <w:iCs/>
          <w:sz w:val="24"/>
          <w:szCs w:val="24"/>
          <w:lang w:eastAsia="en-GB"/>
        </w:rPr>
        <w:t>supra, </w:t>
      </w:r>
      <w:r w:rsidRPr="001A5EF5">
        <w:rPr>
          <w:rFonts w:ascii="Georgia" w:eastAsia="Times New Roman" w:hAnsi="Georgia" w:cs="Times New Roman"/>
          <w:sz w:val="24"/>
          <w:szCs w:val="24"/>
          <w:lang w:eastAsia="en-GB"/>
        </w:rPr>
        <w:t>at 981; </w:t>
      </w:r>
      <w:r w:rsidRPr="001A5EF5">
        <w:rPr>
          <w:rFonts w:ascii="Georgia" w:eastAsia="Times New Roman" w:hAnsi="Georgia" w:cs="Times New Roman"/>
          <w:i/>
          <w:iCs/>
          <w:sz w:val="24"/>
          <w:szCs w:val="24"/>
          <w:lang w:eastAsia="en-GB"/>
        </w:rPr>
        <w:t>Lopez v. Maez, supra; Bouldin v. Sategna, supra.</w:t>
      </w:r>
    </w:p>
    <w:p w14:paraId="1C089B6E"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highlight w:val="magenta"/>
          <w:lang w:eastAsia="en-GB"/>
        </w:rPr>
        <w:t>The trial court ruled that Silva was not negligent in lending his vehicle to Menchaca.</w:t>
      </w:r>
      <w:r w:rsidRPr="001A5EF5">
        <w:rPr>
          <w:rFonts w:ascii="Georgia" w:eastAsia="Times New Roman" w:hAnsi="Georgia" w:cs="Times New Roman"/>
          <w:sz w:val="24"/>
          <w:szCs w:val="24"/>
          <w:lang w:eastAsia="en-GB"/>
        </w:rPr>
        <w:t xml:space="preserve"> </w:t>
      </w:r>
      <w:r w:rsidRPr="001A5EF5">
        <w:rPr>
          <w:rFonts w:ascii="Georgia" w:eastAsia="Times New Roman" w:hAnsi="Georgia" w:cs="Times New Roman"/>
          <w:sz w:val="24"/>
          <w:szCs w:val="24"/>
          <w:highlight w:val="green"/>
          <w:lang w:eastAsia="en-GB"/>
        </w:rPr>
        <w:t>The evidence supports this ruling. Plaintiffs contend that negligent entrustment is not pertinent. We agree</w:t>
      </w:r>
      <w:r w:rsidRPr="001A5EF5">
        <w:rPr>
          <w:rFonts w:ascii="Georgia" w:eastAsia="Times New Roman" w:hAnsi="Georgia" w:cs="Times New Roman"/>
          <w:sz w:val="24"/>
          <w:szCs w:val="24"/>
          <w:lang w:eastAsia="en-GB"/>
        </w:rPr>
        <w:t>; in New Mexico a violation of a statute enacted for the benefit of the public, and which included Smith, would be negligence per se. </w:t>
      </w:r>
      <w:r w:rsidRPr="001A5EF5">
        <w:rPr>
          <w:rFonts w:ascii="Georgia" w:eastAsia="Times New Roman" w:hAnsi="Georgia" w:cs="Times New Roman"/>
          <w:i/>
          <w:iCs/>
          <w:sz w:val="24"/>
          <w:szCs w:val="24"/>
          <w:lang w:eastAsia="en-GB"/>
        </w:rPr>
        <w:t>See </w:t>
      </w:r>
      <w:r w:rsidRPr="001A5EF5">
        <w:rPr>
          <w:rFonts w:ascii="Georgia" w:eastAsia="Times New Roman" w:hAnsi="Georgia" w:cs="Times New Roman"/>
          <w:sz w:val="24"/>
          <w:szCs w:val="24"/>
          <w:lang w:eastAsia="en-GB"/>
        </w:rPr>
        <w:t>U.J.I.Civ. 15.1, N.M.S.A.1978 (1980 Repl.Pamph.), the Committee Comment thereto and </w:t>
      </w:r>
      <w:r w:rsidRPr="001A5EF5">
        <w:rPr>
          <w:rFonts w:ascii="Georgia" w:eastAsia="Times New Roman" w:hAnsi="Georgia" w:cs="Times New Roman"/>
          <w:i/>
          <w:iCs/>
          <w:sz w:val="24"/>
          <w:szCs w:val="24"/>
          <w:lang w:eastAsia="en-GB"/>
        </w:rPr>
        <w:t>Bouldin v. Sategna, supra.</w:t>
      </w:r>
    </w:p>
    <w:p w14:paraId="1C089B6F"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 xml:space="preserve">Plaintiffs claim that Silva violated </w:t>
      </w:r>
      <w:r w:rsidRPr="001A5EF5">
        <w:rPr>
          <w:rFonts w:ascii="Georgia" w:eastAsia="Times New Roman" w:hAnsi="Georgia" w:cs="Times New Roman"/>
          <w:sz w:val="24"/>
          <w:szCs w:val="24"/>
          <w:highlight w:val="cyan"/>
          <w:lang w:eastAsia="en-GB"/>
        </w:rPr>
        <w:t>§ 66-5-41</w:t>
      </w:r>
      <w:r w:rsidRPr="001A5EF5">
        <w:rPr>
          <w:rFonts w:ascii="Georgia" w:eastAsia="Times New Roman" w:hAnsi="Georgia" w:cs="Times New Roman"/>
          <w:sz w:val="24"/>
          <w:szCs w:val="24"/>
          <w:lang w:eastAsia="en-GB"/>
        </w:rPr>
        <w:t xml:space="preserve"> “by authorizing and knowingly permitting a motor vehicle owned by him to be driven upon a New Mexico highway by an unauthorized and unlicensed driver.” The trial court’s finding, supported by substantial evidence, is that </w:t>
      </w:r>
      <w:r w:rsidRPr="001A5EF5">
        <w:rPr>
          <w:rFonts w:ascii="Georgia" w:eastAsia="Times New Roman" w:hAnsi="Georgia" w:cs="Times New Roman"/>
          <w:sz w:val="24"/>
          <w:szCs w:val="24"/>
          <w:highlight w:val="yellow"/>
          <w:lang w:eastAsia="en-GB"/>
        </w:rPr>
        <w:t>prior to Silva loaning his car, “Menchaca had exhibited what appeared to be a valid driver’s license.”</w:t>
      </w:r>
      <w:r w:rsidRPr="001A5EF5">
        <w:rPr>
          <w:rFonts w:ascii="Georgia" w:eastAsia="Times New Roman" w:hAnsi="Georgia" w:cs="Times New Roman"/>
          <w:sz w:val="24"/>
          <w:szCs w:val="24"/>
          <w:lang w:eastAsia="en-GB"/>
        </w:rPr>
        <w:t xml:space="preserve"> Plaintiffs assert that this finding is of no consequence because of another finding. This finding, also supported by substantial evidence is that “Silva had voluntarily loaned his vehicle to Menchaca, having reason to know that Menchaca was an illegal alien.”</w:t>
      </w:r>
    </w:p>
    <w:p w14:paraId="1C089B70"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Plaintiffs state:</w:t>
      </w:r>
    </w:p>
    <w:p w14:paraId="1C089B71" w14:textId="77777777" w:rsidR="001A5EF5" w:rsidRPr="001A5EF5" w:rsidRDefault="001A5EF5" w:rsidP="001A5EF5">
      <w:pPr>
        <w:spacing w:after="100" w:line="240" w:lineRule="auto"/>
        <w:rPr>
          <w:rFonts w:ascii="Georgia" w:eastAsia="Times New Roman" w:hAnsi="Georgia" w:cs="Times New Roman"/>
          <w:color w:val="004FB3"/>
          <w:sz w:val="24"/>
          <w:szCs w:val="24"/>
          <w:lang w:eastAsia="en-GB"/>
        </w:rPr>
      </w:pPr>
      <w:r w:rsidRPr="001A5EF5">
        <w:rPr>
          <w:rFonts w:ascii="Georgia" w:eastAsia="Times New Roman" w:hAnsi="Georgia" w:cs="Times New Roman"/>
          <w:color w:val="004FB3"/>
          <w:sz w:val="24"/>
          <w:szCs w:val="24"/>
          <w:lang w:eastAsia="en-GB"/>
        </w:rPr>
        <w:t>“It is self evident and no authority is needed for the proposition that an individual who is in this country illegally and without federal or state authorization . .. could not have had a valid driver’s license to drive in New Mexico, nor could he have been legally authorized to do so.”</w:t>
      </w:r>
    </w:p>
    <w:p w14:paraId="1C089B72"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 xml:space="preserve">In answering this argument we proceed on the basis that </w:t>
      </w:r>
      <w:r w:rsidRPr="001A5EF5">
        <w:rPr>
          <w:rFonts w:ascii="Georgia" w:eastAsia="Times New Roman" w:hAnsi="Georgia" w:cs="Times New Roman"/>
          <w:sz w:val="24"/>
          <w:szCs w:val="24"/>
          <w:highlight w:val="yellow"/>
          <w:lang w:eastAsia="en-GB"/>
        </w:rPr>
        <w:t>the license exhibited by Menchaca was a New Mexico license</w:t>
      </w:r>
      <w:r w:rsidRPr="001A5EF5">
        <w:rPr>
          <w:rFonts w:ascii="Georgia" w:eastAsia="Times New Roman" w:hAnsi="Georgia" w:cs="Times New Roman"/>
          <w:sz w:val="24"/>
          <w:szCs w:val="24"/>
          <w:lang w:eastAsia="en-GB"/>
        </w:rPr>
        <w:t>; we do so because there is nothing suggesting it was a license issued in Mexico, </w:t>
      </w:r>
      <w:r w:rsidRPr="001A5EF5">
        <w:rPr>
          <w:rFonts w:ascii="Georgia" w:eastAsia="Times New Roman" w:hAnsi="Georgia" w:cs="Times New Roman"/>
          <w:i/>
          <w:iCs/>
          <w:sz w:val="24"/>
          <w:szCs w:val="24"/>
          <w:lang w:eastAsia="en-GB"/>
        </w:rPr>
        <w:t>see </w:t>
      </w:r>
      <w:r w:rsidRPr="001A5EF5">
        <w:rPr>
          <w:rFonts w:ascii="Georgia" w:eastAsia="Times New Roman" w:hAnsi="Georgia" w:cs="Times New Roman"/>
          <w:sz w:val="24"/>
          <w:szCs w:val="24"/>
          <w:highlight w:val="cyan"/>
          <w:lang w:eastAsia="en-GB"/>
        </w:rPr>
        <w:t>§ 66-5 — 4(B)</w:t>
      </w:r>
      <w:r w:rsidRPr="001A5EF5">
        <w:rPr>
          <w:rFonts w:ascii="Georgia" w:eastAsia="Times New Roman" w:hAnsi="Georgia" w:cs="Times New Roman"/>
          <w:sz w:val="24"/>
          <w:szCs w:val="24"/>
          <w:lang w:eastAsia="en-GB"/>
        </w:rPr>
        <w:t>, and because the inference from the testimony is that the license exhibited was a New Mexico license. The license exhibited by Menchaca is not in evidence.</w:t>
      </w:r>
    </w:p>
    <w:p w14:paraId="1C089B73"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 xml:space="preserve">We assume, but do not decide, that </w:t>
      </w:r>
      <w:r w:rsidRPr="001A5EF5">
        <w:rPr>
          <w:rFonts w:ascii="Georgia" w:eastAsia="Times New Roman" w:hAnsi="Georgia" w:cs="Times New Roman"/>
          <w:sz w:val="24"/>
          <w:szCs w:val="24"/>
          <w:highlight w:val="yellow"/>
          <w:lang w:eastAsia="en-GB"/>
        </w:rPr>
        <w:t>because Menchaca was in New Mexico without authorization and because his status was that of an illegal alien, he could not have been validly licensed by New Mexico to drive and that the license he exhibited was not valid.</w:t>
      </w:r>
      <w:r w:rsidRPr="001A5EF5">
        <w:rPr>
          <w:rFonts w:ascii="Georgia" w:eastAsia="Times New Roman" w:hAnsi="Georgia" w:cs="Times New Roman"/>
          <w:sz w:val="24"/>
          <w:szCs w:val="24"/>
          <w:lang w:eastAsia="en-GB"/>
        </w:rPr>
        <w:t xml:space="preserve"> Thus, we proceed on the basis that the second part of § 66-5-41 had been met — that Menchaca was either “not authorized” or “in violation of any of the provisions” of Chapter 66, Article 5, Part 1, N.M.S.A.1978, concerning the licensing of operators of motor vehicles. Even though we make this assumption, we note that § 66-5-5, N.M.S.A.1978 (1982 Cum.Supp.), does not expressly prohibit the licensing of illegal aliens.</w:t>
      </w:r>
    </w:p>
    <w:p w14:paraId="1C089B74"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lastRenderedPageBreak/>
        <w:t xml:space="preserve">The assumption that Menchaca did not and could not have had a valid New Mexico license does not dispose of the question of whether Silva violated </w:t>
      </w:r>
      <w:r w:rsidRPr="001A5EF5">
        <w:rPr>
          <w:rFonts w:ascii="Georgia" w:eastAsia="Times New Roman" w:hAnsi="Georgia" w:cs="Times New Roman"/>
          <w:sz w:val="24"/>
          <w:szCs w:val="24"/>
          <w:highlight w:val="cyan"/>
          <w:lang w:eastAsia="en-GB"/>
        </w:rPr>
        <w:t>§ 66-5 — 41</w:t>
      </w:r>
      <w:r w:rsidRPr="001A5EF5">
        <w:rPr>
          <w:rFonts w:ascii="Georgia" w:eastAsia="Times New Roman" w:hAnsi="Georgia" w:cs="Times New Roman"/>
          <w:sz w:val="24"/>
          <w:szCs w:val="24"/>
          <w:lang w:eastAsia="en-GB"/>
        </w:rPr>
        <w:t xml:space="preserve">. To violate </w:t>
      </w:r>
      <w:r w:rsidRPr="001A5EF5">
        <w:rPr>
          <w:rFonts w:ascii="Georgia" w:eastAsia="Times New Roman" w:hAnsi="Georgia" w:cs="Times New Roman"/>
          <w:sz w:val="24"/>
          <w:szCs w:val="24"/>
          <w:highlight w:val="cyan"/>
          <w:lang w:eastAsia="en-GB"/>
        </w:rPr>
        <w:t>§ 66-5 — 41</w:t>
      </w:r>
      <w:r w:rsidRPr="001A5EF5">
        <w:rPr>
          <w:rFonts w:ascii="Georgia" w:eastAsia="Times New Roman" w:hAnsi="Georgia" w:cs="Times New Roman"/>
          <w:sz w:val="24"/>
          <w:szCs w:val="24"/>
          <w:lang w:eastAsia="en-GB"/>
        </w:rPr>
        <w:t xml:space="preserve"> Silva must “authorize or knowingly permit” Menchaca to drive without being validly licensed to do so.</w:t>
      </w:r>
    </w:p>
    <w:p w14:paraId="1C089B75" w14:textId="37B502B9"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“Authorize or knowingly permit” is used by the parties in the sense that Silva “knew or should have known” that Menchaca could not be licensed to drive in New Mexico. The “know or should have known” requirement applies where the theory of recovery is negligent entrustment. </w:t>
      </w:r>
      <w:r w:rsidRPr="00BB3491">
        <w:rPr>
          <w:rFonts w:ascii="Georgia" w:eastAsia="Times New Roman" w:hAnsi="Georgia" w:cs="Times New Roman"/>
          <w:i/>
          <w:iCs/>
          <w:sz w:val="24"/>
          <w:szCs w:val="24"/>
          <w:highlight w:val="cyan"/>
          <w:lang w:eastAsia="en-GB"/>
        </w:rPr>
        <w:t>Bryant v. Gilmer, </w:t>
      </w:r>
      <w:hyperlink r:id="rId8" w:history="1">
        <w:r w:rsidRPr="00BB3491">
          <w:rPr>
            <w:rFonts w:ascii="Georgia" w:eastAsia="Times New Roman" w:hAnsi="Georgia" w:cs="Times New Roman"/>
            <w:color w:val="007BFF"/>
            <w:sz w:val="24"/>
            <w:szCs w:val="24"/>
            <w:highlight w:val="cyan"/>
            <w:lang w:eastAsia="en-GB"/>
          </w:rPr>
          <w:t>97 N.M. 358</w:t>
        </w:r>
      </w:hyperlink>
      <w:r w:rsidRPr="001A5EF5">
        <w:rPr>
          <w:rFonts w:ascii="Georgia" w:eastAsia="Times New Roman" w:hAnsi="Georgia" w:cs="Times New Roman"/>
          <w:sz w:val="24"/>
          <w:szCs w:val="24"/>
          <w:highlight w:val="cyan"/>
          <w:lang w:eastAsia="en-GB"/>
        </w:rPr>
        <w:t>, </w:t>
      </w:r>
      <w:r w:rsidRPr="00BB3491">
        <w:rPr>
          <w:rFonts w:ascii="Georgia" w:eastAsia="Times New Roman" w:hAnsi="Georgia" w:cs="Times New Roman"/>
          <w:color w:val="007BFF"/>
          <w:sz w:val="24"/>
          <w:szCs w:val="24"/>
          <w:highlight w:val="cyan"/>
          <w:lang w:eastAsia="en-GB"/>
        </w:rPr>
        <w:t>639 P.2d 1212</w:t>
      </w:r>
      <w:r w:rsidRPr="001A5EF5">
        <w:rPr>
          <w:rFonts w:ascii="Georgia" w:eastAsia="Times New Roman" w:hAnsi="Georgia" w:cs="Times New Roman"/>
          <w:sz w:val="24"/>
          <w:szCs w:val="24"/>
          <w:highlight w:val="cyan"/>
          <w:lang w:eastAsia="en-GB"/>
        </w:rPr>
        <w:t> (Ct.App. 1982); </w:t>
      </w:r>
      <w:r w:rsidRPr="00BB3491">
        <w:rPr>
          <w:rFonts w:ascii="Georgia" w:eastAsia="Times New Roman" w:hAnsi="Georgia" w:cs="Times New Roman"/>
          <w:i/>
          <w:iCs/>
          <w:sz w:val="24"/>
          <w:szCs w:val="24"/>
          <w:highlight w:val="cyan"/>
          <w:lang w:eastAsia="en-GB"/>
        </w:rPr>
        <w:t>Moore v. Kiljander, </w:t>
      </w:r>
      <w:hyperlink r:id="rId9" w:history="1">
        <w:r w:rsidRPr="00BB3491">
          <w:rPr>
            <w:rFonts w:ascii="Georgia" w:eastAsia="Times New Roman" w:hAnsi="Georgia" w:cs="Times New Roman"/>
            <w:color w:val="007BFF"/>
            <w:sz w:val="24"/>
            <w:szCs w:val="24"/>
            <w:highlight w:val="cyan"/>
            <w:lang w:eastAsia="en-GB"/>
          </w:rPr>
          <w:t>604 P.2d 204</w:t>
        </w:r>
      </w:hyperlink>
      <w:r w:rsidRPr="001A5EF5">
        <w:rPr>
          <w:rFonts w:ascii="Georgia" w:eastAsia="Times New Roman" w:hAnsi="Georgia" w:cs="Times New Roman"/>
          <w:sz w:val="24"/>
          <w:szCs w:val="24"/>
          <w:highlight w:val="cyan"/>
          <w:lang w:eastAsia="en-GB"/>
        </w:rPr>
        <w:t> (Wyo.1979)</w:t>
      </w:r>
      <w:r w:rsidRPr="001A5EF5">
        <w:rPr>
          <w:rFonts w:ascii="Georgia" w:eastAsia="Times New Roman" w:hAnsi="Georgia" w:cs="Times New Roman"/>
          <w:sz w:val="24"/>
          <w:szCs w:val="24"/>
          <w:lang w:eastAsia="en-GB"/>
        </w:rPr>
        <w:t>. The word “knowledge” in a statute has been held to encompass “know or should have known”. </w:t>
      </w:r>
      <w:r w:rsidRPr="00BB3491">
        <w:rPr>
          <w:rFonts w:ascii="Georgia" w:eastAsia="Times New Roman" w:hAnsi="Georgia" w:cs="Times New Roman"/>
          <w:i/>
          <w:iCs/>
          <w:sz w:val="24"/>
          <w:szCs w:val="24"/>
          <w:highlight w:val="cyan"/>
          <w:lang w:eastAsia="en-GB"/>
        </w:rPr>
        <w:t>Taylor </w:t>
      </w:r>
      <w:r w:rsidRPr="001A5EF5">
        <w:rPr>
          <w:rFonts w:ascii="Georgia" w:eastAsia="Times New Roman" w:hAnsi="Georgia" w:cs="Times New Roman"/>
          <w:sz w:val="24"/>
          <w:szCs w:val="24"/>
          <w:highlight w:val="cyan"/>
          <w:lang w:eastAsia="en-GB"/>
        </w:rPr>
        <w:t>v. </w:t>
      </w:r>
      <w:r w:rsidRPr="00BB3491">
        <w:rPr>
          <w:rFonts w:ascii="Georgia" w:eastAsia="Times New Roman" w:hAnsi="Georgia" w:cs="Times New Roman"/>
          <w:i/>
          <w:iCs/>
          <w:sz w:val="24"/>
          <w:szCs w:val="24"/>
          <w:highlight w:val="cyan"/>
          <w:lang w:eastAsia="en-GB"/>
        </w:rPr>
        <w:t>Hanchett Oil Co., </w:t>
      </w:r>
      <w:r w:rsidRPr="00BB3491">
        <w:rPr>
          <w:rFonts w:ascii="Georgia" w:eastAsia="Times New Roman" w:hAnsi="Georgia" w:cs="Times New Roman"/>
          <w:color w:val="007BFF"/>
          <w:sz w:val="24"/>
          <w:szCs w:val="24"/>
          <w:highlight w:val="cyan"/>
          <w:lang w:eastAsia="en-GB"/>
        </w:rPr>
        <w:t>37 N.M. 606</w:t>
      </w:r>
      <w:r w:rsidRPr="001A5EF5">
        <w:rPr>
          <w:rFonts w:ascii="Georgia" w:eastAsia="Times New Roman" w:hAnsi="Georgia" w:cs="Times New Roman"/>
          <w:sz w:val="24"/>
          <w:szCs w:val="24"/>
          <w:highlight w:val="cyan"/>
          <w:lang w:eastAsia="en-GB"/>
        </w:rPr>
        <w:t>, </w:t>
      </w:r>
      <w:hyperlink r:id="rId10" w:history="1">
        <w:r w:rsidRPr="00BB3491">
          <w:rPr>
            <w:rFonts w:ascii="Georgia" w:eastAsia="Times New Roman" w:hAnsi="Georgia" w:cs="Times New Roman"/>
            <w:color w:val="007BFF"/>
            <w:sz w:val="24"/>
            <w:szCs w:val="24"/>
            <w:highlight w:val="cyan"/>
            <w:lang w:eastAsia="en-GB"/>
          </w:rPr>
          <w:t>27 P.2d 59</w:t>
        </w:r>
      </w:hyperlink>
      <w:r w:rsidRPr="001A5EF5">
        <w:rPr>
          <w:rFonts w:ascii="Georgia" w:eastAsia="Times New Roman" w:hAnsi="Georgia" w:cs="Times New Roman"/>
          <w:sz w:val="24"/>
          <w:szCs w:val="24"/>
          <w:highlight w:val="cyan"/>
          <w:lang w:eastAsia="en-GB"/>
        </w:rPr>
        <w:t> (1933)</w:t>
      </w:r>
      <w:r w:rsidRPr="001A5EF5">
        <w:rPr>
          <w:rFonts w:ascii="Georgia" w:eastAsia="Times New Roman" w:hAnsi="Georgia" w:cs="Times New Roman"/>
          <w:sz w:val="24"/>
          <w:szCs w:val="24"/>
          <w:lang w:eastAsia="en-GB"/>
        </w:rPr>
        <w:t>.</w:t>
      </w:r>
    </w:p>
    <w:p w14:paraId="1C089B76" w14:textId="5D954741"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 xml:space="preserve">Considering a Maryland statute that, like </w:t>
      </w:r>
      <w:r w:rsidRPr="001A5EF5">
        <w:rPr>
          <w:rFonts w:ascii="Georgia" w:eastAsia="Times New Roman" w:hAnsi="Georgia" w:cs="Times New Roman"/>
          <w:sz w:val="24"/>
          <w:szCs w:val="24"/>
          <w:highlight w:val="cyan"/>
          <w:lang w:eastAsia="en-GB"/>
        </w:rPr>
        <w:t>§ 66-5-41</w:t>
      </w:r>
      <w:r w:rsidRPr="001A5EF5">
        <w:rPr>
          <w:rFonts w:ascii="Georgia" w:eastAsia="Times New Roman" w:hAnsi="Georgia" w:cs="Times New Roman"/>
          <w:sz w:val="24"/>
          <w:szCs w:val="24"/>
          <w:lang w:eastAsia="en-GB"/>
        </w:rPr>
        <w:t>, used the words “authorize or knowingly permit”, </w:t>
      </w:r>
      <w:r w:rsidRPr="00BB3491">
        <w:rPr>
          <w:rFonts w:ascii="Georgia" w:eastAsia="Times New Roman" w:hAnsi="Georgia" w:cs="Times New Roman"/>
          <w:i/>
          <w:iCs/>
          <w:sz w:val="24"/>
          <w:szCs w:val="24"/>
          <w:highlight w:val="cyan"/>
          <w:lang w:eastAsia="en-GB"/>
        </w:rPr>
        <w:t>Morrell v. Williams, </w:t>
      </w:r>
      <w:r w:rsidRPr="00BB3491">
        <w:rPr>
          <w:rFonts w:ascii="Georgia" w:eastAsia="Times New Roman" w:hAnsi="Georgia" w:cs="Times New Roman"/>
          <w:color w:val="007BFF"/>
          <w:sz w:val="24"/>
          <w:szCs w:val="24"/>
          <w:highlight w:val="cyan"/>
          <w:lang w:eastAsia="en-GB"/>
        </w:rPr>
        <w:t>279 Md. 497</w:t>
      </w:r>
      <w:r w:rsidRPr="001A5EF5">
        <w:rPr>
          <w:rFonts w:ascii="Georgia" w:eastAsia="Times New Roman" w:hAnsi="Georgia" w:cs="Times New Roman"/>
          <w:sz w:val="24"/>
          <w:szCs w:val="24"/>
          <w:highlight w:val="cyan"/>
          <w:lang w:eastAsia="en-GB"/>
        </w:rPr>
        <w:t>, </w:t>
      </w:r>
      <w:hyperlink r:id="rId11" w:history="1">
        <w:r w:rsidRPr="00BB3491">
          <w:rPr>
            <w:rFonts w:ascii="Georgia" w:eastAsia="Times New Roman" w:hAnsi="Georgia" w:cs="Times New Roman"/>
            <w:color w:val="007BFF"/>
            <w:sz w:val="24"/>
            <w:szCs w:val="24"/>
            <w:highlight w:val="cyan"/>
            <w:lang w:eastAsia="en-GB"/>
          </w:rPr>
          <w:t>366 A.2d 1040</w:t>
        </w:r>
      </w:hyperlink>
      <w:r w:rsidRPr="001A5EF5">
        <w:rPr>
          <w:rFonts w:ascii="Georgia" w:eastAsia="Times New Roman" w:hAnsi="Georgia" w:cs="Times New Roman"/>
          <w:sz w:val="24"/>
          <w:szCs w:val="24"/>
          <w:highlight w:val="cyan"/>
          <w:lang w:eastAsia="en-GB"/>
        </w:rPr>
        <w:t>, 1043 (1976)</w:t>
      </w:r>
      <w:r w:rsidRPr="001A5EF5">
        <w:rPr>
          <w:rFonts w:ascii="Georgia" w:eastAsia="Times New Roman" w:hAnsi="Georgia" w:cs="Times New Roman"/>
          <w:sz w:val="24"/>
          <w:szCs w:val="24"/>
          <w:lang w:eastAsia="en-GB"/>
        </w:rPr>
        <w:t>, stated:</w:t>
      </w:r>
    </w:p>
    <w:p w14:paraId="1C089B77" w14:textId="77777777" w:rsidR="001A5EF5" w:rsidRPr="001A5EF5" w:rsidRDefault="001A5EF5" w:rsidP="001A5EF5">
      <w:pPr>
        <w:spacing w:after="100" w:line="240" w:lineRule="auto"/>
        <w:rPr>
          <w:rFonts w:ascii="Georgia" w:eastAsia="Times New Roman" w:hAnsi="Georgia" w:cs="Times New Roman"/>
          <w:color w:val="004FB3"/>
          <w:sz w:val="24"/>
          <w:szCs w:val="24"/>
          <w:lang w:eastAsia="en-GB"/>
        </w:rPr>
      </w:pPr>
      <w:r w:rsidRPr="001A5EF5">
        <w:rPr>
          <w:rFonts w:ascii="Georgia" w:eastAsia="Times New Roman" w:hAnsi="Georgia" w:cs="Times New Roman"/>
          <w:color w:val="004FB3"/>
          <w:sz w:val="24"/>
          <w:szCs w:val="24"/>
          <w:lang w:eastAsia="en-GB"/>
        </w:rPr>
        <w:t>The critical point is that a violation of § 6-305 of the Motor Vehicle Code requires proof that the vehicle owner authorized the use of a motor vehicle by a person whom he knew to be without a license, while the doctrine of negligent entrustment may be invoked only against the vehicle owner who knows or should have known that the use would involve an inordinate risk of physical harm.</w:t>
      </w:r>
    </w:p>
    <w:p w14:paraId="1C089B78" w14:textId="5919FBC6"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i/>
          <w:iCs/>
          <w:color w:val="979797"/>
          <w:sz w:val="19"/>
          <w:szCs w:val="19"/>
          <w:lang w:eastAsia="en-GB"/>
        </w:rPr>
        <w:t>*374</w:t>
      </w:r>
      <w:r w:rsidRPr="001A5EF5">
        <w:rPr>
          <w:rFonts w:ascii="Georgia" w:eastAsia="Times New Roman" w:hAnsi="Georgia" w:cs="Times New Roman"/>
          <w:sz w:val="24"/>
          <w:szCs w:val="24"/>
          <w:lang w:eastAsia="en-GB"/>
        </w:rPr>
        <w:t>However, after making the above-quoted distinction, </w:t>
      </w:r>
      <w:r w:rsidRPr="00BB3491">
        <w:rPr>
          <w:rFonts w:ascii="Georgia" w:eastAsia="Times New Roman" w:hAnsi="Georgia" w:cs="Times New Roman"/>
          <w:i/>
          <w:iCs/>
          <w:sz w:val="24"/>
          <w:szCs w:val="24"/>
          <w:highlight w:val="cyan"/>
          <w:lang w:eastAsia="en-GB"/>
        </w:rPr>
        <w:t>Morrell</w:t>
      </w:r>
      <w:r w:rsidRPr="001A5EF5">
        <w:rPr>
          <w:rFonts w:ascii="Georgia" w:eastAsia="Times New Roman" w:hAnsi="Georgia" w:cs="Times New Roman"/>
          <w:i/>
          <w:iCs/>
          <w:sz w:val="24"/>
          <w:szCs w:val="24"/>
          <w:lang w:eastAsia="en-GB"/>
        </w:rPr>
        <w:t> </w:t>
      </w:r>
      <w:r w:rsidRPr="001A5EF5">
        <w:rPr>
          <w:rFonts w:ascii="Georgia" w:eastAsia="Times New Roman" w:hAnsi="Georgia" w:cs="Times New Roman"/>
          <w:sz w:val="24"/>
          <w:szCs w:val="24"/>
          <w:lang w:eastAsia="en-GB"/>
        </w:rPr>
        <w:t>stated that the case, which involved an unlicensed driver, “may be likened” to a case applying the “known or should have known” requirement. </w:t>
      </w:r>
      <w:r w:rsidRPr="001A5EF5">
        <w:rPr>
          <w:rFonts w:ascii="Georgia" w:eastAsia="Times New Roman" w:hAnsi="Georgia" w:cs="Times New Roman"/>
          <w:i/>
          <w:iCs/>
          <w:sz w:val="24"/>
          <w:szCs w:val="24"/>
          <w:lang w:eastAsia="en-GB"/>
        </w:rPr>
        <w:t>Compare McDowell v. Davis, </w:t>
      </w:r>
      <w:hyperlink r:id="rId12" w:history="1">
        <w:r w:rsidRPr="001A5EF5">
          <w:rPr>
            <w:rFonts w:ascii="Georgia" w:eastAsia="Times New Roman" w:hAnsi="Georgia" w:cs="Times New Roman"/>
            <w:color w:val="007BFF"/>
            <w:sz w:val="24"/>
            <w:szCs w:val="24"/>
            <w:lang w:eastAsia="en-GB"/>
          </w:rPr>
          <w:t>8 Ariz.App. 33</w:t>
        </w:r>
      </w:hyperlink>
      <w:r w:rsidRPr="001A5EF5">
        <w:rPr>
          <w:rFonts w:ascii="Georgia" w:eastAsia="Times New Roman" w:hAnsi="Georgia" w:cs="Times New Roman"/>
          <w:sz w:val="24"/>
          <w:szCs w:val="24"/>
          <w:lang w:eastAsia="en-GB"/>
        </w:rPr>
        <w:t>, </w:t>
      </w:r>
      <w:r w:rsidRPr="001A5EF5">
        <w:rPr>
          <w:rFonts w:ascii="Georgia" w:eastAsia="Times New Roman" w:hAnsi="Georgia" w:cs="Times New Roman"/>
          <w:color w:val="007BFF"/>
          <w:sz w:val="24"/>
          <w:szCs w:val="24"/>
          <w:lang w:eastAsia="en-GB"/>
        </w:rPr>
        <w:t>442 P.2d 856</w:t>
      </w:r>
      <w:r w:rsidRPr="001A5EF5">
        <w:rPr>
          <w:rFonts w:ascii="Georgia" w:eastAsia="Times New Roman" w:hAnsi="Georgia" w:cs="Times New Roman"/>
          <w:sz w:val="24"/>
          <w:szCs w:val="24"/>
          <w:lang w:eastAsia="en-GB"/>
        </w:rPr>
        <w:t> (1968).</w:t>
      </w:r>
    </w:p>
    <w:p w14:paraId="1C089B79"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On the basis (1) of </w:t>
      </w:r>
      <w:r w:rsidRPr="00BB3491">
        <w:rPr>
          <w:rFonts w:ascii="Georgia" w:eastAsia="Times New Roman" w:hAnsi="Georgia" w:cs="Times New Roman"/>
          <w:i/>
          <w:iCs/>
          <w:sz w:val="24"/>
          <w:szCs w:val="24"/>
          <w:highlight w:val="cyan"/>
          <w:lang w:eastAsia="en-GB"/>
        </w:rPr>
        <w:t>Taylor v. Hanchett Oil Co.</w:t>
      </w:r>
      <w:r w:rsidRPr="001A5EF5">
        <w:rPr>
          <w:rFonts w:ascii="Georgia" w:eastAsia="Times New Roman" w:hAnsi="Georgia" w:cs="Times New Roman"/>
          <w:i/>
          <w:iCs/>
          <w:sz w:val="24"/>
          <w:szCs w:val="24"/>
          <w:lang w:eastAsia="en-GB"/>
        </w:rPr>
        <w:t>, supra, </w:t>
      </w:r>
      <w:r w:rsidRPr="001A5EF5">
        <w:rPr>
          <w:rFonts w:ascii="Georgia" w:eastAsia="Times New Roman" w:hAnsi="Georgia" w:cs="Times New Roman"/>
          <w:sz w:val="24"/>
          <w:szCs w:val="24"/>
          <w:lang w:eastAsia="en-GB"/>
        </w:rPr>
        <w:t>and </w:t>
      </w:r>
      <w:r w:rsidRPr="00BB3491">
        <w:rPr>
          <w:rFonts w:ascii="Georgia" w:eastAsia="Times New Roman" w:hAnsi="Georgia" w:cs="Times New Roman"/>
          <w:i/>
          <w:iCs/>
          <w:sz w:val="24"/>
          <w:szCs w:val="24"/>
          <w:highlight w:val="cyan"/>
          <w:lang w:eastAsia="en-GB"/>
        </w:rPr>
        <w:t>Morrell v. Williams</w:t>
      </w:r>
      <w:r w:rsidRPr="001A5EF5">
        <w:rPr>
          <w:rFonts w:ascii="Georgia" w:eastAsia="Times New Roman" w:hAnsi="Georgia" w:cs="Times New Roman"/>
          <w:i/>
          <w:iCs/>
          <w:sz w:val="24"/>
          <w:szCs w:val="24"/>
          <w:lang w:eastAsia="en-GB"/>
        </w:rPr>
        <w:t>, supra, </w:t>
      </w:r>
      <w:r w:rsidRPr="001A5EF5">
        <w:rPr>
          <w:rFonts w:ascii="Georgia" w:eastAsia="Times New Roman" w:hAnsi="Georgia" w:cs="Times New Roman"/>
          <w:sz w:val="24"/>
          <w:szCs w:val="24"/>
          <w:lang w:eastAsia="en-GB"/>
        </w:rPr>
        <w:t xml:space="preserve">and (2) of the similarity between the language of </w:t>
      </w:r>
      <w:r w:rsidRPr="001A5EF5">
        <w:rPr>
          <w:rFonts w:ascii="Georgia" w:eastAsia="Times New Roman" w:hAnsi="Georgia" w:cs="Times New Roman"/>
          <w:sz w:val="24"/>
          <w:szCs w:val="24"/>
          <w:highlight w:val="cyan"/>
          <w:lang w:eastAsia="en-GB"/>
        </w:rPr>
        <w:t>§ 66-5 — 41</w:t>
      </w:r>
      <w:r w:rsidRPr="001A5EF5">
        <w:rPr>
          <w:rFonts w:ascii="Georgia" w:eastAsia="Times New Roman" w:hAnsi="Georgia" w:cs="Times New Roman"/>
          <w:sz w:val="24"/>
          <w:szCs w:val="24"/>
          <w:lang w:eastAsia="en-GB"/>
        </w:rPr>
        <w:t xml:space="preserve"> and a theory of recovery for negligent entrustment, we agree with the parties and hold that “authorize or knowingly permit” in </w:t>
      </w:r>
      <w:r w:rsidRPr="001A5EF5">
        <w:rPr>
          <w:rFonts w:ascii="Georgia" w:eastAsia="Times New Roman" w:hAnsi="Georgia" w:cs="Times New Roman"/>
          <w:sz w:val="24"/>
          <w:szCs w:val="24"/>
          <w:highlight w:val="cyan"/>
          <w:lang w:eastAsia="en-GB"/>
        </w:rPr>
        <w:t>§ 66-5 — 41</w:t>
      </w:r>
      <w:r w:rsidRPr="001A5EF5">
        <w:rPr>
          <w:rFonts w:ascii="Georgia" w:eastAsia="Times New Roman" w:hAnsi="Georgia" w:cs="Times New Roman"/>
          <w:sz w:val="24"/>
          <w:szCs w:val="24"/>
          <w:lang w:eastAsia="en-GB"/>
        </w:rPr>
        <w:t xml:space="preserve"> means “know or should have known”. Thus, Silva could violate this statute, regardless of his actual knowledge, if he should have known that Menchaca was not validly licensed to drive.</w:t>
      </w:r>
    </w:p>
    <w:p w14:paraId="1C089B7A" w14:textId="33EA05E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highlight w:val="green"/>
          <w:lang w:eastAsia="en-GB"/>
        </w:rPr>
        <w:t>There is no evidence that Silva actually knew that Menchaca was not validly licensed to drive.</w:t>
      </w:r>
      <w:r w:rsidRPr="001A5EF5">
        <w:rPr>
          <w:rFonts w:ascii="Georgia" w:eastAsia="Times New Roman" w:hAnsi="Georgia" w:cs="Times New Roman"/>
          <w:sz w:val="24"/>
          <w:szCs w:val="24"/>
          <w:lang w:eastAsia="en-GB"/>
        </w:rPr>
        <w:t> </w:t>
      </w:r>
      <w:r w:rsidRPr="001A5EF5">
        <w:rPr>
          <w:rFonts w:ascii="Georgia" w:eastAsia="Times New Roman" w:hAnsi="Georgia" w:cs="Times New Roman"/>
          <w:i/>
          <w:iCs/>
          <w:sz w:val="24"/>
          <w:szCs w:val="24"/>
          <w:lang w:eastAsia="en-GB"/>
        </w:rPr>
        <w:t xml:space="preserve">See </w:t>
      </w:r>
      <w:r w:rsidRPr="00BB3491">
        <w:rPr>
          <w:rFonts w:ascii="Georgia" w:eastAsia="Times New Roman" w:hAnsi="Georgia" w:cs="Times New Roman"/>
          <w:i/>
          <w:iCs/>
          <w:sz w:val="24"/>
          <w:szCs w:val="24"/>
          <w:highlight w:val="cyan"/>
          <w:lang w:eastAsia="en-GB"/>
        </w:rPr>
        <w:t>City of Cincinnati </w:t>
      </w:r>
      <w:r w:rsidRPr="001A5EF5">
        <w:rPr>
          <w:rFonts w:ascii="Georgia" w:eastAsia="Times New Roman" w:hAnsi="Georgia" w:cs="Times New Roman"/>
          <w:sz w:val="24"/>
          <w:szCs w:val="24"/>
          <w:highlight w:val="cyan"/>
          <w:lang w:eastAsia="en-GB"/>
        </w:rPr>
        <w:t>v. </w:t>
      </w:r>
      <w:r w:rsidRPr="00BB3491">
        <w:rPr>
          <w:rFonts w:ascii="Georgia" w:eastAsia="Times New Roman" w:hAnsi="Georgia" w:cs="Times New Roman"/>
          <w:i/>
          <w:iCs/>
          <w:sz w:val="24"/>
          <w:szCs w:val="24"/>
          <w:highlight w:val="cyan"/>
          <w:lang w:eastAsia="en-GB"/>
        </w:rPr>
        <w:t>Christy, </w:t>
      </w:r>
      <w:hyperlink r:id="rId13" w:history="1">
        <w:r w:rsidRPr="00BB3491">
          <w:rPr>
            <w:rFonts w:ascii="Georgia" w:eastAsia="Times New Roman" w:hAnsi="Georgia" w:cs="Times New Roman"/>
            <w:color w:val="007BFF"/>
            <w:sz w:val="24"/>
            <w:szCs w:val="24"/>
            <w:highlight w:val="cyan"/>
            <w:lang w:eastAsia="en-GB"/>
          </w:rPr>
          <w:t>7 Ohio App.2d 46</w:t>
        </w:r>
      </w:hyperlink>
      <w:r w:rsidRPr="001A5EF5">
        <w:rPr>
          <w:rFonts w:ascii="Georgia" w:eastAsia="Times New Roman" w:hAnsi="Georgia" w:cs="Times New Roman"/>
          <w:sz w:val="24"/>
          <w:szCs w:val="24"/>
          <w:highlight w:val="cyan"/>
          <w:lang w:eastAsia="en-GB"/>
        </w:rPr>
        <w:t>, </w:t>
      </w:r>
      <w:r w:rsidRPr="00BB3491">
        <w:rPr>
          <w:rFonts w:ascii="Georgia" w:eastAsia="Times New Roman" w:hAnsi="Georgia" w:cs="Times New Roman"/>
          <w:color w:val="007BFF"/>
          <w:sz w:val="24"/>
          <w:szCs w:val="24"/>
          <w:highlight w:val="cyan"/>
          <w:lang w:eastAsia="en-GB"/>
        </w:rPr>
        <w:t>219 N.E.2d 45</w:t>
      </w:r>
      <w:r w:rsidRPr="001A5EF5">
        <w:rPr>
          <w:rFonts w:ascii="Georgia" w:eastAsia="Times New Roman" w:hAnsi="Georgia" w:cs="Times New Roman"/>
          <w:sz w:val="24"/>
          <w:szCs w:val="24"/>
          <w:highlight w:val="cyan"/>
          <w:lang w:eastAsia="en-GB"/>
        </w:rPr>
        <w:t> (1966)</w:t>
      </w:r>
      <w:r w:rsidRPr="001A5EF5">
        <w:rPr>
          <w:rFonts w:ascii="Georgia" w:eastAsia="Times New Roman" w:hAnsi="Georgia" w:cs="Times New Roman"/>
          <w:sz w:val="24"/>
          <w:szCs w:val="24"/>
          <w:lang w:eastAsia="en-GB"/>
        </w:rPr>
        <w:t>.</w:t>
      </w:r>
    </w:p>
    <w:p w14:paraId="1C089B7B" w14:textId="46455CE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highlight w:val="magenta"/>
          <w:lang w:eastAsia="en-GB"/>
        </w:rPr>
        <w:t>The trial court</w:t>
      </w:r>
      <w:r w:rsidRPr="001A5EF5">
        <w:rPr>
          <w:rFonts w:ascii="Georgia" w:eastAsia="Times New Roman" w:hAnsi="Georgia" w:cs="Times New Roman"/>
          <w:sz w:val="24"/>
          <w:szCs w:val="24"/>
          <w:lang w:eastAsia="en-GB"/>
        </w:rPr>
        <w:t xml:space="preserve"> found that Silva had reason to know that Menchaca was an illegal alien, but </w:t>
      </w:r>
      <w:r w:rsidRPr="001A5EF5">
        <w:rPr>
          <w:rFonts w:ascii="Georgia" w:eastAsia="Times New Roman" w:hAnsi="Georgia" w:cs="Times New Roman"/>
          <w:sz w:val="24"/>
          <w:szCs w:val="24"/>
          <w:highlight w:val="magenta"/>
          <w:lang w:eastAsia="en-GB"/>
        </w:rPr>
        <w:t>refused plaintiffs’ requested finding that Silva had “reason to know that Menchaca was not licensed or authorized to operate a motor vehicle on public roadways in New Mexico.”</w:t>
      </w:r>
      <w:r w:rsidRPr="001A5EF5">
        <w:rPr>
          <w:rFonts w:ascii="Georgia" w:eastAsia="Times New Roman" w:hAnsi="Georgia" w:cs="Times New Roman"/>
          <w:sz w:val="24"/>
          <w:szCs w:val="24"/>
          <w:lang w:eastAsia="en-GB"/>
        </w:rPr>
        <w:t xml:space="preserve"> Plaintiffs had the burden of persuading the trial court that Silva violated § 66-5 — 41 on the basis of the “should have known” requirement. </w:t>
      </w:r>
      <w:r w:rsidRPr="001A5EF5">
        <w:rPr>
          <w:rFonts w:ascii="Georgia" w:eastAsia="Times New Roman" w:hAnsi="Georgia" w:cs="Times New Roman"/>
          <w:sz w:val="24"/>
          <w:szCs w:val="24"/>
          <w:highlight w:val="green"/>
          <w:lang w:eastAsia="en-GB"/>
        </w:rPr>
        <w:t>Under the evidence — Menchaca’s exhibition of an apparently valid driver’s license even though Silva had reason to know that Menchaca was an illegal alien — the trial court could properly reject the requested finding.</w:t>
      </w:r>
      <w:r w:rsidRPr="001A5EF5">
        <w:rPr>
          <w:rFonts w:ascii="Georgia" w:eastAsia="Times New Roman" w:hAnsi="Georgia" w:cs="Times New Roman"/>
          <w:sz w:val="24"/>
          <w:szCs w:val="24"/>
          <w:lang w:eastAsia="en-GB"/>
        </w:rPr>
        <w:t xml:space="preserve"> The trial court’s refusal of the requested finding is a finding against the plaintiffs, who had the burden of proof. </w:t>
      </w:r>
      <w:r w:rsidRPr="001A5EF5">
        <w:rPr>
          <w:rFonts w:ascii="Georgia" w:eastAsia="Times New Roman" w:hAnsi="Georgia" w:cs="Times New Roman"/>
          <w:i/>
          <w:iCs/>
          <w:sz w:val="24"/>
          <w:szCs w:val="24"/>
          <w:lang w:eastAsia="en-GB"/>
        </w:rPr>
        <w:t>Gallegos </w:t>
      </w:r>
      <w:r w:rsidRPr="001A5EF5">
        <w:rPr>
          <w:rFonts w:ascii="Georgia" w:eastAsia="Times New Roman" w:hAnsi="Georgia" w:cs="Times New Roman"/>
          <w:sz w:val="24"/>
          <w:szCs w:val="24"/>
          <w:lang w:eastAsia="en-GB"/>
        </w:rPr>
        <w:t>v. </w:t>
      </w:r>
      <w:r w:rsidRPr="001A5EF5">
        <w:rPr>
          <w:rFonts w:ascii="Georgia" w:eastAsia="Times New Roman" w:hAnsi="Georgia" w:cs="Times New Roman"/>
          <w:i/>
          <w:iCs/>
          <w:sz w:val="24"/>
          <w:szCs w:val="24"/>
          <w:lang w:eastAsia="en-GB"/>
        </w:rPr>
        <w:t>Wilkerson, </w:t>
      </w:r>
      <w:hyperlink r:id="rId14" w:history="1">
        <w:r w:rsidRPr="001A5EF5">
          <w:rPr>
            <w:rFonts w:ascii="Georgia" w:eastAsia="Times New Roman" w:hAnsi="Georgia" w:cs="Times New Roman"/>
            <w:color w:val="007BFF"/>
            <w:sz w:val="24"/>
            <w:szCs w:val="24"/>
            <w:lang w:eastAsia="en-GB"/>
          </w:rPr>
          <w:t>79 N.M. 549</w:t>
        </w:r>
      </w:hyperlink>
      <w:r w:rsidRPr="001A5EF5">
        <w:rPr>
          <w:rFonts w:ascii="Georgia" w:eastAsia="Times New Roman" w:hAnsi="Georgia" w:cs="Times New Roman"/>
          <w:sz w:val="24"/>
          <w:szCs w:val="24"/>
          <w:lang w:eastAsia="en-GB"/>
        </w:rPr>
        <w:t>, </w:t>
      </w:r>
      <w:r w:rsidRPr="001A5EF5">
        <w:rPr>
          <w:rFonts w:ascii="Georgia" w:eastAsia="Times New Roman" w:hAnsi="Georgia" w:cs="Times New Roman"/>
          <w:color w:val="007BFF"/>
          <w:sz w:val="24"/>
          <w:szCs w:val="24"/>
          <w:lang w:eastAsia="en-GB"/>
        </w:rPr>
        <w:t>445 P.2d 970</w:t>
      </w:r>
      <w:r w:rsidRPr="001A5EF5">
        <w:rPr>
          <w:rFonts w:ascii="Georgia" w:eastAsia="Times New Roman" w:hAnsi="Georgia" w:cs="Times New Roman"/>
          <w:sz w:val="24"/>
          <w:szCs w:val="24"/>
          <w:lang w:eastAsia="en-GB"/>
        </w:rPr>
        <w:t> (1968).</w:t>
      </w:r>
    </w:p>
    <w:p w14:paraId="1C089B7C"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highlight w:val="green"/>
          <w:lang w:eastAsia="en-GB"/>
        </w:rPr>
        <w:t>Thus, under the facts, the trial court could properly rule that Silva did not violate § 66-5-41.</w:t>
      </w:r>
    </w:p>
    <w:p w14:paraId="1C089B7D"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Plaintiffs would have us hold, as a matter of law, that Silva violated § 66-5 — 41. They assert:</w:t>
      </w:r>
    </w:p>
    <w:p w14:paraId="1C089B7E" w14:textId="77777777" w:rsidR="001A5EF5" w:rsidRPr="001A5EF5" w:rsidRDefault="001A5EF5" w:rsidP="001A5EF5">
      <w:pPr>
        <w:spacing w:after="100" w:line="240" w:lineRule="auto"/>
        <w:rPr>
          <w:rFonts w:ascii="Georgia" w:eastAsia="Times New Roman" w:hAnsi="Georgia" w:cs="Times New Roman"/>
          <w:color w:val="004FB3"/>
          <w:sz w:val="24"/>
          <w:szCs w:val="24"/>
          <w:lang w:eastAsia="en-GB"/>
        </w:rPr>
      </w:pPr>
      <w:r w:rsidRPr="001A5EF5">
        <w:rPr>
          <w:rFonts w:ascii="Georgia" w:eastAsia="Times New Roman" w:hAnsi="Georgia" w:cs="Times New Roman"/>
          <w:color w:val="004FB3"/>
          <w:sz w:val="24"/>
          <w:szCs w:val="24"/>
          <w:lang w:eastAsia="en-GB"/>
        </w:rPr>
        <w:t>The Motor Vehicle Code imposes a duty on the owner of a vehicle to ascertain whether a person is authorized under the act to drive. Merely asking an illegal alien, whose presence in the state is unlawful, whether or not he has a license cannot be held to comply with that duty.</w:t>
      </w:r>
    </w:p>
    <w:p w14:paraId="1C089B7F"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Thus, plaintiffs ask us to hold that the owner is under a duty to investigate the qualifications of a person before the owner allows that person to drive his vehicle. </w:t>
      </w:r>
      <w:r w:rsidRPr="001A5EF5">
        <w:rPr>
          <w:rFonts w:ascii="Georgia" w:eastAsia="Times New Roman" w:hAnsi="Georgia" w:cs="Times New Roman"/>
          <w:i/>
          <w:iCs/>
          <w:sz w:val="24"/>
          <w:szCs w:val="24"/>
          <w:lang w:eastAsia="en-GB"/>
        </w:rPr>
        <w:t>See </w:t>
      </w:r>
      <w:r w:rsidRPr="001A5EF5">
        <w:rPr>
          <w:rFonts w:ascii="Georgia" w:eastAsia="Times New Roman" w:hAnsi="Georgia" w:cs="Times New Roman"/>
          <w:sz w:val="24"/>
          <w:szCs w:val="24"/>
          <w:lang w:eastAsia="en-GB"/>
        </w:rPr>
        <w:t>69 A.L.R.2d, </w:t>
      </w:r>
      <w:r w:rsidRPr="001A5EF5">
        <w:rPr>
          <w:rFonts w:ascii="Georgia" w:eastAsia="Times New Roman" w:hAnsi="Georgia" w:cs="Times New Roman"/>
          <w:i/>
          <w:iCs/>
          <w:sz w:val="24"/>
          <w:szCs w:val="24"/>
          <w:lang w:eastAsia="en-GB"/>
        </w:rPr>
        <w:t>supra, </w:t>
      </w:r>
      <w:r w:rsidRPr="001A5EF5">
        <w:rPr>
          <w:rFonts w:ascii="Georgia" w:eastAsia="Times New Roman" w:hAnsi="Georgia" w:cs="Times New Roman"/>
          <w:sz w:val="24"/>
          <w:szCs w:val="24"/>
          <w:lang w:eastAsia="en-GB"/>
        </w:rPr>
        <w:t xml:space="preserve">at 996. This argument disregards the wording of the statute. </w:t>
      </w:r>
      <w:r w:rsidRPr="001A5EF5">
        <w:rPr>
          <w:rFonts w:ascii="Georgia" w:eastAsia="Times New Roman" w:hAnsi="Georgia" w:cs="Times New Roman"/>
          <w:sz w:val="24"/>
          <w:szCs w:val="24"/>
          <w:highlight w:val="green"/>
          <w:lang w:eastAsia="en-GB"/>
        </w:rPr>
        <w:t>Section 66-5-41 imposes no affirmative duty on the owner to ascertain the qualifications of the borrower to drive the car; rather, an owner violates the statute only if the owner knew or should have known that the borrower was not qualified to drive the car.</w:t>
      </w:r>
    </w:p>
    <w:p w14:paraId="1C089B80"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The judgment of the trial court is affirmed. Plaintiffs shall bear the appellate costs.</w:t>
      </w:r>
    </w:p>
    <w:p w14:paraId="1C089B81"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IT IS SO ORDERED.</w:t>
      </w:r>
    </w:p>
    <w:p w14:paraId="1C089B82" w14:textId="77777777" w:rsidR="001A5EF5" w:rsidRPr="001A5EF5" w:rsidRDefault="001A5EF5" w:rsidP="001A5EF5">
      <w:pPr>
        <w:spacing w:before="100" w:beforeAutospacing="1" w:after="225" w:line="240" w:lineRule="auto"/>
        <w:rPr>
          <w:rFonts w:ascii="Georgia" w:eastAsia="Times New Roman" w:hAnsi="Georgia" w:cs="Times New Roman"/>
          <w:sz w:val="24"/>
          <w:szCs w:val="24"/>
          <w:lang w:eastAsia="en-GB"/>
        </w:rPr>
      </w:pPr>
      <w:r w:rsidRPr="001A5EF5">
        <w:rPr>
          <w:rFonts w:ascii="Georgia" w:eastAsia="Times New Roman" w:hAnsi="Georgia" w:cs="Times New Roman"/>
          <w:sz w:val="24"/>
          <w:szCs w:val="24"/>
          <w:lang w:eastAsia="en-GB"/>
        </w:rPr>
        <w:t>HENDLEY and DONNELLY, JJ., concur.</w:t>
      </w:r>
    </w:p>
    <w:p w14:paraId="1C089B83" w14:textId="77777777" w:rsidR="003C7770" w:rsidRDefault="003C7770"/>
    <w:p w14:paraId="1C089B84" w14:textId="77777777" w:rsidR="00BB3491" w:rsidRPr="009456D4" w:rsidRDefault="00BB3491" w:rsidP="00BB349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C089B85" w14:textId="77777777" w:rsidR="00BB3491" w:rsidRPr="008962AD" w:rsidRDefault="00BB3491" w:rsidP="00BB3491">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A vehicle owned lent their car to an illegal immigrant, who negligently crashed it. The insurance company of the person hit sued the vehicle owner for allowing an unlicensed driver to use their car. The question was whether the vehicle owner violated a statutory duty to ensure that the vehicle was not driven by an unauthorised person. </w:t>
      </w:r>
    </w:p>
    <w:p w14:paraId="1C089B86" w14:textId="77777777" w:rsidR="00BB3491" w:rsidRDefault="00BB3491"/>
    <w:sectPr w:rsidR="00BB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EF5"/>
    <w:rsid w:val="00113F14"/>
    <w:rsid w:val="001A5EF5"/>
    <w:rsid w:val="0036748D"/>
    <w:rsid w:val="003C7770"/>
    <w:rsid w:val="004C5ED3"/>
    <w:rsid w:val="00735387"/>
    <w:rsid w:val="00BB3491"/>
    <w:rsid w:val="00F72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9B5D"/>
  <w15:docId w15:val="{C5CBA73D-BE69-417B-BD03-7C4C064C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EF5"/>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A5EF5"/>
  </w:style>
  <w:style w:type="character" w:customStyle="1" w:styleId="court-name">
    <w:name w:val="court-name"/>
    <w:basedOn w:val="DefaultParagraphFont"/>
    <w:rsid w:val="001A5EF5"/>
  </w:style>
  <w:style w:type="character" w:customStyle="1" w:styleId="docket-number">
    <w:name w:val="docket-number"/>
    <w:basedOn w:val="DefaultParagraphFont"/>
    <w:rsid w:val="001A5EF5"/>
  </w:style>
  <w:style w:type="character" w:customStyle="1" w:styleId="case-name-v">
    <w:name w:val="case-name-v"/>
    <w:basedOn w:val="DefaultParagraphFont"/>
    <w:rsid w:val="001A5EF5"/>
  </w:style>
  <w:style w:type="paragraph" w:customStyle="1" w:styleId="citation">
    <w:name w:val="citation"/>
    <w:basedOn w:val="Normal"/>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A5EF5"/>
    <w:rPr>
      <w:color w:val="0000FF"/>
      <w:u w:val="single"/>
    </w:rPr>
  </w:style>
  <w:style w:type="paragraph" w:styleId="NormalWeb">
    <w:name w:val="Normal (Web)"/>
    <w:basedOn w:val="Normal"/>
    <w:uiPriority w:val="99"/>
    <w:semiHidden/>
    <w:unhideWhenUsed/>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5EF5"/>
    <w:rPr>
      <w:i/>
      <w:iCs/>
    </w:rPr>
  </w:style>
  <w:style w:type="paragraph" w:customStyle="1" w:styleId="judges">
    <w:name w:val="judges"/>
    <w:basedOn w:val="Normal"/>
    <w:rsid w:val="001A5EF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21229">
      <w:bodyDiv w:val="1"/>
      <w:marLeft w:val="0"/>
      <w:marRight w:val="0"/>
      <w:marTop w:val="0"/>
      <w:marBottom w:val="0"/>
      <w:divBdr>
        <w:top w:val="none" w:sz="0" w:space="0" w:color="auto"/>
        <w:left w:val="none" w:sz="0" w:space="0" w:color="auto"/>
        <w:bottom w:val="none" w:sz="0" w:space="0" w:color="auto"/>
        <w:right w:val="none" w:sz="0" w:space="0" w:color="auto"/>
      </w:divBdr>
      <w:divsChild>
        <w:div w:id="1867601502">
          <w:marLeft w:val="0"/>
          <w:marRight w:val="0"/>
          <w:marTop w:val="0"/>
          <w:marBottom w:val="0"/>
          <w:divBdr>
            <w:top w:val="none" w:sz="0" w:space="0" w:color="auto"/>
            <w:left w:val="none" w:sz="0" w:space="0" w:color="auto"/>
            <w:bottom w:val="none" w:sz="0" w:space="0" w:color="auto"/>
            <w:right w:val="none" w:sz="0" w:space="0" w:color="auto"/>
          </w:divBdr>
        </w:div>
        <w:div w:id="1680959149">
          <w:marLeft w:val="0"/>
          <w:marRight w:val="0"/>
          <w:marTop w:val="0"/>
          <w:marBottom w:val="0"/>
          <w:divBdr>
            <w:top w:val="none" w:sz="0" w:space="0" w:color="auto"/>
            <w:left w:val="none" w:sz="0" w:space="0" w:color="auto"/>
            <w:bottom w:val="none" w:sz="0" w:space="0" w:color="auto"/>
            <w:right w:val="none" w:sz="0" w:space="0" w:color="auto"/>
          </w:divBdr>
        </w:div>
        <w:div w:id="305548477">
          <w:marLeft w:val="0"/>
          <w:marRight w:val="0"/>
          <w:marTop w:val="0"/>
          <w:marBottom w:val="0"/>
          <w:divBdr>
            <w:top w:val="none" w:sz="0" w:space="0" w:color="auto"/>
            <w:left w:val="none" w:sz="0" w:space="0" w:color="auto"/>
            <w:bottom w:val="none" w:sz="0" w:space="0" w:color="auto"/>
            <w:right w:val="none" w:sz="0" w:space="0" w:color="auto"/>
          </w:divBdr>
          <w:divsChild>
            <w:div w:id="712197158">
              <w:marLeft w:val="1275"/>
              <w:marRight w:val="0"/>
              <w:marTop w:val="0"/>
              <w:marBottom w:val="0"/>
              <w:divBdr>
                <w:top w:val="none" w:sz="0" w:space="0" w:color="auto"/>
                <w:left w:val="none" w:sz="0" w:space="0" w:color="auto"/>
                <w:bottom w:val="none" w:sz="0" w:space="0" w:color="auto"/>
                <w:right w:val="none" w:sz="0" w:space="0" w:color="auto"/>
              </w:divBdr>
            </w:div>
          </w:divsChild>
        </w:div>
        <w:div w:id="351229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8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31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78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7/358/" TargetMode="External"/><Relationship Id="rId13" Type="http://schemas.openxmlformats.org/officeDocument/2006/relationships/hyperlink" Target="https://cite.case.law/ohio-app-2d/7/46/" TargetMode="External"/><Relationship Id="rId3" Type="http://schemas.openxmlformats.org/officeDocument/2006/relationships/webSettings" Target="webSettings.xml"/><Relationship Id="rId7" Type="http://schemas.openxmlformats.org/officeDocument/2006/relationships/hyperlink" Target="https://cite.case.law/nm/46/84/" TargetMode="External"/><Relationship Id="rId12" Type="http://schemas.openxmlformats.org/officeDocument/2006/relationships/hyperlink" Target="https://cite.case.law/ariz-app/8/3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71/329/" TargetMode="External"/><Relationship Id="rId11" Type="http://schemas.openxmlformats.org/officeDocument/2006/relationships/hyperlink" Target="https://cite.case.law/a2d/366/1040/" TargetMode="External"/><Relationship Id="rId5" Type="http://schemas.openxmlformats.org/officeDocument/2006/relationships/hyperlink" Target="https://cite.case.law/nm/98/625/" TargetMode="External"/><Relationship Id="rId15" Type="http://schemas.openxmlformats.org/officeDocument/2006/relationships/fontTable" Target="fontTable.xml"/><Relationship Id="rId10" Type="http://schemas.openxmlformats.org/officeDocument/2006/relationships/hyperlink" Target="https://cite.case.law/nm/37/606/" TargetMode="External"/><Relationship Id="rId4" Type="http://schemas.openxmlformats.org/officeDocument/2006/relationships/hyperlink" Target="https://cite.case.law/alr-2d/69/978/" TargetMode="External"/><Relationship Id="rId9" Type="http://schemas.openxmlformats.org/officeDocument/2006/relationships/hyperlink" Target="https://cite.case.law/p2d/604/204/" TargetMode="External"/><Relationship Id="rId14" Type="http://schemas.openxmlformats.org/officeDocument/2006/relationships/hyperlink" Target="https://cite.case.law/nm/79/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