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B6CD0" w14:textId="77777777" w:rsidR="00212AFD" w:rsidRPr="00212AFD" w:rsidRDefault="00212AFD" w:rsidP="00212AF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12AFD">
        <w:rPr>
          <w:rFonts w:ascii="Times New Roman" w:eastAsia="Times New Roman" w:hAnsi="Times New Roman" w:cs="Times New Roman"/>
          <w:b/>
          <w:bCs/>
          <w:color w:val="2F2F2F"/>
          <w:spacing w:val="3"/>
          <w:kern w:val="36"/>
          <w:sz w:val="35"/>
          <w:szCs w:val="35"/>
          <w:lang w:eastAsia="en-GB"/>
        </w:rPr>
        <w:t>MRC Properties, Inc. v. Gries, 98 N.M. 710, 652 P.2d 732 (1982)</w:t>
      </w:r>
    </w:p>
    <w:p w14:paraId="2AEB6CD1" w14:textId="77777777" w:rsidR="00212AFD" w:rsidRPr="00212AFD" w:rsidRDefault="00212AFD" w:rsidP="00212AF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12AFD">
        <w:rPr>
          <w:rFonts w:ascii="Times New Roman" w:eastAsia="Times New Roman" w:hAnsi="Times New Roman" w:cs="Times New Roman"/>
          <w:color w:val="2F2F2F"/>
          <w:spacing w:val="3"/>
          <w:sz w:val="27"/>
          <w:szCs w:val="27"/>
          <w:lang w:eastAsia="en-GB"/>
        </w:rPr>
        <w:t>Oct. 13, 1982 · Supreme Court of New Mexico · Nos. 14470, 14471</w:t>
      </w:r>
    </w:p>
    <w:p w14:paraId="2AEB6CD2" w14:textId="77777777" w:rsidR="00212AFD" w:rsidRPr="00212AFD" w:rsidRDefault="00212AFD" w:rsidP="00212AF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12AFD">
        <w:rPr>
          <w:rFonts w:ascii="Times New Roman" w:eastAsia="Times New Roman" w:hAnsi="Times New Roman" w:cs="Times New Roman"/>
          <w:color w:val="2F2F2F"/>
          <w:spacing w:val="3"/>
          <w:sz w:val="27"/>
          <w:szCs w:val="27"/>
          <w:lang w:eastAsia="en-GB"/>
        </w:rPr>
        <w:t>98 N.M. 710, 652 P.2d 732</w:t>
      </w:r>
    </w:p>
    <w:p w14:paraId="2AEB6CD3" w14:textId="77777777" w:rsidR="00212AFD" w:rsidRPr="00212AFD" w:rsidRDefault="00212AFD" w:rsidP="00212AFD">
      <w:pPr>
        <w:shd w:val="clear" w:color="auto" w:fill="FFFFFF"/>
        <w:spacing w:after="0" w:line="240" w:lineRule="auto"/>
        <w:rPr>
          <w:rFonts w:ascii="Georgia" w:eastAsia="Times New Roman" w:hAnsi="Georgia" w:cs="Arial"/>
          <w:color w:val="2F2F2F"/>
          <w:spacing w:val="3"/>
          <w:sz w:val="30"/>
          <w:szCs w:val="30"/>
          <w:lang w:eastAsia="en-GB"/>
        </w:rPr>
      </w:pPr>
      <w:r w:rsidRPr="00212AFD">
        <w:rPr>
          <w:rFonts w:ascii="Georgia" w:eastAsia="Times New Roman" w:hAnsi="Georgia" w:cs="Arial"/>
          <w:color w:val="2F2F2F"/>
          <w:spacing w:val="3"/>
          <w:sz w:val="30"/>
          <w:szCs w:val="30"/>
          <w:lang w:eastAsia="en-GB"/>
        </w:rPr>
        <w:t>MRC PROPERTIES, INC., Petitioner,</w:t>
      </w:r>
      <w:r w:rsidRPr="00212AFD">
        <w:rPr>
          <w:rFonts w:ascii="Georgia" w:eastAsia="Times New Roman" w:hAnsi="Georgia" w:cs="Arial"/>
          <w:i/>
          <w:iCs/>
          <w:color w:val="2F2F2F"/>
          <w:spacing w:val="3"/>
          <w:sz w:val="30"/>
          <w:szCs w:val="30"/>
          <w:lang w:eastAsia="en-GB"/>
        </w:rPr>
        <w:t>v.</w:t>
      </w:r>
      <w:r w:rsidRPr="00212AFD">
        <w:rPr>
          <w:rFonts w:ascii="Georgia" w:eastAsia="Times New Roman" w:hAnsi="Georgia" w:cs="Arial"/>
          <w:color w:val="2F2F2F"/>
          <w:spacing w:val="3"/>
          <w:sz w:val="30"/>
          <w:szCs w:val="30"/>
          <w:lang w:eastAsia="en-GB"/>
        </w:rPr>
        <w:t>Laurel. A. GRIES, Juan Leyba, Sandra Leyba (Lopez) and Gina Castillo, Respondents; CONQUISTADORES, INC., Petitioner,</w:t>
      </w:r>
      <w:r w:rsidRPr="00212AFD">
        <w:rPr>
          <w:rFonts w:ascii="Georgia" w:eastAsia="Times New Roman" w:hAnsi="Georgia" w:cs="Arial"/>
          <w:i/>
          <w:iCs/>
          <w:color w:val="2F2F2F"/>
          <w:spacing w:val="3"/>
          <w:sz w:val="30"/>
          <w:szCs w:val="30"/>
          <w:lang w:eastAsia="en-GB"/>
        </w:rPr>
        <w:t>v.</w:t>
      </w:r>
      <w:r w:rsidRPr="00212AFD">
        <w:rPr>
          <w:rFonts w:ascii="Georgia" w:eastAsia="Times New Roman" w:hAnsi="Georgia" w:cs="Arial"/>
          <w:color w:val="2F2F2F"/>
          <w:spacing w:val="3"/>
          <w:sz w:val="30"/>
          <w:szCs w:val="30"/>
          <w:lang w:eastAsia="en-GB"/>
        </w:rPr>
        <w:t>Laurel A. GRIES, Juan Leyba, Sandra Leyba (Lopez) and Gina Castillo, Respondents</w:t>
      </w:r>
    </w:p>
    <w:p w14:paraId="2AEB6CD4" w14:textId="77777777" w:rsidR="00212AFD" w:rsidRPr="00212AFD" w:rsidRDefault="00212AFD" w:rsidP="00212AFD">
      <w:pPr>
        <w:spacing w:before="100" w:beforeAutospacing="1" w:after="100" w:afterAutospacing="1"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652 P.2d 732</w:t>
      </w:r>
    </w:p>
    <w:p w14:paraId="2AEB6CD5" w14:textId="77777777" w:rsidR="00212AFD" w:rsidRPr="00212AFD" w:rsidRDefault="00212AFD" w:rsidP="00212AFD">
      <w:pPr>
        <w:spacing w:before="100" w:beforeAutospacing="1" w:after="100" w:afterAutospacing="1"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Supreme Court of New Mexico.</w:t>
      </w:r>
    </w:p>
    <w:p w14:paraId="2AEB6CD6" w14:textId="77777777" w:rsidR="00212AFD" w:rsidRPr="00212AFD" w:rsidRDefault="00212AFD" w:rsidP="00212AFD">
      <w:pPr>
        <w:shd w:val="clear" w:color="auto" w:fill="F7F7F9"/>
        <w:spacing w:before="100" w:beforeAutospacing="1"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Civerolo, Hansen &amp; Wolf, Carl J. Butkus, Albuquerque, for MRC Properties.</w:t>
      </w:r>
    </w:p>
    <w:p w14:paraId="2AEB6CD7" w14:textId="77777777" w:rsidR="00212AFD" w:rsidRPr="00212AFD" w:rsidRDefault="00212AFD" w:rsidP="00212AFD">
      <w:pPr>
        <w:shd w:val="clear" w:color="auto" w:fill="F7F7F9"/>
        <w:spacing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Sullivan, Villella, Skarsgard &amp; Noya, Charles J. Noya, Sutin, Thayer &amp; Browne, Ronald Segel, Albuquerque, for Conquistadores, Inc.</w:t>
      </w:r>
    </w:p>
    <w:p w14:paraId="2AEB6CD8" w14:textId="77777777" w:rsidR="00212AFD" w:rsidRPr="00212AFD" w:rsidRDefault="00212AFD" w:rsidP="00212AFD">
      <w:pPr>
        <w:shd w:val="clear" w:color="auto" w:fill="F7F7F9"/>
        <w:spacing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Branch, Perkal &amp; Associates, P.A., Gary Keenan, Albuquerque, for respondents Gries, et al.</w:t>
      </w:r>
    </w:p>
    <w:p w14:paraId="2AEB6CD9" w14:textId="77777777" w:rsidR="00212AFD" w:rsidRPr="00212AFD" w:rsidRDefault="00212AFD" w:rsidP="00212AFD">
      <w:pPr>
        <w:shd w:val="clear" w:color="auto" w:fill="F7F7F9"/>
        <w:spacing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Joseph Fine, Albuquerque, for Leyba/Lopez.</w:t>
      </w:r>
    </w:p>
    <w:p w14:paraId="2AEB6CDA" w14:textId="77777777" w:rsidR="00212AFD" w:rsidRPr="00212AFD" w:rsidRDefault="00212AFD" w:rsidP="00212AFD">
      <w:pPr>
        <w:shd w:val="clear" w:color="auto" w:fill="F7F7F9"/>
        <w:spacing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Michael Fitzpatrick, Albuquerque, for Castillo.</w:t>
      </w:r>
    </w:p>
    <w:p w14:paraId="2AEB6CDB" w14:textId="77777777" w:rsidR="00212AFD" w:rsidRPr="00212AFD" w:rsidRDefault="00212AFD" w:rsidP="00212AFD">
      <w:pPr>
        <w:spacing w:before="100" w:beforeAutospacing="1" w:after="225"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OPINION</w:t>
      </w:r>
    </w:p>
    <w:p w14:paraId="2AEB6CDC" w14:textId="77777777" w:rsidR="00212AFD" w:rsidRPr="00212AFD" w:rsidRDefault="00212AFD" w:rsidP="00212AFD">
      <w:pPr>
        <w:spacing w:before="100" w:beforeAutospacing="1" w:after="225" w:line="240" w:lineRule="auto"/>
        <w:rPr>
          <w:rFonts w:ascii="Georgia" w:eastAsia="Times New Roman" w:hAnsi="Georgia" w:cs="Times New Roman"/>
          <w:color w:val="E878FF"/>
          <w:sz w:val="24"/>
          <w:szCs w:val="24"/>
          <w:lang w:eastAsia="en-GB"/>
        </w:rPr>
      </w:pPr>
      <w:r w:rsidRPr="00212AFD">
        <w:rPr>
          <w:rFonts w:ascii="Georgia" w:eastAsia="Times New Roman" w:hAnsi="Georgia" w:cs="Times New Roman"/>
          <w:color w:val="E878FF"/>
          <w:sz w:val="24"/>
          <w:szCs w:val="24"/>
          <w:lang w:eastAsia="en-GB"/>
        </w:rPr>
        <w:t>RIORDAN, Justice.</w:t>
      </w:r>
    </w:p>
    <w:p w14:paraId="2AEB6CDD" w14:textId="77777777" w:rsidR="00212AFD" w:rsidRPr="00212AFD" w:rsidRDefault="00212AFD" w:rsidP="00212AFD">
      <w:pPr>
        <w:spacing w:before="100" w:beforeAutospacing="1" w:after="225"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highlight w:val="magenta"/>
          <w:lang w:eastAsia="en-GB"/>
        </w:rPr>
        <w:t>On rehearing, the original opinion is withdrawn and the following is substituted.</w:t>
      </w:r>
    </w:p>
    <w:p w14:paraId="2AEB6CDE" w14:textId="22C7B41C" w:rsidR="00212AFD" w:rsidRPr="00212AFD" w:rsidRDefault="00212AFD" w:rsidP="00212AFD">
      <w:pPr>
        <w:spacing w:before="100" w:beforeAutospacing="1"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highlight w:val="magenta"/>
          <w:lang w:eastAsia="en-GB"/>
        </w:rPr>
        <w:t>Plaintiffs Laurel A. Gries (Gries), Sandra Leyba Lopez (Lopez) and Gina Castillo (Castillo) brought separate actions against defendants Ernie Montoya (Montoya), Conquistadores, Inc. (Conquistadores) d/b/a McDonald’s Restaurant, Teachers Insurance and Annuity Association of America (Teachers), and MRC Properties, Inc. (MRC), for damages sustained by the plaintiffs in an automobile collision. At the request of Conquistadores, the trial court consolidated the plaintiffs’ actions.</w:t>
      </w:r>
      <w:r w:rsidRPr="00212AFD">
        <w:rPr>
          <w:rFonts w:ascii="Georgia" w:eastAsia="Times New Roman" w:hAnsi="Georgia" w:cs="Times New Roman"/>
          <w:sz w:val="24"/>
          <w:szCs w:val="24"/>
          <w:lang w:eastAsia="en-GB"/>
        </w:rPr>
        <w:t xml:space="preserve"> Montoya cross-claimed seeking contributions from defendants Conquistadores, Teachers and MRC if Montoya is found liable. Conquistadores cross-claimed seeking indemnification from MRC and Teachers if liability is found. MRC cross-claimed seeking indemnification and/or contributions from Conquistadores and Montoya if liability is found.</w:t>
      </w:r>
      <w:r w:rsidRPr="00437FBF">
        <w:rPr>
          <w:rFonts w:ascii="Georgia" w:eastAsia="Times New Roman" w:hAnsi="Georgia" w:cs="Times New Roman"/>
          <w:b/>
          <w:bCs/>
          <w:color w:val="E878FF"/>
          <w:sz w:val="24"/>
          <w:szCs w:val="24"/>
          <w:vertAlign w:val="superscript"/>
          <w:lang w:eastAsia="en-GB"/>
        </w:rPr>
        <w:t>1</w:t>
      </w:r>
    </w:p>
    <w:p w14:paraId="2AEB6CDF" w14:textId="7D7E50E5" w:rsidR="00212AFD" w:rsidRPr="00212AFD" w:rsidRDefault="00212AFD" w:rsidP="00212AFD">
      <w:pPr>
        <w:spacing w:before="100" w:beforeAutospacing="1"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highlight w:val="magenta"/>
          <w:lang w:eastAsia="en-GB"/>
        </w:rPr>
        <w:t>After discovery, Conquistadores, MRC and Teachers</w:t>
      </w:r>
      <w:hyperlink r:id="rId4" w:anchor="footnote_1_2" w:history="1">
        <w:r w:rsidRPr="00437FBF">
          <w:rPr>
            <w:rFonts w:ascii="Georgia" w:eastAsia="Times New Roman" w:hAnsi="Georgia" w:cs="Times New Roman"/>
            <w:b/>
            <w:bCs/>
            <w:color w:val="E878FF"/>
            <w:sz w:val="24"/>
            <w:szCs w:val="24"/>
            <w:highlight w:val="magenta"/>
            <w:vertAlign w:val="superscript"/>
            <w:lang w:eastAsia="en-GB"/>
          </w:rPr>
          <w:t>2</w:t>
        </w:r>
      </w:hyperlink>
      <w:r w:rsidRPr="00212AFD">
        <w:rPr>
          <w:rFonts w:ascii="Georgia" w:eastAsia="Times New Roman" w:hAnsi="Georgia" w:cs="Times New Roman"/>
          <w:sz w:val="24"/>
          <w:szCs w:val="24"/>
          <w:highlight w:val="magenta"/>
          <w:lang w:eastAsia="en-GB"/>
        </w:rPr>
        <w:t> filed requests for summary </w:t>
      </w:r>
      <w:r w:rsidRPr="00437FBF">
        <w:rPr>
          <w:rFonts w:ascii="Georgia" w:eastAsia="Times New Roman" w:hAnsi="Georgia" w:cs="Times New Roman"/>
          <w:i/>
          <w:iCs/>
          <w:color w:val="979797"/>
          <w:sz w:val="19"/>
          <w:szCs w:val="19"/>
          <w:highlight w:val="magenta"/>
          <w:lang w:eastAsia="en-GB"/>
        </w:rPr>
        <w:t>*711</w:t>
      </w:r>
      <w:r w:rsidRPr="00212AFD">
        <w:rPr>
          <w:rFonts w:ascii="Georgia" w:eastAsia="Times New Roman" w:hAnsi="Georgia" w:cs="Times New Roman"/>
          <w:sz w:val="24"/>
          <w:szCs w:val="24"/>
          <w:highlight w:val="magenta"/>
          <w:lang w:eastAsia="en-GB"/>
        </w:rPr>
        <w:t>judgment. The trial court denied the motions for summary judgment but certified the issue in dispute for interlocutory appeal. The Court of Appeals affirmed the trial court. We granted certiorari; and</w:t>
      </w:r>
      <w:r w:rsidRPr="00212AFD">
        <w:rPr>
          <w:rFonts w:ascii="Georgia" w:eastAsia="Times New Roman" w:hAnsi="Georgia" w:cs="Times New Roman"/>
          <w:sz w:val="24"/>
          <w:szCs w:val="24"/>
          <w:lang w:eastAsia="en-GB"/>
        </w:rPr>
        <w:t xml:space="preserve"> </w:t>
      </w:r>
      <w:r w:rsidRPr="00212AFD">
        <w:rPr>
          <w:rFonts w:ascii="Georgia" w:eastAsia="Times New Roman" w:hAnsi="Georgia" w:cs="Times New Roman"/>
          <w:sz w:val="24"/>
          <w:szCs w:val="24"/>
          <w:highlight w:val="red"/>
          <w:lang w:eastAsia="en-GB"/>
        </w:rPr>
        <w:t>we affirm the Court of Appeals, however, on different grounds.</w:t>
      </w:r>
    </w:p>
    <w:p w14:paraId="2AEB6CE0" w14:textId="77777777" w:rsidR="00212AFD" w:rsidRPr="00212AFD" w:rsidRDefault="00212AFD" w:rsidP="00212AFD">
      <w:pPr>
        <w:spacing w:before="100" w:beforeAutospacing="1" w:after="225"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The </w:t>
      </w:r>
      <w:r w:rsidRPr="00212AFD">
        <w:rPr>
          <w:rFonts w:ascii="Georgia" w:eastAsia="Times New Roman" w:hAnsi="Georgia" w:cs="Times New Roman"/>
          <w:i/>
          <w:iCs/>
          <w:sz w:val="24"/>
          <w:szCs w:val="24"/>
          <w:lang w:eastAsia="en-GB"/>
        </w:rPr>
        <w:t>sole </w:t>
      </w:r>
      <w:r w:rsidRPr="00212AFD">
        <w:rPr>
          <w:rFonts w:ascii="Georgia" w:eastAsia="Times New Roman" w:hAnsi="Georgia" w:cs="Times New Roman"/>
          <w:sz w:val="24"/>
          <w:szCs w:val="24"/>
          <w:lang w:eastAsia="en-GB"/>
        </w:rPr>
        <w:t xml:space="preserve">issue certified for appellate consideration is whether Conquistadores, MRC and/or Teachers can be held liable for injuries or damages to a third party which were caused by the acts of a minor to whom Conquistadores, MRC and/or Teachers </w:t>
      </w:r>
      <w:r w:rsidRPr="00212AFD">
        <w:rPr>
          <w:rFonts w:ascii="Georgia" w:eastAsia="Times New Roman" w:hAnsi="Georgia" w:cs="Times New Roman"/>
          <w:sz w:val="24"/>
          <w:szCs w:val="24"/>
          <w:lang w:eastAsia="en-GB"/>
        </w:rPr>
        <w:lastRenderedPageBreak/>
        <w:t>“provided” liquor. We will not consider other issues the parties attempt to raise on appeal because they were not certified for interlocutory appeal by the trial court.</w:t>
      </w:r>
    </w:p>
    <w:p w14:paraId="2AEB6CE1" w14:textId="77777777" w:rsidR="00212AFD" w:rsidRPr="00212AFD" w:rsidRDefault="00212AFD" w:rsidP="00212AFD">
      <w:pPr>
        <w:spacing w:before="100" w:beforeAutospacing="1"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highlight w:val="yellow"/>
          <w:lang w:eastAsia="en-GB"/>
        </w:rPr>
        <w:t>In December 1980, Montoya, age 19, attended a Christmas party sponsored by his employer Conquistadores. The party was at the Albuquerque Convention Center. Conquistadores contracted with The Regent Hotel</w:t>
      </w:r>
      <w:hyperlink r:id="rId5" w:anchor="footnote_1_3" w:history="1">
        <w:r w:rsidRPr="00437FBF">
          <w:rPr>
            <w:rFonts w:ascii="Georgia" w:eastAsia="Times New Roman" w:hAnsi="Georgia" w:cs="Times New Roman"/>
            <w:b/>
            <w:bCs/>
            <w:color w:val="E878FF"/>
            <w:sz w:val="24"/>
            <w:szCs w:val="24"/>
            <w:highlight w:val="yellow"/>
            <w:vertAlign w:val="superscript"/>
            <w:lang w:eastAsia="en-GB"/>
          </w:rPr>
          <w:t>3</w:t>
        </w:r>
      </w:hyperlink>
      <w:r w:rsidRPr="00212AFD">
        <w:rPr>
          <w:rFonts w:ascii="Georgia" w:eastAsia="Times New Roman" w:hAnsi="Georgia" w:cs="Times New Roman"/>
          <w:sz w:val="24"/>
          <w:szCs w:val="24"/>
          <w:highlight w:val="yellow"/>
          <w:lang w:eastAsia="en-GB"/>
        </w:rPr>
        <w:t> to provide the food service and a cash bar. Montoya consumed two beers at the party. However, an individual over the age of twenty-one purchased the first beer and another person purchased the second beer. Montoya left the party by car with Lopez, Castillo and another employee. While driving around looking for another fellow employee who left the party on foot, Montoya’s car collided with an automobile driven by Gries. Montoya was charged with driving while under the influence of intoxicating liquors, to which he later pled guilty.</w:t>
      </w:r>
      <w:r w:rsidRPr="00212AFD">
        <w:rPr>
          <w:rFonts w:ascii="Georgia" w:eastAsia="Times New Roman" w:hAnsi="Georgia" w:cs="Times New Roman"/>
          <w:sz w:val="24"/>
          <w:szCs w:val="24"/>
          <w:lang w:eastAsia="en-GB"/>
        </w:rPr>
        <w:t xml:space="preserve"> </w:t>
      </w:r>
      <w:r w:rsidRPr="00212AFD">
        <w:rPr>
          <w:rFonts w:ascii="Georgia" w:eastAsia="Times New Roman" w:hAnsi="Georgia" w:cs="Times New Roman"/>
          <w:sz w:val="24"/>
          <w:szCs w:val="24"/>
          <w:highlight w:val="magenta"/>
          <w:lang w:eastAsia="en-GB"/>
        </w:rPr>
        <w:t>All the plaintiffs filed civil actions against Montoya for the negligent and intoxicated manner by which he operated his vehicle. The plaintiffs also filed civil actions against Conquistadores, MRC and Teachers asserting that these defendants “negligently and unlawfully supplied, dispensed, served, allowed to be served and permitted to be consumed on the premises” liquor by persons under the age of twenty-one (21) years old.</w:t>
      </w:r>
    </w:p>
    <w:p w14:paraId="2AEB6CE2" w14:textId="7A36155E" w:rsidR="00212AFD" w:rsidRPr="00212AFD" w:rsidRDefault="00212AFD" w:rsidP="00212AFD">
      <w:pPr>
        <w:spacing w:before="100" w:beforeAutospacing="1" w:after="225"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highlight w:val="magenta"/>
          <w:lang w:eastAsia="en-GB"/>
        </w:rPr>
        <w:t>In deciding whether the plaintiffs’ complaint against Conquistadores, MRC and Teachers states a cause of action upon which relief could be granted, we must accept as true all the facts that were pled.</w:t>
      </w:r>
      <w:r w:rsidRPr="00212AFD">
        <w:rPr>
          <w:rFonts w:ascii="Georgia" w:eastAsia="Times New Roman" w:hAnsi="Georgia" w:cs="Times New Roman"/>
          <w:sz w:val="24"/>
          <w:szCs w:val="24"/>
          <w:lang w:eastAsia="en-GB"/>
        </w:rPr>
        <w:t> </w:t>
      </w:r>
      <w:r w:rsidRPr="00212AFD">
        <w:rPr>
          <w:rFonts w:ascii="Georgia" w:eastAsia="Times New Roman" w:hAnsi="Georgia" w:cs="Times New Roman"/>
          <w:i/>
          <w:iCs/>
          <w:sz w:val="24"/>
          <w:szCs w:val="24"/>
          <w:lang w:eastAsia="en-GB"/>
        </w:rPr>
        <w:t>McCasland v. Prather, </w:t>
      </w:r>
      <w:r w:rsidRPr="00212AFD">
        <w:rPr>
          <w:rFonts w:ascii="Georgia" w:eastAsia="Times New Roman" w:hAnsi="Georgia" w:cs="Times New Roman"/>
          <w:color w:val="007BFF"/>
          <w:sz w:val="24"/>
          <w:szCs w:val="24"/>
          <w:lang w:eastAsia="en-GB"/>
        </w:rPr>
        <w:t>92 N.M. 192</w:t>
      </w:r>
      <w:r w:rsidRPr="00212AFD">
        <w:rPr>
          <w:rFonts w:ascii="Georgia" w:eastAsia="Times New Roman" w:hAnsi="Georgia" w:cs="Times New Roman"/>
          <w:sz w:val="24"/>
          <w:szCs w:val="24"/>
          <w:lang w:eastAsia="en-GB"/>
        </w:rPr>
        <w:t>, </w:t>
      </w:r>
      <w:hyperlink r:id="rId6" w:history="1">
        <w:r w:rsidRPr="00212AFD">
          <w:rPr>
            <w:rFonts w:ascii="Georgia" w:eastAsia="Times New Roman" w:hAnsi="Georgia" w:cs="Times New Roman"/>
            <w:color w:val="007BFF"/>
            <w:sz w:val="24"/>
            <w:szCs w:val="24"/>
            <w:lang w:eastAsia="en-GB"/>
          </w:rPr>
          <w:t>585 P.2d 336</w:t>
        </w:r>
      </w:hyperlink>
      <w:r w:rsidRPr="00212AFD">
        <w:rPr>
          <w:rFonts w:ascii="Georgia" w:eastAsia="Times New Roman" w:hAnsi="Georgia" w:cs="Times New Roman"/>
          <w:sz w:val="24"/>
          <w:szCs w:val="24"/>
          <w:lang w:eastAsia="en-GB"/>
        </w:rPr>
        <w:t> (Ct.App.1978).</w:t>
      </w:r>
    </w:p>
    <w:p w14:paraId="2AEB6CE3" w14:textId="16817F5A" w:rsidR="00212AFD" w:rsidRPr="00212AFD" w:rsidRDefault="00212AFD" w:rsidP="00212AFD">
      <w:pPr>
        <w:spacing w:before="100" w:beforeAutospacing="1" w:after="225"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In the recent case of </w:t>
      </w:r>
      <w:r w:rsidRPr="00437FBF">
        <w:rPr>
          <w:rFonts w:ascii="Georgia" w:eastAsia="Times New Roman" w:hAnsi="Georgia" w:cs="Times New Roman"/>
          <w:i/>
          <w:iCs/>
          <w:sz w:val="24"/>
          <w:szCs w:val="24"/>
          <w:highlight w:val="cyan"/>
          <w:lang w:eastAsia="en-GB"/>
        </w:rPr>
        <w:t>Lopez v. Maez, </w:t>
      </w:r>
      <w:r w:rsidRPr="00212AFD">
        <w:rPr>
          <w:rFonts w:ascii="Georgia" w:eastAsia="Times New Roman" w:hAnsi="Georgia" w:cs="Times New Roman"/>
          <w:sz w:val="24"/>
          <w:szCs w:val="24"/>
          <w:highlight w:val="cyan"/>
          <w:lang w:eastAsia="en-GB"/>
        </w:rPr>
        <w:t>N.M., </w:t>
      </w:r>
      <w:r w:rsidRPr="00437FBF">
        <w:rPr>
          <w:rFonts w:ascii="Georgia" w:eastAsia="Times New Roman" w:hAnsi="Georgia" w:cs="Times New Roman"/>
          <w:color w:val="007BFF"/>
          <w:sz w:val="24"/>
          <w:szCs w:val="24"/>
          <w:highlight w:val="cyan"/>
          <w:lang w:eastAsia="en-GB"/>
        </w:rPr>
        <w:t>651 P.2d 1269</w:t>
      </w:r>
      <w:r w:rsidRPr="00212AFD">
        <w:rPr>
          <w:rFonts w:ascii="Georgia" w:eastAsia="Times New Roman" w:hAnsi="Georgia" w:cs="Times New Roman"/>
          <w:sz w:val="24"/>
          <w:szCs w:val="24"/>
          <w:highlight w:val="cyan"/>
          <w:lang w:eastAsia="en-GB"/>
        </w:rPr>
        <w:t> (1982)</w:t>
      </w:r>
      <w:r w:rsidRPr="00212AFD">
        <w:rPr>
          <w:rFonts w:ascii="Georgia" w:eastAsia="Times New Roman" w:hAnsi="Georgia" w:cs="Times New Roman"/>
          <w:sz w:val="24"/>
          <w:szCs w:val="24"/>
          <w:lang w:eastAsia="en-GB"/>
        </w:rPr>
        <w:t>, we overruled the cases of </w:t>
      </w:r>
      <w:r w:rsidRPr="00212AFD">
        <w:rPr>
          <w:rFonts w:ascii="Georgia" w:eastAsia="Times New Roman" w:hAnsi="Georgia" w:cs="Times New Roman"/>
          <w:i/>
          <w:iCs/>
          <w:sz w:val="24"/>
          <w:szCs w:val="24"/>
          <w:lang w:eastAsia="en-GB"/>
        </w:rPr>
        <w:t>Marchiondo v. Roper, </w:t>
      </w:r>
      <w:hyperlink r:id="rId7" w:history="1">
        <w:r w:rsidRPr="00212AFD">
          <w:rPr>
            <w:rFonts w:ascii="Georgia" w:eastAsia="Times New Roman" w:hAnsi="Georgia" w:cs="Times New Roman"/>
            <w:color w:val="007BFF"/>
            <w:sz w:val="24"/>
            <w:szCs w:val="24"/>
            <w:lang w:eastAsia="en-GB"/>
          </w:rPr>
          <w:t>90 N.M. 367</w:t>
        </w:r>
      </w:hyperlink>
      <w:r w:rsidRPr="00212AFD">
        <w:rPr>
          <w:rFonts w:ascii="Georgia" w:eastAsia="Times New Roman" w:hAnsi="Georgia" w:cs="Times New Roman"/>
          <w:sz w:val="24"/>
          <w:szCs w:val="24"/>
          <w:lang w:eastAsia="en-GB"/>
        </w:rPr>
        <w:t>, </w:t>
      </w:r>
      <w:r w:rsidRPr="00212AFD">
        <w:rPr>
          <w:rFonts w:ascii="Georgia" w:eastAsia="Times New Roman" w:hAnsi="Georgia" w:cs="Times New Roman"/>
          <w:color w:val="007BFF"/>
          <w:sz w:val="24"/>
          <w:szCs w:val="24"/>
          <w:lang w:eastAsia="en-GB"/>
        </w:rPr>
        <w:t>563 P.2d 1160</w:t>
      </w:r>
      <w:r w:rsidRPr="00212AFD">
        <w:rPr>
          <w:rFonts w:ascii="Georgia" w:eastAsia="Times New Roman" w:hAnsi="Georgia" w:cs="Times New Roman"/>
          <w:sz w:val="24"/>
          <w:szCs w:val="24"/>
          <w:lang w:eastAsia="en-GB"/>
        </w:rPr>
        <w:t> (1977) and </w:t>
      </w:r>
      <w:r w:rsidRPr="00212AFD">
        <w:rPr>
          <w:rFonts w:ascii="Georgia" w:eastAsia="Times New Roman" w:hAnsi="Georgia" w:cs="Times New Roman"/>
          <w:i/>
          <w:iCs/>
          <w:sz w:val="24"/>
          <w:szCs w:val="24"/>
          <w:lang w:eastAsia="en-GB"/>
        </w:rPr>
        <w:t>Hall v. Budagher, </w:t>
      </w:r>
      <w:hyperlink r:id="rId8" w:history="1">
        <w:r w:rsidRPr="00212AFD">
          <w:rPr>
            <w:rFonts w:ascii="Georgia" w:eastAsia="Times New Roman" w:hAnsi="Georgia" w:cs="Times New Roman"/>
            <w:color w:val="007BFF"/>
            <w:sz w:val="24"/>
            <w:szCs w:val="24"/>
            <w:lang w:eastAsia="en-GB"/>
          </w:rPr>
          <w:t>76 N.M. 591</w:t>
        </w:r>
      </w:hyperlink>
      <w:r w:rsidRPr="00212AFD">
        <w:rPr>
          <w:rFonts w:ascii="Georgia" w:eastAsia="Times New Roman" w:hAnsi="Georgia" w:cs="Times New Roman"/>
          <w:sz w:val="24"/>
          <w:szCs w:val="24"/>
          <w:lang w:eastAsia="en-GB"/>
        </w:rPr>
        <w:t>, </w:t>
      </w:r>
      <w:r w:rsidRPr="00212AFD">
        <w:rPr>
          <w:rFonts w:ascii="Georgia" w:eastAsia="Times New Roman" w:hAnsi="Georgia" w:cs="Times New Roman"/>
          <w:color w:val="007BFF"/>
          <w:sz w:val="24"/>
          <w:szCs w:val="24"/>
          <w:lang w:eastAsia="en-GB"/>
        </w:rPr>
        <w:t>417 P.2d 71</w:t>
      </w:r>
      <w:r w:rsidRPr="00212AFD">
        <w:rPr>
          <w:rFonts w:ascii="Georgia" w:eastAsia="Times New Roman" w:hAnsi="Georgia" w:cs="Times New Roman"/>
          <w:sz w:val="24"/>
          <w:szCs w:val="24"/>
          <w:lang w:eastAsia="en-GB"/>
        </w:rPr>
        <w:t> (1966) and stated that “a person may be subject to liability if he or she breaches his or her </w:t>
      </w:r>
      <w:r w:rsidRPr="00212AFD">
        <w:rPr>
          <w:rFonts w:ascii="Georgia" w:eastAsia="Times New Roman" w:hAnsi="Georgia" w:cs="Times New Roman"/>
          <w:i/>
          <w:iCs/>
          <w:sz w:val="24"/>
          <w:szCs w:val="24"/>
          <w:lang w:eastAsia="en-GB"/>
        </w:rPr>
        <w:t>duty </w:t>
      </w:r>
      <w:r w:rsidRPr="00212AFD">
        <w:rPr>
          <w:rFonts w:ascii="Georgia" w:eastAsia="Times New Roman" w:hAnsi="Georgia" w:cs="Times New Roman"/>
          <w:sz w:val="24"/>
          <w:szCs w:val="24"/>
          <w:lang w:eastAsia="en-GB"/>
        </w:rPr>
        <w:t>by violating a statute or regulation which prohibits the selling or serving of alcoholic liquor to an intoxicated person; the </w:t>
      </w:r>
      <w:r w:rsidRPr="00212AFD">
        <w:rPr>
          <w:rFonts w:ascii="Georgia" w:eastAsia="Times New Roman" w:hAnsi="Georgia" w:cs="Times New Roman"/>
          <w:i/>
          <w:iCs/>
          <w:sz w:val="24"/>
          <w:szCs w:val="24"/>
          <w:lang w:eastAsia="en-GB"/>
        </w:rPr>
        <w:t>breach </w:t>
      </w:r>
      <w:r w:rsidRPr="00212AFD">
        <w:rPr>
          <w:rFonts w:ascii="Georgia" w:eastAsia="Times New Roman" w:hAnsi="Georgia" w:cs="Times New Roman"/>
          <w:sz w:val="24"/>
          <w:szCs w:val="24"/>
          <w:lang w:eastAsia="en-GB"/>
        </w:rPr>
        <w:t>of which is found to be the </w:t>
      </w:r>
      <w:r w:rsidRPr="00212AFD">
        <w:rPr>
          <w:rFonts w:ascii="Georgia" w:eastAsia="Times New Roman" w:hAnsi="Georgia" w:cs="Times New Roman"/>
          <w:i/>
          <w:iCs/>
          <w:sz w:val="24"/>
          <w:szCs w:val="24"/>
          <w:lang w:eastAsia="en-GB"/>
        </w:rPr>
        <w:t>proximate cause </w:t>
      </w:r>
      <w:r w:rsidRPr="00212AFD">
        <w:rPr>
          <w:rFonts w:ascii="Georgia" w:eastAsia="Times New Roman" w:hAnsi="Georgia" w:cs="Times New Roman"/>
          <w:sz w:val="24"/>
          <w:szCs w:val="24"/>
          <w:lang w:eastAsia="en-GB"/>
        </w:rPr>
        <w:t>of injuries to a third party.” (Emphasis added.) We apply the same analysis set forth in </w:t>
      </w:r>
      <w:r w:rsidRPr="00437FBF">
        <w:rPr>
          <w:rFonts w:ascii="Georgia" w:eastAsia="Times New Roman" w:hAnsi="Georgia" w:cs="Times New Roman"/>
          <w:i/>
          <w:iCs/>
          <w:sz w:val="24"/>
          <w:szCs w:val="24"/>
          <w:highlight w:val="cyan"/>
          <w:lang w:eastAsia="en-GB"/>
        </w:rPr>
        <w:t>Lopez v. Maez</w:t>
      </w:r>
      <w:r w:rsidRPr="00212AFD">
        <w:rPr>
          <w:rFonts w:ascii="Georgia" w:eastAsia="Times New Roman" w:hAnsi="Georgia" w:cs="Times New Roman"/>
          <w:i/>
          <w:iCs/>
          <w:sz w:val="24"/>
          <w:szCs w:val="24"/>
          <w:lang w:eastAsia="en-GB"/>
        </w:rPr>
        <w:t>, supra, </w:t>
      </w:r>
      <w:r w:rsidRPr="00212AFD">
        <w:rPr>
          <w:rFonts w:ascii="Georgia" w:eastAsia="Times New Roman" w:hAnsi="Georgia" w:cs="Times New Roman"/>
          <w:sz w:val="24"/>
          <w:szCs w:val="24"/>
          <w:lang w:eastAsia="en-GB"/>
        </w:rPr>
        <w:t>to this present case.</w:t>
      </w:r>
    </w:p>
    <w:p w14:paraId="2AEB6CE4" w14:textId="77777777" w:rsidR="00212AFD" w:rsidRPr="00212AFD" w:rsidRDefault="00212AFD" w:rsidP="00212AFD">
      <w:pPr>
        <w:spacing w:before="100" w:beforeAutospacing="1"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The plaintiffs must first show that a duty of care existed to the plaintiffs or to a class of persons of which the plaintiffs are members. A duty can be found by state statute or by state regulation. </w:t>
      </w:r>
      <w:r w:rsidRPr="00437FBF">
        <w:rPr>
          <w:rFonts w:ascii="Georgia" w:eastAsia="Times New Roman" w:hAnsi="Georgia" w:cs="Times New Roman"/>
          <w:i/>
          <w:iCs/>
          <w:sz w:val="24"/>
          <w:szCs w:val="24"/>
          <w:highlight w:val="cyan"/>
          <w:lang w:eastAsia="en-GB"/>
        </w:rPr>
        <w:t>Lopez v. Maez, supra.</w:t>
      </w:r>
      <w:r w:rsidRPr="00212AFD">
        <w:rPr>
          <w:rFonts w:ascii="Georgia" w:eastAsia="Times New Roman" w:hAnsi="Georgia" w:cs="Times New Roman"/>
          <w:i/>
          <w:iCs/>
          <w:sz w:val="24"/>
          <w:szCs w:val="24"/>
          <w:lang w:eastAsia="en-GB"/>
        </w:rPr>
        <w:t> </w:t>
      </w:r>
      <w:r w:rsidRPr="00212AFD">
        <w:rPr>
          <w:rFonts w:ascii="Georgia" w:eastAsia="Times New Roman" w:hAnsi="Georgia" w:cs="Times New Roman"/>
          <w:sz w:val="24"/>
          <w:szCs w:val="24"/>
          <w:lang w:eastAsia="en-GB"/>
        </w:rPr>
        <w:t xml:space="preserve">At the time of the accident involving Montoya and the plaintiffs, </w:t>
      </w:r>
      <w:r w:rsidRPr="00212AFD">
        <w:rPr>
          <w:rFonts w:ascii="Georgia" w:eastAsia="Times New Roman" w:hAnsi="Georgia" w:cs="Times New Roman"/>
          <w:sz w:val="24"/>
          <w:szCs w:val="24"/>
          <w:highlight w:val="cyan"/>
          <w:lang w:eastAsia="en-GB"/>
        </w:rPr>
        <w:t>Section 60-10-16(A), N.M.S.A.1978 (Cum.Supp. 1980),</w:t>
      </w:r>
      <w:r w:rsidRPr="00212AFD">
        <w:rPr>
          <w:rFonts w:ascii="Georgia" w:eastAsia="Times New Roman" w:hAnsi="Georgia" w:cs="Times New Roman"/>
          <w:sz w:val="24"/>
          <w:szCs w:val="24"/>
          <w:lang w:eastAsia="en-GB"/>
        </w:rPr>
        <w:t xml:space="preserve"> stated:</w:t>
      </w:r>
      <w:hyperlink r:id="rId9" w:anchor="footnote_1_4" w:history="1">
        <w:r w:rsidRPr="00212AFD">
          <w:rPr>
            <w:rFonts w:ascii="Georgia" w:eastAsia="Times New Roman" w:hAnsi="Georgia" w:cs="Times New Roman"/>
            <w:b/>
            <w:bCs/>
            <w:color w:val="E878FF"/>
            <w:sz w:val="24"/>
            <w:szCs w:val="24"/>
            <w:vertAlign w:val="superscript"/>
            <w:lang w:eastAsia="en-GB"/>
          </w:rPr>
          <w:t>4</w:t>
        </w:r>
      </w:hyperlink>
    </w:p>
    <w:p w14:paraId="2AEB6CE5" w14:textId="61EC6533" w:rsidR="00212AFD" w:rsidRPr="00212AFD" w:rsidRDefault="00212AFD" w:rsidP="00212AFD">
      <w:pPr>
        <w:spacing w:after="100" w:line="240" w:lineRule="auto"/>
        <w:rPr>
          <w:rFonts w:ascii="Georgia" w:eastAsia="Times New Roman" w:hAnsi="Georgia" w:cs="Times New Roman"/>
          <w:color w:val="004FB3"/>
          <w:sz w:val="24"/>
          <w:szCs w:val="24"/>
          <w:highlight w:val="cyan"/>
          <w:lang w:eastAsia="en-GB"/>
        </w:rPr>
      </w:pPr>
      <w:r w:rsidRPr="00437FBF">
        <w:rPr>
          <w:rFonts w:ascii="Georgia" w:eastAsia="Times New Roman" w:hAnsi="Georgia" w:cs="Times New Roman"/>
          <w:i/>
          <w:iCs/>
          <w:color w:val="979797"/>
          <w:sz w:val="19"/>
          <w:szCs w:val="19"/>
          <w:highlight w:val="cyan"/>
          <w:lang w:eastAsia="en-GB"/>
        </w:rPr>
        <w:t>*712</w:t>
      </w:r>
      <w:r w:rsidRPr="00212AFD">
        <w:rPr>
          <w:rFonts w:ascii="Georgia" w:eastAsia="Times New Roman" w:hAnsi="Georgia" w:cs="Times New Roman"/>
          <w:color w:val="004FB3"/>
          <w:sz w:val="24"/>
          <w:szCs w:val="24"/>
          <w:highlight w:val="cyan"/>
          <w:lang w:eastAsia="en-GB"/>
        </w:rPr>
        <w:t>It is a violation of the Liquor Control Act for any </w:t>
      </w:r>
      <w:r w:rsidRPr="00437FBF">
        <w:rPr>
          <w:rFonts w:ascii="Georgia" w:eastAsia="Times New Roman" w:hAnsi="Georgia" w:cs="Times New Roman"/>
          <w:i/>
          <w:iCs/>
          <w:color w:val="004FB3"/>
          <w:sz w:val="24"/>
          <w:szCs w:val="24"/>
          <w:highlight w:val="cyan"/>
          <w:lang w:eastAsia="en-GB"/>
        </w:rPr>
        <w:t>club, retailer, dispenser </w:t>
      </w:r>
      <w:r w:rsidRPr="00212AFD">
        <w:rPr>
          <w:rFonts w:ascii="Georgia" w:eastAsia="Times New Roman" w:hAnsi="Georgia" w:cs="Times New Roman"/>
          <w:color w:val="004FB3"/>
          <w:sz w:val="24"/>
          <w:szCs w:val="24"/>
          <w:highlight w:val="cyan"/>
          <w:lang w:eastAsia="en-GB"/>
        </w:rPr>
        <w:t>or </w:t>
      </w:r>
      <w:r w:rsidRPr="00437FBF">
        <w:rPr>
          <w:rFonts w:ascii="Georgia" w:eastAsia="Times New Roman" w:hAnsi="Georgia" w:cs="Times New Roman"/>
          <w:i/>
          <w:iCs/>
          <w:color w:val="004FB3"/>
          <w:sz w:val="24"/>
          <w:szCs w:val="24"/>
          <w:highlight w:val="cyan"/>
          <w:lang w:eastAsia="en-GB"/>
        </w:rPr>
        <w:t>any other person </w:t>
      </w:r>
      <w:r w:rsidRPr="00212AFD">
        <w:rPr>
          <w:rFonts w:ascii="Georgia" w:eastAsia="Times New Roman" w:hAnsi="Georgia" w:cs="Times New Roman"/>
          <w:color w:val="004FB3"/>
          <w:sz w:val="24"/>
          <w:szCs w:val="24"/>
          <w:highlight w:val="cyan"/>
          <w:lang w:eastAsia="en-GB"/>
        </w:rPr>
        <w:t>except the parent or guardian or adult spouse of any minor, or adult person into whose custody any court has committed the minor for the time, outside of the actual, visible personal presence of the minor’s parent, guardian, adult spouse or adult person into whose custody any court has committed the minor for the time, to do any of the following acts:</w:t>
      </w:r>
    </w:p>
    <w:p w14:paraId="2AEB6CE6" w14:textId="77777777" w:rsidR="00212AFD" w:rsidRPr="00212AFD" w:rsidRDefault="00212AFD" w:rsidP="00212AFD">
      <w:pPr>
        <w:spacing w:after="100" w:line="240" w:lineRule="auto"/>
        <w:rPr>
          <w:rFonts w:ascii="Georgia" w:eastAsia="Times New Roman" w:hAnsi="Georgia" w:cs="Times New Roman"/>
          <w:color w:val="004FB3"/>
          <w:sz w:val="24"/>
          <w:szCs w:val="24"/>
          <w:highlight w:val="cyan"/>
          <w:lang w:eastAsia="en-GB"/>
        </w:rPr>
      </w:pPr>
      <w:r w:rsidRPr="00212AFD">
        <w:rPr>
          <w:rFonts w:ascii="Georgia" w:eastAsia="Times New Roman" w:hAnsi="Georgia" w:cs="Times New Roman"/>
          <w:color w:val="004FB3"/>
          <w:sz w:val="24"/>
          <w:szCs w:val="24"/>
          <w:highlight w:val="cyan"/>
          <w:lang w:eastAsia="en-GB"/>
        </w:rPr>
        <w:t>(1) to </w:t>
      </w:r>
      <w:r w:rsidRPr="00437FBF">
        <w:rPr>
          <w:rFonts w:ascii="Georgia" w:eastAsia="Times New Roman" w:hAnsi="Georgia" w:cs="Times New Roman"/>
          <w:i/>
          <w:iCs/>
          <w:color w:val="004FB3"/>
          <w:sz w:val="24"/>
          <w:szCs w:val="24"/>
          <w:highlight w:val="cyan"/>
          <w:lang w:eastAsia="en-GB"/>
        </w:rPr>
        <w:t>sell, serve or give </w:t>
      </w:r>
      <w:r w:rsidRPr="00212AFD">
        <w:rPr>
          <w:rFonts w:ascii="Georgia" w:eastAsia="Times New Roman" w:hAnsi="Georgia" w:cs="Times New Roman"/>
          <w:color w:val="004FB3"/>
          <w:sz w:val="24"/>
          <w:szCs w:val="24"/>
          <w:highlight w:val="cyan"/>
          <w:lang w:eastAsia="en-GB"/>
        </w:rPr>
        <w:t>any alcoholic liquor to a minor or to </w:t>
      </w:r>
      <w:r w:rsidRPr="00437FBF">
        <w:rPr>
          <w:rFonts w:ascii="Georgia" w:eastAsia="Times New Roman" w:hAnsi="Georgia" w:cs="Times New Roman"/>
          <w:i/>
          <w:iCs/>
          <w:color w:val="004FB3"/>
          <w:sz w:val="24"/>
          <w:szCs w:val="24"/>
          <w:highlight w:val="cyan"/>
          <w:lang w:eastAsia="en-GB"/>
        </w:rPr>
        <w:t>permit </w:t>
      </w:r>
      <w:r w:rsidRPr="00212AFD">
        <w:rPr>
          <w:rFonts w:ascii="Georgia" w:eastAsia="Times New Roman" w:hAnsi="Georgia" w:cs="Times New Roman"/>
          <w:color w:val="004FB3"/>
          <w:sz w:val="24"/>
          <w:szCs w:val="24"/>
          <w:highlight w:val="cyan"/>
          <w:lang w:eastAsia="en-GB"/>
        </w:rPr>
        <w:t>a minor to consume alcoholic liquor on the licensed premises;</w:t>
      </w:r>
    </w:p>
    <w:p w14:paraId="2AEB6CE7" w14:textId="77777777" w:rsidR="00212AFD" w:rsidRPr="00212AFD" w:rsidRDefault="00212AFD" w:rsidP="00212AFD">
      <w:pPr>
        <w:spacing w:after="100" w:line="240" w:lineRule="auto"/>
        <w:rPr>
          <w:rFonts w:ascii="Georgia" w:eastAsia="Times New Roman" w:hAnsi="Georgia" w:cs="Times New Roman"/>
          <w:color w:val="004FB3"/>
          <w:sz w:val="24"/>
          <w:szCs w:val="24"/>
          <w:highlight w:val="cyan"/>
          <w:lang w:eastAsia="en-GB"/>
        </w:rPr>
      </w:pPr>
      <w:r w:rsidRPr="00212AFD">
        <w:rPr>
          <w:rFonts w:ascii="Georgia" w:eastAsia="Times New Roman" w:hAnsi="Georgia" w:cs="Times New Roman"/>
          <w:color w:val="004FB3"/>
          <w:sz w:val="24"/>
          <w:szCs w:val="24"/>
          <w:highlight w:val="cyan"/>
          <w:lang w:eastAsia="en-GB"/>
        </w:rPr>
        <w:t>(2) to </w:t>
      </w:r>
      <w:r w:rsidRPr="00437FBF">
        <w:rPr>
          <w:rFonts w:ascii="Georgia" w:eastAsia="Times New Roman" w:hAnsi="Georgia" w:cs="Times New Roman"/>
          <w:i/>
          <w:iCs/>
          <w:color w:val="004FB3"/>
          <w:sz w:val="24"/>
          <w:szCs w:val="24"/>
          <w:highlight w:val="cyan"/>
          <w:lang w:eastAsia="en-GB"/>
        </w:rPr>
        <w:t>buy </w:t>
      </w:r>
      <w:r w:rsidRPr="00212AFD">
        <w:rPr>
          <w:rFonts w:ascii="Georgia" w:eastAsia="Times New Roman" w:hAnsi="Georgia" w:cs="Times New Roman"/>
          <w:color w:val="004FB3"/>
          <w:sz w:val="24"/>
          <w:szCs w:val="24"/>
          <w:highlight w:val="cyan"/>
          <w:lang w:eastAsia="en-GB"/>
        </w:rPr>
        <w:t>alcoholic liquor for, or to </w:t>
      </w:r>
      <w:r w:rsidRPr="00437FBF">
        <w:rPr>
          <w:rFonts w:ascii="Georgia" w:eastAsia="Times New Roman" w:hAnsi="Georgia" w:cs="Times New Roman"/>
          <w:i/>
          <w:iCs/>
          <w:color w:val="004FB3"/>
          <w:sz w:val="24"/>
          <w:szCs w:val="24"/>
          <w:highlight w:val="cyan"/>
          <w:lang w:eastAsia="en-GB"/>
        </w:rPr>
        <w:t>procure </w:t>
      </w:r>
      <w:r w:rsidRPr="00212AFD">
        <w:rPr>
          <w:rFonts w:ascii="Georgia" w:eastAsia="Times New Roman" w:hAnsi="Georgia" w:cs="Times New Roman"/>
          <w:color w:val="004FB3"/>
          <w:sz w:val="24"/>
          <w:szCs w:val="24"/>
          <w:highlight w:val="cyan"/>
          <w:lang w:eastAsia="en-GB"/>
        </w:rPr>
        <w:t>the sale or </w:t>
      </w:r>
      <w:r w:rsidRPr="00437FBF">
        <w:rPr>
          <w:rFonts w:ascii="Georgia" w:eastAsia="Times New Roman" w:hAnsi="Georgia" w:cs="Times New Roman"/>
          <w:i/>
          <w:iCs/>
          <w:color w:val="004FB3"/>
          <w:sz w:val="24"/>
          <w:szCs w:val="24"/>
          <w:highlight w:val="cyan"/>
          <w:lang w:eastAsia="en-GB"/>
        </w:rPr>
        <w:t>service </w:t>
      </w:r>
      <w:r w:rsidRPr="00212AFD">
        <w:rPr>
          <w:rFonts w:ascii="Georgia" w:eastAsia="Times New Roman" w:hAnsi="Georgia" w:cs="Times New Roman"/>
          <w:color w:val="004FB3"/>
          <w:sz w:val="24"/>
          <w:szCs w:val="24"/>
          <w:highlight w:val="cyan"/>
          <w:lang w:eastAsia="en-GB"/>
        </w:rPr>
        <w:t>of alcoholic liquor to a minor;</w:t>
      </w:r>
    </w:p>
    <w:p w14:paraId="2AEB6CE8" w14:textId="77777777" w:rsidR="00212AFD" w:rsidRPr="00212AFD" w:rsidRDefault="00212AFD" w:rsidP="00212AFD">
      <w:pPr>
        <w:spacing w:after="100" w:line="240" w:lineRule="auto"/>
        <w:rPr>
          <w:rFonts w:ascii="Georgia" w:eastAsia="Times New Roman" w:hAnsi="Georgia" w:cs="Times New Roman"/>
          <w:color w:val="004FB3"/>
          <w:sz w:val="24"/>
          <w:szCs w:val="24"/>
          <w:highlight w:val="cyan"/>
          <w:lang w:eastAsia="en-GB"/>
        </w:rPr>
      </w:pPr>
      <w:r w:rsidRPr="00212AFD">
        <w:rPr>
          <w:rFonts w:ascii="Georgia" w:eastAsia="Times New Roman" w:hAnsi="Georgia" w:cs="Times New Roman"/>
          <w:color w:val="004FB3"/>
          <w:sz w:val="24"/>
          <w:szCs w:val="24"/>
          <w:highlight w:val="cyan"/>
          <w:lang w:eastAsia="en-GB"/>
        </w:rPr>
        <w:t>(3) to </w:t>
      </w:r>
      <w:r w:rsidRPr="00437FBF">
        <w:rPr>
          <w:rFonts w:ascii="Georgia" w:eastAsia="Times New Roman" w:hAnsi="Georgia" w:cs="Times New Roman"/>
          <w:i/>
          <w:iCs/>
          <w:color w:val="004FB3"/>
          <w:sz w:val="24"/>
          <w:szCs w:val="24"/>
          <w:highlight w:val="cyan"/>
          <w:lang w:eastAsia="en-GB"/>
        </w:rPr>
        <w:t>deliver </w:t>
      </w:r>
      <w:r w:rsidRPr="00212AFD">
        <w:rPr>
          <w:rFonts w:ascii="Georgia" w:eastAsia="Times New Roman" w:hAnsi="Georgia" w:cs="Times New Roman"/>
          <w:color w:val="004FB3"/>
          <w:sz w:val="24"/>
          <w:szCs w:val="24"/>
          <w:highlight w:val="cyan"/>
          <w:lang w:eastAsia="en-GB"/>
        </w:rPr>
        <w:t>alcoholic liquor to a minor; or</w:t>
      </w:r>
    </w:p>
    <w:p w14:paraId="2AEB6CE9" w14:textId="77777777" w:rsidR="00212AFD" w:rsidRPr="00212AFD" w:rsidRDefault="00212AFD" w:rsidP="00212AFD">
      <w:pPr>
        <w:spacing w:after="100" w:line="240" w:lineRule="auto"/>
        <w:rPr>
          <w:rFonts w:ascii="Georgia" w:eastAsia="Times New Roman" w:hAnsi="Georgia" w:cs="Times New Roman"/>
          <w:color w:val="004FB3"/>
          <w:sz w:val="24"/>
          <w:szCs w:val="24"/>
          <w:lang w:eastAsia="en-GB"/>
        </w:rPr>
      </w:pPr>
      <w:r w:rsidRPr="00212AFD">
        <w:rPr>
          <w:rFonts w:ascii="Georgia" w:eastAsia="Times New Roman" w:hAnsi="Georgia" w:cs="Times New Roman"/>
          <w:color w:val="004FB3"/>
          <w:sz w:val="24"/>
          <w:szCs w:val="24"/>
          <w:highlight w:val="cyan"/>
          <w:lang w:eastAsia="en-GB"/>
        </w:rPr>
        <w:lastRenderedPageBreak/>
        <w:t>(4) to </w:t>
      </w:r>
      <w:r w:rsidRPr="00437FBF">
        <w:rPr>
          <w:rFonts w:ascii="Georgia" w:eastAsia="Times New Roman" w:hAnsi="Georgia" w:cs="Times New Roman"/>
          <w:i/>
          <w:iCs/>
          <w:color w:val="004FB3"/>
          <w:sz w:val="24"/>
          <w:szCs w:val="24"/>
          <w:highlight w:val="cyan"/>
          <w:lang w:eastAsia="en-GB"/>
        </w:rPr>
        <w:t>aid </w:t>
      </w:r>
      <w:r w:rsidRPr="00212AFD">
        <w:rPr>
          <w:rFonts w:ascii="Georgia" w:eastAsia="Times New Roman" w:hAnsi="Georgia" w:cs="Times New Roman"/>
          <w:color w:val="004FB3"/>
          <w:sz w:val="24"/>
          <w:szCs w:val="24"/>
          <w:highlight w:val="cyan"/>
          <w:lang w:eastAsia="en-GB"/>
        </w:rPr>
        <w:t>or </w:t>
      </w:r>
      <w:r w:rsidRPr="00437FBF">
        <w:rPr>
          <w:rFonts w:ascii="Georgia" w:eastAsia="Times New Roman" w:hAnsi="Georgia" w:cs="Times New Roman"/>
          <w:i/>
          <w:iCs/>
          <w:color w:val="004FB3"/>
          <w:sz w:val="24"/>
          <w:szCs w:val="24"/>
          <w:highlight w:val="cyan"/>
          <w:lang w:eastAsia="en-GB"/>
        </w:rPr>
        <w:t>assist </w:t>
      </w:r>
      <w:r w:rsidRPr="00212AFD">
        <w:rPr>
          <w:rFonts w:ascii="Georgia" w:eastAsia="Times New Roman" w:hAnsi="Georgia" w:cs="Times New Roman"/>
          <w:color w:val="004FB3"/>
          <w:sz w:val="24"/>
          <w:szCs w:val="24"/>
          <w:highlight w:val="cyan"/>
          <w:lang w:eastAsia="en-GB"/>
        </w:rPr>
        <w:t>a minor to buy, procure or be served with alcoholic liquor.</w:t>
      </w:r>
      <w:r w:rsidRPr="00212AFD">
        <w:rPr>
          <w:rFonts w:ascii="Georgia" w:eastAsia="Times New Roman" w:hAnsi="Georgia" w:cs="Times New Roman"/>
          <w:color w:val="004FB3"/>
          <w:sz w:val="24"/>
          <w:szCs w:val="24"/>
          <w:lang w:eastAsia="en-GB"/>
        </w:rPr>
        <w:t xml:space="preserve"> [Emphasis added.]</w:t>
      </w:r>
    </w:p>
    <w:p w14:paraId="2AEB6CEA" w14:textId="77777777" w:rsidR="00212AFD" w:rsidRPr="00212AFD" w:rsidRDefault="00212AFD" w:rsidP="00212AFD">
      <w:pPr>
        <w:spacing w:before="100" w:beforeAutospacing="1" w:after="225"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highlight w:val="green"/>
          <w:lang w:eastAsia="en-GB"/>
        </w:rPr>
        <w:t xml:space="preserve">The Legislature by the enactment of </w:t>
      </w:r>
      <w:r w:rsidRPr="00212AFD">
        <w:rPr>
          <w:rFonts w:ascii="Georgia" w:eastAsia="Times New Roman" w:hAnsi="Georgia" w:cs="Times New Roman"/>
          <w:sz w:val="24"/>
          <w:szCs w:val="24"/>
          <w:highlight w:val="cyan"/>
          <w:lang w:eastAsia="en-GB"/>
        </w:rPr>
        <w:t xml:space="preserve">Section 60-10-16(A) </w:t>
      </w:r>
      <w:r w:rsidRPr="00212AFD">
        <w:rPr>
          <w:rFonts w:ascii="Georgia" w:eastAsia="Times New Roman" w:hAnsi="Georgia" w:cs="Times New Roman"/>
          <w:sz w:val="24"/>
          <w:szCs w:val="24"/>
          <w:highlight w:val="green"/>
          <w:lang w:eastAsia="en-GB"/>
        </w:rPr>
        <w:t>imposed a duty on “club, retailer, dispenser or any other person” not to sell, serve, give, permit to consume, buy, procure, service, deliver, aid or assist in giving alcoholic liquor to minors. Assuming that the plaintiffs can show that Conquistadores, MRC and/or Teachers breached this duty,</w:t>
      </w:r>
      <w:r w:rsidRPr="00212AFD">
        <w:rPr>
          <w:rFonts w:ascii="Georgia" w:eastAsia="Times New Roman" w:hAnsi="Georgia" w:cs="Times New Roman"/>
          <w:sz w:val="24"/>
          <w:szCs w:val="24"/>
          <w:lang w:eastAsia="en-GB"/>
        </w:rPr>
        <w:t xml:space="preserve"> and further assuming that plaintiffs can show that the breach of this duty was the proximate cause of the accident, </w:t>
      </w:r>
      <w:r w:rsidRPr="00212AFD">
        <w:rPr>
          <w:rFonts w:ascii="Georgia" w:eastAsia="Times New Roman" w:hAnsi="Georgia" w:cs="Times New Roman"/>
          <w:sz w:val="24"/>
          <w:szCs w:val="24"/>
          <w:highlight w:val="green"/>
          <w:lang w:eastAsia="en-GB"/>
        </w:rPr>
        <w:t xml:space="preserve">then liability can be imposed. We adopt the standard of negligence used for the violation of a statute set forth in </w:t>
      </w:r>
      <w:r w:rsidRPr="00212AFD">
        <w:rPr>
          <w:rFonts w:ascii="Georgia" w:eastAsia="Times New Roman" w:hAnsi="Georgia" w:cs="Times New Roman"/>
          <w:sz w:val="24"/>
          <w:szCs w:val="24"/>
          <w:highlight w:val="cyan"/>
          <w:lang w:eastAsia="en-GB"/>
        </w:rPr>
        <w:t>N.M. U.J.I.Civ. 15.5, N.M.S.A.1978 (Repl.Pamp. 1980)</w:t>
      </w:r>
      <w:r w:rsidRPr="00212AFD">
        <w:rPr>
          <w:rFonts w:ascii="Georgia" w:eastAsia="Times New Roman" w:hAnsi="Georgia" w:cs="Times New Roman"/>
          <w:sz w:val="24"/>
          <w:szCs w:val="24"/>
          <w:lang w:eastAsia="en-GB"/>
        </w:rPr>
        <w:t>, which states:</w:t>
      </w:r>
    </w:p>
    <w:p w14:paraId="2AEB6CEB" w14:textId="77777777" w:rsidR="00212AFD" w:rsidRPr="00212AFD" w:rsidRDefault="00212AFD" w:rsidP="00212AFD">
      <w:pPr>
        <w:spacing w:after="100" w:line="240" w:lineRule="auto"/>
        <w:rPr>
          <w:rFonts w:ascii="Georgia" w:eastAsia="Times New Roman" w:hAnsi="Georgia" w:cs="Times New Roman"/>
          <w:color w:val="004FB3"/>
          <w:sz w:val="24"/>
          <w:szCs w:val="24"/>
          <w:lang w:eastAsia="en-GB"/>
        </w:rPr>
      </w:pPr>
      <w:r w:rsidRPr="00212AFD">
        <w:rPr>
          <w:rFonts w:ascii="Georgia" w:eastAsia="Times New Roman" w:hAnsi="Georgia" w:cs="Times New Roman"/>
          <w:color w:val="004FB3"/>
          <w:sz w:val="24"/>
          <w:szCs w:val="24"/>
          <w:lang w:eastAsia="en-GB"/>
        </w:rPr>
        <w:t>Negligence resulting from a violation of a statute ... is no different in effect from that resulting from other acts or omissions constituting negligence. In each case the negligence is of no consequence unless it was a proximate cause of, or contributed to, an injury . .. suffered by the plaintiff.</w:t>
      </w:r>
    </w:p>
    <w:p w14:paraId="2AEB6CEC" w14:textId="77777777" w:rsidR="00212AFD" w:rsidRPr="00212AFD" w:rsidRDefault="00212AFD" w:rsidP="00212AFD">
      <w:pPr>
        <w:spacing w:before="100" w:beforeAutospacing="1" w:after="225"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A further discussion of proximate cause has been set forth in </w:t>
      </w:r>
      <w:r w:rsidRPr="00437FBF">
        <w:rPr>
          <w:rFonts w:ascii="Georgia" w:eastAsia="Times New Roman" w:hAnsi="Georgia" w:cs="Times New Roman"/>
          <w:i/>
          <w:iCs/>
          <w:sz w:val="24"/>
          <w:szCs w:val="24"/>
          <w:highlight w:val="cyan"/>
          <w:lang w:eastAsia="en-GB"/>
        </w:rPr>
        <w:t>Lopez v. Maez</w:t>
      </w:r>
      <w:r w:rsidRPr="00212AFD">
        <w:rPr>
          <w:rFonts w:ascii="Georgia" w:eastAsia="Times New Roman" w:hAnsi="Georgia" w:cs="Times New Roman"/>
          <w:i/>
          <w:iCs/>
          <w:sz w:val="24"/>
          <w:szCs w:val="24"/>
          <w:lang w:eastAsia="en-GB"/>
        </w:rPr>
        <w:t>, supra.</w:t>
      </w:r>
    </w:p>
    <w:p w14:paraId="2AEB6CED" w14:textId="77777777" w:rsidR="00212AFD" w:rsidRPr="00212AFD" w:rsidRDefault="00212AFD" w:rsidP="00212AFD">
      <w:pPr>
        <w:spacing w:before="100" w:beforeAutospacing="1" w:after="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The present case and </w:t>
      </w:r>
      <w:r w:rsidRPr="00437FBF">
        <w:rPr>
          <w:rFonts w:ascii="Georgia" w:eastAsia="Times New Roman" w:hAnsi="Georgia" w:cs="Times New Roman"/>
          <w:i/>
          <w:iCs/>
          <w:sz w:val="24"/>
          <w:szCs w:val="24"/>
          <w:highlight w:val="cyan"/>
          <w:lang w:eastAsia="en-GB"/>
        </w:rPr>
        <w:t>Lopez v. Maez</w:t>
      </w:r>
      <w:r w:rsidRPr="00212AFD">
        <w:rPr>
          <w:rFonts w:ascii="Georgia" w:eastAsia="Times New Roman" w:hAnsi="Georgia" w:cs="Times New Roman"/>
          <w:i/>
          <w:iCs/>
          <w:sz w:val="24"/>
          <w:szCs w:val="24"/>
          <w:lang w:eastAsia="en-GB"/>
        </w:rPr>
        <w:t> </w:t>
      </w:r>
      <w:r w:rsidRPr="00212AFD">
        <w:rPr>
          <w:rFonts w:ascii="Georgia" w:eastAsia="Times New Roman" w:hAnsi="Georgia" w:cs="Times New Roman"/>
          <w:sz w:val="24"/>
          <w:szCs w:val="24"/>
          <w:lang w:eastAsia="en-GB"/>
        </w:rPr>
        <w:t>were on appeal in our Court at the same time</w:t>
      </w:r>
      <w:hyperlink r:id="rId10" w:anchor="footnote_1_5" w:history="1">
        <w:r w:rsidRPr="00212AFD">
          <w:rPr>
            <w:rFonts w:ascii="Georgia" w:eastAsia="Times New Roman" w:hAnsi="Georgia" w:cs="Times New Roman"/>
            <w:b/>
            <w:bCs/>
            <w:color w:val="E878FF"/>
            <w:sz w:val="24"/>
            <w:szCs w:val="24"/>
            <w:vertAlign w:val="superscript"/>
            <w:lang w:eastAsia="en-GB"/>
          </w:rPr>
          <w:t>5</w:t>
        </w:r>
      </w:hyperlink>
      <w:r w:rsidRPr="00212AFD">
        <w:rPr>
          <w:rFonts w:ascii="Georgia" w:eastAsia="Times New Roman" w:hAnsi="Georgia" w:cs="Times New Roman"/>
          <w:sz w:val="24"/>
          <w:szCs w:val="24"/>
          <w:lang w:eastAsia="en-GB"/>
        </w:rPr>
        <w:t xml:space="preserve">; therefore, we will allow </w:t>
      </w:r>
      <w:r w:rsidRPr="00212AFD">
        <w:rPr>
          <w:rFonts w:ascii="Georgia" w:eastAsia="Times New Roman" w:hAnsi="Georgia" w:cs="Times New Roman"/>
          <w:sz w:val="24"/>
          <w:szCs w:val="24"/>
          <w:highlight w:val="green"/>
          <w:lang w:eastAsia="en-GB"/>
        </w:rPr>
        <w:t>the application of the common law negligence principle set forth in </w:t>
      </w:r>
      <w:r w:rsidRPr="00437FBF">
        <w:rPr>
          <w:rFonts w:ascii="Georgia" w:eastAsia="Times New Roman" w:hAnsi="Georgia" w:cs="Times New Roman"/>
          <w:i/>
          <w:iCs/>
          <w:sz w:val="24"/>
          <w:szCs w:val="24"/>
          <w:highlight w:val="cyan"/>
          <w:lang w:eastAsia="en-GB"/>
        </w:rPr>
        <w:t>Lopez v. Maez </w:t>
      </w:r>
      <w:r w:rsidRPr="00212AFD">
        <w:rPr>
          <w:rFonts w:ascii="Georgia" w:eastAsia="Times New Roman" w:hAnsi="Georgia" w:cs="Times New Roman"/>
          <w:sz w:val="24"/>
          <w:szCs w:val="24"/>
          <w:highlight w:val="green"/>
          <w:lang w:eastAsia="en-GB"/>
        </w:rPr>
        <w:t>to apply to the present case.</w:t>
      </w:r>
    </w:p>
    <w:p w14:paraId="2AEB6CEE" w14:textId="77777777" w:rsidR="00212AFD" w:rsidRPr="00212AFD" w:rsidRDefault="00212AFD" w:rsidP="00212AFD">
      <w:pPr>
        <w:spacing w:before="100" w:beforeAutospacing="1" w:after="225"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IT IS SO ORDERED.</w:t>
      </w:r>
    </w:p>
    <w:p w14:paraId="2AEB6CEF" w14:textId="77777777" w:rsidR="00212AFD" w:rsidRPr="00212AFD" w:rsidRDefault="00212AFD" w:rsidP="00212AFD">
      <w:pPr>
        <w:spacing w:before="100" w:beforeAutospacing="1" w:after="225"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PAYNE, C.J., SOSA, Senior Justice and FEDERICI, J., concur.</w:t>
      </w:r>
    </w:p>
    <w:p w14:paraId="2AEB6CF0" w14:textId="45918B0E" w:rsidR="00212AFD" w:rsidRPr="00212AFD" w:rsidRDefault="00212AFD" w:rsidP="00212AFD">
      <w:pPr>
        <w:spacing w:after="0" w:line="240" w:lineRule="auto"/>
        <w:rPr>
          <w:rFonts w:ascii="Times New Roman" w:eastAsia="Times New Roman" w:hAnsi="Times New Roman" w:cs="Times New Roman"/>
          <w:sz w:val="24"/>
          <w:szCs w:val="24"/>
          <w:lang w:eastAsia="en-GB"/>
        </w:rPr>
      </w:pPr>
      <w:r w:rsidRPr="00212AFD">
        <w:rPr>
          <w:rFonts w:ascii="Georgia" w:eastAsia="Times New Roman" w:hAnsi="Georgia" w:cs="Times New Roman"/>
          <w:b/>
          <w:bCs/>
          <w:color w:val="E878FF"/>
          <w:sz w:val="24"/>
          <w:szCs w:val="24"/>
          <w:lang w:eastAsia="en-GB"/>
        </w:rPr>
        <w:t>1</w:t>
      </w:r>
    </w:p>
    <w:p w14:paraId="2AEB6CF1" w14:textId="77777777" w:rsidR="00212AFD" w:rsidRPr="00212AFD" w:rsidRDefault="00212AFD" w:rsidP="00212AFD">
      <w:pPr>
        <w:spacing w:after="12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 The issues of contribution and indemnification will not be discussed in this opinion because they were not issues certified for this appeal.</w:t>
      </w:r>
    </w:p>
    <w:p w14:paraId="2AEB6CF2" w14:textId="77777777" w:rsidR="00212AFD" w:rsidRPr="00212AFD" w:rsidRDefault="00D010D4" w:rsidP="00212AFD">
      <w:pPr>
        <w:spacing w:after="0" w:line="240" w:lineRule="auto"/>
        <w:rPr>
          <w:rFonts w:ascii="Times New Roman" w:eastAsia="Times New Roman" w:hAnsi="Times New Roman" w:cs="Times New Roman"/>
          <w:sz w:val="24"/>
          <w:szCs w:val="24"/>
          <w:lang w:eastAsia="en-GB"/>
        </w:rPr>
      </w:pPr>
      <w:hyperlink r:id="rId11" w:anchor="ref_footnote_1_2" w:history="1">
        <w:r w:rsidR="00212AFD" w:rsidRPr="00212AFD">
          <w:rPr>
            <w:rFonts w:ascii="Georgia" w:eastAsia="Times New Roman" w:hAnsi="Georgia" w:cs="Times New Roman"/>
            <w:b/>
            <w:bCs/>
            <w:color w:val="E878FF"/>
            <w:sz w:val="24"/>
            <w:szCs w:val="24"/>
            <w:lang w:eastAsia="en-GB"/>
          </w:rPr>
          <w:t>2</w:t>
        </w:r>
      </w:hyperlink>
    </w:p>
    <w:p w14:paraId="2AEB6CF3" w14:textId="6D055E92" w:rsidR="00212AFD" w:rsidRPr="00212AFD" w:rsidRDefault="00212AFD" w:rsidP="00212AFD">
      <w:pPr>
        <w:spacing w:after="12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 Teachers Insurance and Annuity Association of America also moved for a summary judgment on the grounds that at the time of the alleged cause of action, they no longer had any </w:t>
      </w:r>
      <w:r w:rsidRPr="00212AFD">
        <w:rPr>
          <w:rFonts w:ascii="Georgia" w:eastAsia="Times New Roman" w:hAnsi="Georgia" w:cs="Times New Roman"/>
          <w:i/>
          <w:iCs/>
          <w:color w:val="979797"/>
          <w:sz w:val="19"/>
          <w:szCs w:val="19"/>
          <w:lang w:eastAsia="en-GB"/>
        </w:rPr>
        <w:t>*711</w:t>
      </w:r>
      <w:r w:rsidRPr="00212AFD">
        <w:rPr>
          <w:rFonts w:ascii="Georgia" w:eastAsia="Times New Roman" w:hAnsi="Georgia" w:cs="Times New Roman"/>
          <w:sz w:val="24"/>
          <w:szCs w:val="24"/>
          <w:lang w:eastAsia="en-GB"/>
        </w:rPr>
        <w:t>interest in the ownership or operation of The Regent Hotel. In a Special Warranty Deed dated August 30, 1979, Teachers Insurance and Annuity Association of America granted to MRC Properties, Inc. all of its “right, title and interest” in both the land and building of The Regent Hotel.</w:t>
      </w:r>
    </w:p>
    <w:p w14:paraId="2AEB6CF4" w14:textId="77777777" w:rsidR="00212AFD" w:rsidRPr="00212AFD" w:rsidRDefault="00D010D4" w:rsidP="00212AFD">
      <w:pPr>
        <w:spacing w:after="0" w:line="240" w:lineRule="auto"/>
        <w:rPr>
          <w:rFonts w:ascii="Times New Roman" w:eastAsia="Times New Roman" w:hAnsi="Times New Roman" w:cs="Times New Roman"/>
          <w:sz w:val="24"/>
          <w:szCs w:val="24"/>
          <w:lang w:eastAsia="en-GB"/>
        </w:rPr>
      </w:pPr>
      <w:hyperlink r:id="rId12" w:anchor="ref_footnote_1_3" w:history="1">
        <w:r w:rsidR="00212AFD" w:rsidRPr="00212AFD">
          <w:rPr>
            <w:rFonts w:ascii="Georgia" w:eastAsia="Times New Roman" w:hAnsi="Georgia" w:cs="Times New Roman"/>
            <w:b/>
            <w:bCs/>
            <w:color w:val="E878FF"/>
            <w:sz w:val="24"/>
            <w:szCs w:val="24"/>
            <w:lang w:eastAsia="en-GB"/>
          </w:rPr>
          <w:t>3</w:t>
        </w:r>
      </w:hyperlink>
    </w:p>
    <w:p w14:paraId="2AEB6CF5" w14:textId="77777777" w:rsidR="00212AFD" w:rsidRPr="00212AFD" w:rsidRDefault="00212AFD" w:rsidP="00212AFD">
      <w:pPr>
        <w:spacing w:after="12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 Teachers Insurance and Annuity Association of America is the alleged owner of The Regent Hotel who catered the Christmas party. MRC Properties, Inc. is the owner and operator of the liquor license used in the operation of The Regent Hotel.</w:t>
      </w:r>
    </w:p>
    <w:p w14:paraId="2AEB6CF6" w14:textId="56432194" w:rsidR="00212AFD" w:rsidRPr="00212AFD" w:rsidRDefault="00212AFD" w:rsidP="00212AFD">
      <w:pPr>
        <w:spacing w:after="0" w:line="240" w:lineRule="auto"/>
        <w:rPr>
          <w:rFonts w:ascii="Times New Roman" w:eastAsia="Times New Roman" w:hAnsi="Times New Roman" w:cs="Times New Roman"/>
          <w:sz w:val="24"/>
          <w:szCs w:val="24"/>
          <w:lang w:eastAsia="en-GB"/>
        </w:rPr>
      </w:pPr>
      <w:r w:rsidRPr="00212AFD">
        <w:rPr>
          <w:rFonts w:ascii="Georgia" w:eastAsia="Times New Roman" w:hAnsi="Georgia" w:cs="Times New Roman"/>
          <w:b/>
          <w:bCs/>
          <w:color w:val="E878FF"/>
          <w:sz w:val="24"/>
          <w:szCs w:val="24"/>
          <w:lang w:eastAsia="en-GB"/>
        </w:rPr>
        <w:t>4</w:t>
      </w:r>
    </w:p>
    <w:p w14:paraId="2AEB6CF7" w14:textId="77777777" w:rsidR="00212AFD" w:rsidRPr="00212AFD" w:rsidRDefault="00212AFD" w:rsidP="00212AFD">
      <w:pPr>
        <w:spacing w:after="12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 The current comparable statute is Section 60-7B-l(A), N.M.S.A.1978 (Repl.Pamp.1981) which states:</w:t>
      </w:r>
    </w:p>
    <w:p w14:paraId="2AEB6CF8" w14:textId="77777777" w:rsidR="00212AFD" w:rsidRPr="00212AFD" w:rsidRDefault="00212AFD" w:rsidP="00212AFD">
      <w:pPr>
        <w:spacing w:after="120" w:line="240" w:lineRule="auto"/>
        <w:rPr>
          <w:rFonts w:ascii="Georgia" w:eastAsia="Times New Roman" w:hAnsi="Georgia" w:cs="Times New Roman"/>
          <w:color w:val="004FB3"/>
          <w:sz w:val="24"/>
          <w:szCs w:val="24"/>
          <w:lang w:eastAsia="en-GB"/>
        </w:rPr>
      </w:pPr>
      <w:r w:rsidRPr="00212AFD">
        <w:rPr>
          <w:rFonts w:ascii="Georgia" w:eastAsia="Times New Roman" w:hAnsi="Georgia" w:cs="Times New Roman"/>
          <w:color w:val="004FB3"/>
          <w:sz w:val="24"/>
          <w:szCs w:val="24"/>
          <w:lang w:eastAsia="en-GB"/>
        </w:rPr>
        <w:t>' It is a violation of the Liquor Control Act for any governmental licensee and its lessee, retailer, canopy licensee, dispenser, restaurant licensee, club licensee, club licensee or any other person, except the minor’s parent, guardian, adult spouse or adult person into whose custody any court has committed the minor for the time, outside the presence of the minor’s parent, guardian, adult spouse or adult person into whose custody a court has committed the minor for the time, to do any of the following acts:</w:t>
      </w:r>
    </w:p>
    <w:p w14:paraId="2AEB6CF9" w14:textId="77777777" w:rsidR="00212AFD" w:rsidRPr="00212AFD" w:rsidRDefault="00212AFD" w:rsidP="00212AFD">
      <w:pPr>
        <w:spacing w:after="120" w:line="240" w:lineRule="auto"/>
        <w:rPr>
          <w:rFonts w:ascii="Georgia" w:eastAsia="Times New Roman" w:hAnsi="Georgia" w:cs="Times New Roman"/>
          <w:color w:val="004FB3"/>
          <w:sz w:val="24"/>
          <w:szCs w:val="24"/>
          <w:lang w:eastAsia="en-GB"/>
        </w:rPr>
      </w:pPr>
      <w:r w:rsidRPr="00212AFD">
        <w:rPr>
          <w:rFonts w:ascii="Georgia" w:eastAsia="Times New Roman" w:hAnsi="Georgia" w:cs="Times New Roman"/>
          <w:color w:val="004FB3"/>
          <w:sz w:val="24"/>
          <w:szCs w:val="24"/>
          <w:lang w:eastAsia="en-GB"/>
        </w:rPr>
        <w:t>(1) to sell, serve or give any alcoholic beverages to a minor or to permit a minor to consume alcoholic beverages on the licensed premises;</w:t>
      </w:r>
    </w:p>
    <w:p w14:paraId="2AEB6CFA" w14:textId="77777777" w:rsidR="00212AFD" w:rsidRPr="00212AFD" w:rsidRDefault="00212AFD" w:rsidP="00212AFD">
      <w:pPr>
        <w:spacing w:after="120" w:line="240" w:lineRule="auto"/>
        <w:rPr>
          <w:rFonts w:ascii="Georgia" w:eastAsia="Times New Roman" w:hAnsi="Georgia" w:cs="Times New Roman"/>
          <w:color w:val="004FB3"/>
          <w:sz w:val="24"/>
          <w:szCs w:val="24"/>
          <w:lang w:eastAsia="en-GB"/>
        </w:rPr>
      </w:pPr>
      <w:r w:rsidRPr="00212AFD">
        <w:rPr>
          <w:rFonts w:ascii="Georgia" w:eastAsia="Times New Roman" w:hAnsi="Georgia" w:cs="Times New Roman"/>
          <w:color w:val="004FB3"/>
          <w:sz w:val="24"/>
          <w:szCs w:val="24"/>
          <w:lang w:eastAsia="en-GB"/>
        </w:rPr>
        <w:t>(2) to buy alcoholic beverages for or to procure the sale or service of alcoholic beverages to a minor;</w:t>
      </w:r>
    </w:p>
    <w:p w14:paraId="2AEB6CFB" w14:textId="77777777" w:rsidR="00212AFD" w:rsidRPr="00212AFD" w:rsidRDefault="00212AFD" w:rsidP="00212AFD">
      <w:pPr>
        <w:spacing w:after="120" w:line="240" w:lineRule="auto"/>
        <w:rPr>
          <w:rFonts w:ascii="Georgia" w:eastAsia="Times New Roman" w:hAnsi="Georgia" w:cs="Times New Roman"/>
          <w:color w:val="004FB3"/>
          <w:sz w:val="24"/>
          <w:szCs w:val="24"/>
          <w:lang w:eastAsia="en-GB"/>
        </w:rPr>
      </w:pPr>
      <w:r w:rsidRPr="00212AFD">
        <w:rPr>
          <w:rFonts w:ascii="Georgia" w:eastAsia="Times New Roman" w:hAnsi="Georgia" w:cs="Times New Roman"/>
          <w:color w:val="004FB3"/>
          <w:sz w:val="24"/>
          <w:szCs w:val="24"/>
          <w:lang w:eastAsia="en-GB"/>
        </w:rPr>
        <w:t>(3) to deliver alcoholic beverages to a minor; or</w:t>
      </w:r>
    </w:p>
    <w:p w14:paraId="2AEB6CFC" w14:textId="77777777" w:rsidR="00212AFD" w:rsidRPr="00212AFD" w:rsidRDefault="00212AFD" w:rsidP="00212AFD">
      <w:pPr>
        <w:spacing w:after="120" w:line="240" w:lineRule="auto"/>
        <w:rPr>
          <w:rFonts w:ascii="Georgia" w:eastAsia="Times New Roman" w:hAnsi="Georgia" w:cs="Times New Roman"/>
          <w:color w:val="004FB3"/>
          <w:sz w:val="24"/>
          <w:szCs w:val="24"/>
          <w:lang w:eastAsia="en-GB"/>
        </w:rPr>
      </w:pPr>
      <w:r w:rsidRPr="00212AFD">
        <w:rPr>
          <w:rFonts w:ascii="Georgia" w:eastAsia="Times New Roman" w:hAnsi="Georgia" w:cs="Times New Roman"/>
          <w:color w:val="004FB3"/>
          <w:sz w:val="24"/>
          <w:szCs w:val="24"/>
          <w:lang w:eastAsia="en-GB"/>
        </w:rPr>
        <w:t>(4) to aid or assist a minor to buy, procure or be served with alcoholic beverages.</w:t>
      </w:r>
    </w:p>
    <w:p w14:paraId="2AEB6CFD" w14:textId="77777777" w:rsidR="00212AFD" w:rsidRPr="00212AFD" w:rsidRDefault="00D010D4" w:rsidP="00212AFD">
      <w:pPr>
        <w:spacing w:after="0" w:line="240" w:lineRule="auto"/>
        <w:rPr>
          <w:rFonts w:ascii="Times New Roman" w:eastAsia="Times New Roman" w:hAnsi="Times New Roman" w:cs="Times New Roman"/>
          <w:sz w:val="24"/>
          <w:szCs w:val="24"/>
          <w:lang w:eastAsia="en-GB"/>
        </w:rPr>
      </w:pPr>
      <w:hyperlink r:id="rId13" w:anchor="ref_footnote_1_5" w:history="1">
        <w:r w:rsidR="00212AFD" w:rsidRPr="00212AFD">
          <w:rPr>
            <w:rFonts w:ascii="Georgia" w:eastAsia="Times New Roman" w:hAnsi="Georgia" w:cs="Times New Roman"/>
            <w:b/>
            <w:bCs/>
            <w:color w:val="E878FF"/>
            <w:sz w:val="24"/>
            <w:szCs w:val="24"/>
            <w:lang w:eastAsia="en-GB"/>
          </w:rPr>
          <w:t>5</w:t>
        </w:r>
      </w:hyperlink>
    </w:p>
    <w:p w14:paraId="2AEB6CFE" w14:textId="77777777" w:rsidR="00212AFD" w:rsidRPr="00212AFD" w:rsidRDefault="00212AFD" w:rsidP="00212AFD">
      <w:pPr>
        <w:spacing w:after="120" w:line="240" w:lineRule="auto"/>
        <w:rPr>
          <w:rFonts w:ascii="Georgia" w:eastAsia="Times New Roman" w:hAnsi="Georgia" w:cs="Times New Roman"/>
          <w:sz w:val="24"/>
          <w:szCs w:val="24"/>
          <w:lang w:eastAsia="en-GB"/>
        </w:rPr>
      </w:pPr>
      <w:r w:rsidRPr="00212AFD">
        <w:rPr>
          <w:rFonts w:ascii="Georgia" w:eastAsia="Times New Roman" w:hAnsi="Georgia" w:cs="Times New Roman"/>
          <w:sz w:val="24"/>
          <w:szCs w:val="24"/>
          <w:lang w:eastAsia="en-GB"/>
        </w:rPr>
        <w:t>. The Petition for Writ of Certiorari in the present case was granted in the New Mexico Supreme Court on August 20, 1982.</w:t>
      </w:r>
    </w:p>
    <w:p w14:paraId="2AEB6CFF" w14:textId="77777777" w:rsidR="003C7770" w:rsidRDefault="003C7770"/>
    <w:p w14:paraId="2AEB6D00" w14:textId="77777777" w:rsidR="00437FBF" w:rsidRPr="009456D4" w:rsidRDefault="00437FBF" w:rsidP="00437FB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AEB6D01" w14:textId="77777777" w:rsidR="00437FBF" w:rsidRPr="00437FBF" w:rsidRDefault="00437FBF">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Case concerns whether the defendants can be liable for injuries or damages to a third party which were caused by the acts of a minor to whom the defendants “provided” alcohol. The courts held that they could be found liable based on </w:t>
      </w:r>
      <w:r w:rsidRPr="00CA495E">
        <w:rPr>
          <w:rFonts w:ascii="Georgia" w:eastAsia="Times New Roman" w:hAnsi="Georgia" w:cs="Times New Roman"/>
          <w:i/>
          <w:sz w:val="28"/>
          <w:szCs w:val="24"/>
          <w:lang w:eastAsia="en-GB"/>
        </w:rPr>
        <w:t>Lopez v Maez</w:t>
      </w:r>
      <w:r w:rsidR="00CA495E">
        <w:rPr>
          <w:rFonts w:ascii="Georgia" w:eastAsia="Times New Roman" w:hAnsi="Georgia" w:cs="Times New Roman"/>
          <w:sz w:val="28"/>
          <w:szCs w:val="24"/>
          <w:lang w:eastAsia="en-GB"/>
        </w:rPr>
        <w:t xml:space="preserve"> and statute.</w:t>
      </w:r>
    </w:p>
    <w:sectPr w:rsidR="00437FBF" w:rsidRPr="00437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AFD"/>
    <w:rsid w:val="00212AFD"/>
    <w:rsid w:val="0036748D"/>
    <w:rsid w:val="003C7770"/>
    <w:rsid w:val="00437FBF"/>
    <w:rsid w:val="00BD2E73"/>
    <w:rsid w:val="00CA495E"/>
    <w:rsid w:val="00D01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6CD0"/>
  <w15:docId w15:val="{DC9ACDED-C828-477E-B19C-2391A3CD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A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AF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12AFD"/>
  </w:style>
  <w:style w:type="character" w:customStyle="1" w:styleId="court-name">
    <w:name w:val="court-name"/>
    <w:basedOn w:val="DefaultParagraphFont"/>
    <w:rsid w:val="00212AFD"/>
  </w:style>
  <w:style w:type="character" w:customStyle="1" w:styleId="docket-number">
    <w:name w:val="docket-number"/>
    <w:basedOn w:val="DefaultParagraphFont"/>
    <w:rsid w:val="00212AFD"/>
  </w:style>
  <w:style w:type="character" w:customStyle="1" w:styleId="case-name-v">
    <w:name w:val="case-name-v"/>
    <w:basedOn w:val="DefaultParagraphFont"/>
    <w:rsid w:val="00212AFD"/>
  </w:style>
  <w:style w:type="paragraph" w:customStyle="1" w:styleId="citation">
    <w:name w:val="citation"/>
    <w:basedOn w:val="Normal"/>
    <w:rsid w:val="00212A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12A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212A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12A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212A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12AFD"/>
    <w:rPr>
      <w:color w:val="0000FF"/>
      <w:u w:val="single"/>
    </w:rPr>
  </w:style>
  <w:style w:type="character" w:styleId="Emphasis">
    <w:name w:val="Emphasis"/>
    <w:basedOn w:val="DefaultParagraphFont"/>
    <w:uiPriority w:val="20"/>
    <w:qFormat/>
    <w:rsid w:val="00212AFD"/>
    <w:rPr>
      <w:i/>
      <w:iCs/>
    </w:rPr>
  </w:style>
  <w:style w:type="paragraph" w:customStyle="1" w:styleId="judges">
    <w:name w:val="judges"/>
    <w:basedOn w:val="Normal"/>
    <w:rsid w:val="00212A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097470">
      <w:bodyDiv w:val="1"/>
      <w:marLeft w:val="0"/>
      <w:marRight w:val="0"/>
      <w:marTop w:val="0"/>
      <w:marBottom w:val="0"/>
      <w:divBdr>
        <w:top w:val="none" w:sz="0" w:space="0" w:color="auto"/>
        <w:left w:val="none" w:sz="0" w:space="0" w:color="auto"/>
        <w:bottom w:val="none" w:sz="0" w:space="0" w:color="auto"/>
        <w:right w:val="none" w:sz="0" w:space="0" w:color="auto"/>
      </w:divBdr>
      <w:divsChild>
        <w:div w:id="2096129224">
          <w:marLeft w:val="0"/>
          <w:marRight w:val="0"/>
          <w:marTop w:val="0"/>
          <w:marBottom w:val="0"/>
          <w:divBdr>
            <w:top w:val="none" w:sz="0" w:space="0" w:color="auto"/>
            <w:left w:val="none" w:sz="0" w:space="0" w:color="auto"/>
            <w:bottom w:val="none" w:sz="0" w:space="0" w:color="auto"/>
            <w:right w:val="none" w:sz="0" w:space="0" w:color="auto"/>
          </w:divBdr>
        </w:div>
        <w:div w:id="1728915817">
          <w:marLeft w:val="0"/>
          <w:marRight w:val="0"/>
          <w:marTop w:val="0"/>
          <w:marBottom w:val="0"/>
          <w:divBdr>
            <w:top w:val="none" w:sz="0" w:space="0" w:color="auto"/>
            <w:left w:val="none" w:sz="0" w:space="0" w:color="auto"/>
            <w:bottom w:val="none" w:sz="0" w:space="0" w:color="auto"/>
            <w:right w:val="none" w:sz="0" w:space="0" w:color="auto"/>
          </w:divBdr>
        </w:div>
        <w:div w:id="555704305">
          <w:marLeft w:val="0"/>
          <w:marRight w:val="0"/>
          <w:marTop w:val="0"/>
          <w:marBottom w:val="0"/>
          <w:divBdr>
            <w:top w:val="none" w:sz="0" w:space="0" w:color="auto"/>
            <w:left w:val="none" w:sz="0" w:space="0" w:color="auto"/>
            <w:bottom w:val="none" w:sz="0" w:space="0" w:color="auto"/>
            <w:right w:val="none" w:sz="0" w:space="0" w:color="auto"/>
          </w:divBdr>
          <w:divsChild>
            <w:div w:id="940332229">
              <w:marLeft w:val="1275"/>
              <w:marRight w:val="0"/>
              <w:marTop w:val="0"/>
              <w:marBottom w:val="0"/>
              <w:divBdr>
                <w:top w:val="none" w:sz="0" w:space="0" w:color="auto"/>
                <w:left w:val="none" w:sz="0" w:space="0" w:color="auto"/>
                <w:bottom w:val="none" w:sz="0" w:space="0" w:color="auto"/>
                <w:right w:val="none" w:sz="0" w:space="0" w:color="auto"/>
              </w:divBdr>
            </w:div>
          </w:divsChild>
        </w:div>
        <w:div w:id="88455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0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45147">
          <w:blockQuote w:val="1"/>
          <w:marLeft w:val="720"/>
          <w:marRight w:val="720"/>
          <w:marTop w:val="100"/>
          <w:marBottom w:val="100"/>
          <w:divBdr>
            <w:top w:val="none" w:sz="0" w:space="0" w:color="auto"/>
            <w:left w:val="none" w:sz="0" w:space="0" w:color="auto"/>
            <w:bottom w:val="none" w:sz="0" w:space="0" w:color="auto"/>
            <w:right w:val="none" w:sz="0" w:space="0" w:color="auto"/>
          </w:divBdr>
        </w:div>
        <w:div w:id="975644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59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1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96379489">
          <w:blockQuote w:val="1"/>
          <w:marLeft w:val="0"/>
          <w:marRight w:val="0"/>
          <w:marTop w:val="0"/>
          <w:marBottom w:val="120"/>
          <w:divBdr>
            <w:top w:val="none" w:sz="0" w:space="0" w:color="auto"/>
            <w:left w:val="none" w:sz="0" w:space="0" w:color="auto"/>
            <w:bottom w:val="none" w:sz="0" w:space="0" w:color="auto"/>
            <w:right w:val="none" w:sz="0" w:space="0" w:color="auto"/>
          </w:divBdr>
        </w:div>
        <w:div w:id="2124222260">
          <w:blockQuote w:val="1"/>
          <w:marLeft w:val="0"/>
          <w:marRight w:val="0"/>
          <w:marTop w:val="0"/>
          <w:marBottom w:val="120"/>
          <w:divBdr>
            <w:top w:val="none" w:sz="0" w:space="0" w:color="auto"/>
            <w:left w:val="none" w:sz="0" w:space="0" w:color="auto"/>
            <w:bottom w:val="none" w:sz="0" w:space="0" w:color="auto"/>
            <w:right w:val="none" w:sz="0" w:space="0" w:color="auto"/>
          </w:divBdr>
        </w:div>
        <w:div w:id="1390153133">
          <w:blockQuote w:val="1"/>
          <w:marLeft w:val="0"/>
          <w:marRight w:val="0"/>
          <w:marTop w:val="0"/>
          <w:marBottom w:val="120"/>
          <w:divBdr>
            <w:top w:val="none" w:sz="0" w:space="0" w:color="auto"/>
            <w:left w:val="none" w:sz="0" w:space="0" w:color="auto"/>
            <w:bottom w:val="none" w:sz="0" w:space="0" w:color="auto"/>
            <w:right w:val="none" w:sz="0" w:space="0" w:color="auto"/>
          </w:divBdr>
        </w:div>
        <w:div w:id="957758922">
          <w:blockQuote w:val="1"/>
          <w:marLeft w:val="0"/>
          <w:marRight w:val="0"/>
          <w:marTop w:val="0"/>
          <w:marBottom w:val="120"/>
          <w:divBdr>
            <w:top w:val="none" w:sz="0" w:space="0" w:color="auto"/>
            <w:left w:val="none" w:sz="0" w:space="0" w:color="auto"/>
            <w:bottom w:val="none" w:sz="0" w:space="0" w:color="auto"/>
            <w:right w:val="none" w:sz="0" w:space="0" w:color="auto"/>
          </w:divBdr>
        </w:div>
        <w:div w:id="52238817">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6/591/" TargetMode="External"/><Relationship Id="rId13" Type="http://schemas.openxmlformats.org/officeDocument/2006/relationships/hyperlink" Target="https://cite.case.law/nm/98/710/" TargetMode="External"/><Relationship Id="rId3" Type="http://schemas.openxmlformats.org/officeDocument/2006/relationships/webSettings" Target="webSettings.xml"/><Relationship Id="rId7" Type="http://schemas.openxmlformats.org/officeDocument/2006/relationships/hyperlink" Target="https://cite.case.law/nm/90/367/" TargetMode="External"/><Relationship Id="rId12" Type="http://schemas.openxmlformats.org/officeDocument/2006/relationships/hyperlink" Target="https://cite.case.law/nm/98/7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nm/92/192/" TargetMode="External"/><Relationship Id="rId11" Type="http://schemas.openxmlformats.org/officeDocument/2006/relationships/hyperlink" Target="https://cite.case.law/nm/98/710/" TargetMode="External"/><Relationship Id="rId5" Type="http://schemas.openxmlformats.org/officeDocument/2006/relationships/hyperlink" Target="https://cite.case.law/nm/98/710/" TargetMode="External"/><Relationship Id="rId15" Type="http://schemas.openxmlformats.org/officeDocument/2006/relationships/theme" Target="theme/theme1.xml"/><Relationship Id="rId10" Type="http://schemas.openxmlformats.org/officeDocument/2006/relationships/hyperlink" Target="https://cite.case.law/nm/98/710/" TargetMode="External"/><Relationship Id="rId4" Type="http://schemas.openxmlformats.org/officeDocument/2006/relationships/hyperlink" Target="https://cite.case.law/nm/98/710/" TargetMode="External"/><Relationship Id="rId9" Type="http://schemas.openxmlformats.org/officeDocument/2006/relationships/hyperlink" Target="https://cite.case.law/nm/98/7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2024-09-17T13:18:00Z</dcterms:created>
  <dcterms:modified xsi:type="dcterms:W3CDTF">2024-09-17T13:18:00Z</dcterms:modified>
</cp:coreProperties>
</file>