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5B28C" w14:textId="77777777" w:rsidR="000F6009" w:rsidRPr="000F6009" w:rsidRDefault="000F6009" w:rsidP="000F6009">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F6009">
        <w:rPr>
          <w:rFonts w:ascii="Times New Roman" w:eastAsia="Times New Roman" w:hAnsi="Times New Roman" w:cs="Times New Roman"/>
          <w:b/>
          <w:bCs/>
          <w:kern w:val="36"/>
          <w:sz w:val="48"/>
          <w:szCs w:val="48"/>
          <w:lang w:eastAsia="en-AU"/>
        </w:rPr>
        <w:t>Solon ex rel. Estate of Ponce v. WEK Drilling Co., 113 N.M. 566, 829 P.2d 645 (1992)</w:t>
      </w:r>
    </w:p>
    <w:p w14:paraId="0F5F91A9" w14:textId="77777777"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March 31, 1992 · Supreme Court of New Mexico · No. 19532 </w:t>
      </w:r>
    </w:p>
    <w:p w14:paraId="6063B85D" w14:textId="77777777"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113 N.M. 566, 829 P.2d 645 </w:t>
      </w:r>
    </w:p>
    <w:p w14:paraId="79C196BF" w14:textId="77777777" w:rsidR="00A02D00" w:rsidRDefault="00A02D00" w:rsidP="000F6009">
      <w:pPr>
        <w:spacing w:after="0" w:line="240" w:lineRule="auto"/>
        <w:jc w:val="left"/>
        <w:rPr>
          <w:rFonts w:ascii="Times New Roman" w:eastAsia="Times New Roman" w:hAnsi="Times New Roman" w:cs="Times New Roman"/>
          <w:sz w:val="24"/>
          <w:szCs w:val="24"/>
          <w:lang w:eastAsia="en-AU"/>
        </w:rPr>
      </w:pPr>
    </w:p>
    <w:p w14:paraId="6CA4BBEC" w14:textId="0CAA3BB7"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Arthur SOLON, as Personal Representative of the Estate of Ivan Ponce on behalf of Ambrosia Ponce, Plaintiff, and Alvino Ponce and Maria Ponce, individually and as next friends of Ivan Ponce, deceased, Applicants in Intervention-Appellants, v. WEK DRILLING COMPANY, INC., Defendant-Appellee </w:t>
      </w:r>
    </w:p>
    <w:p w14:paraId="06CA3B68"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829 P.2d 645</w:t>
      </w:r>
    </w:p>
    <w:p w14:paraId="1755C333"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Supreme Court of New Mexico.</w:t>
      </w:r>
    </w:p>
    <w:p w14:paraId="502E3AC4"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Taylor, Gaddy, Rakes &amp; Hall, James E. Bierly and Daniel Rakes, Albuquerque, and J.W. Neal, Hobbs, for appellants.</w:t>
      </w:r>
    </w:p>
    <w:p w14:paraId="189156BC"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Mark Terrence Sanchez and Gary Don Reagan, Hobbs, for appellee.</w:t>
      </w:r>
    </w:p>
    <w:p w14:paraId="1AB9227F"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OPINION</w:t>
      </w:r>
    </w:p>
    <w:p w14:paraId="4B6D1E74"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MONTGOMERY, Justice.</w:t>
      </w:r>
    </w:p>
    <w:p w14:paraId="34362A73" w14:textId="4A35008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This, as we view it, is a Palsgraf</w:t>
      </w:r>
      <w:r w:rsidRPr="000F6009">
        <w:rPr>
          <w:rFonts w:ascii="Times New Roman" w:eastAsia="Times New Roman" w:hAnsi="Times New Roman" w:cs="Times New Roman"/>
          <w:color w:val="0000FF"/>
          <w:sz w:val="24"/>
          <w:szCs w:val="24"/>
          <w:u w:val="single"/>
          <w:lang w:eastAsia="en-AU"/>
        </w:rPr>
        <w:t>1</w:t>
      </w:r>
      <w:r w:rsidRPr="000F6009">
        <w:rPr>
          <w:rFonts w:ascii="Times New Roman" w:eastAsia="Times New Roman" w:hAnsi="Times New Roman" w:cs="Times New Roman"/>
          <w:sz w:val="24"/>
          <w:szCs w:val="24"/>
          <w:lang w:eastAsia="en-AU"/>
        </w:rPr>
        <w:t xml:space="preserve"> case (though not a particularly good one). The question is whether one who owes a duty to another to provide that other with a safe place to work, and whose negligence in breaching that duty causes the death of the other, also owes a duty to the other’s parents so that they may sue the tortfeasor, in their own right, for damages sustained as a result of their son’s death. Framing the question in this way, </w:t>
      </w:r>
      <w:r w:rsidRPr="000F6009">
        <w:rPr>
          <w:rFonts w:ascii="Times New Roman" w:eastAsia="Times New Roman" w:hAnsi="Times New Roman" w:cs="Times New Roman"/>
          <w:sz w:val="24"/>
          <w:szCs w:val="24"/>
          <w:highlight w:val="red"/>
          <w:lang w:eastAsia="en-AU"/>
        </w:rPr>
        <w:t>we hold that the parents have no cause of action against the tortfeasor</w:t>
      </w:r>
      <w:r w:rsidRPr="000F6009">
        <w:rPr>
          <w:rFonts w:ascii="Times New Roman" w:eastAsia="Times New Roman" w:hAnsi="Times New Roman" w:cs="Times New Roman"/>
          <w:sz w:val="24"/>
          <w:szCs w:val="24"/>
          <w:lang w:eastAsia="en-AU"/>
        </w:rPr>
        <w:t xml:space="preserve"> and uphold the district court’s ruling denying the parents permission to intervene in a wrongful death action brought by the personal representative of their son’s estate against the alleged tortfeasor.</w:t>
      </w:r>
    </w:p>
    <w:p w14:paraId="1D073D3E"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w:t>
      </w:r>
    </w:p>
    <w:p w14:paraId="39C54798"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highlight w:val="magenta"/>
          <w:lang w:eastAsia="en-AU"/>
        </w:rPr>
        <w:t>The trial court based its order denying leave to intervene on the legal insufficiency of the parents’ proposed complaint in intervention.</w:t>
      </w:r>
      <w:r w:rsidRPr="000F6009">
        <w:rPr>
          <w:rFonts w:ascii="Times New Roman" w:eastAsia="Times New Roman" w:hAnsi="Times New Roman" w:cs="Times New Roman"/>
          <w:sz w:val="24"/>
          <w:szCs w:val="24"/>
          <w:lang w:eastAsia="en-AU"/>
        </w:rPr>
        <w:t xml:space="preserve"> In reviewing that order, we of course accept as true the allegations in the parents’ proposed complaint. It alleges that </w:t>
      </w:r>
      <w:r w:rsidRPr="000F6009">
        <w:rPr>
          <w:rFonts w:ascii="Times New Roman" w:eastAsia="Times New Roman" w:hAnsi="Times New Roman" w:cs="Times New Roman"/>
          <w:sz w:val="24"/>
          <w:szCs w:val="24"/>
          <w:highlight w:val="yellow"/>
          <w:lang w:eastAsia="en-AU"/>
        </w:rPr>
        <w:t>the defendant in the wrongful death suit, WEK Drilling Co., Inc. (“WEK Drilling”), owned and operated an oil-well drilling rig in Eddy County, New Mexico, where the accident happened. Ivan Ponce, the son of the applicants in intervention, Alvino and Maria Ponce (“the Ponces”), was employed by an independent contractor engaged in certain work in and around the drilling rig. Ivan was killed as a proximate result of WEK Drilling’s negligence in failing, in various respects, to maintain the rig in a safe condition and operate it in a safe manner.</w:t>
      </w:r>
      <w:hyperlink r:id="rId5" w:anchor="footnote_1_2" w:history="1">
        <w:r w:rsidRPr="000F6009">
          <w:rPr>
            <w:rFonts w:ascii="Times New Roman" w:eastAsia="Times New Roman" w:hAnsi="Times New Roman" w:cs="Times New Roman"/>
            <w:color w:val="0000FF"/>
            <w:sz w:val="24"/>
            <w:szCs w:val="24"/>
            <w:highlight w:val="yellow"/>
            <w:u w:val="single"/>
            <w:lang w:eastAsia="en-AU"/>
          </w:rPr>
          <w:t>2</w:t>
        </w:r>
      </w:hyperlink>
    </w:p>
    <w:p w14:paraId="6058646A"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lastRenderedPageBreak/>
        <w:t xml:space="preserve">The proposed complaint in intervention further alleges that, as a proximate result of WEK Drilling’s negligence, </w:t>
      </w:r>
      <w:r w:rsidRPr="000F6009">
        <w:rPr>
          <w:rFonts w:ascii="Times New Roman" w:eastAsia="Times New Roman" w:hAnsi="Times New Roman" w:cs="Times New Roman"/>
          <w:sz w:val="24"/>
          <w:szCs w:val="24"/>
          <w:highlight w:val="yellow"/>
          <w:lang w:eastAsia="en-AU"/>
        </w:rPr>
        <w:t>the Ponces suffered certain damages: loss of financial support provided by their son; loss of consortium with their son, including loss of his society, companionship, and affection; and grief, sorrow, and bereavement in various forms. Ivan was 25 years old at the time of his death and had lived with his parents all his life.</w:t>
      </w:r>
      <w:r w:rsidRPr="000F6009">
        <w:rPr>
          <w:rFonts w:ascii="Times New Roman" w:eastAsia="Times New Roman" w:hAnsi="Times New Roman" w:cs="Times New Roman"/>
          <w:sz w:val="24"/>
          <w:szCs w:val="24"/>
          <w:lang w:eastAsia="en-AU"/>
        </w:rPr>
        <w:t xml:space="preserve"> As developed at a deposition taken in connection with the Ponces’ attempt to intervene, it appeared that </w:t>
      </w:r>
      <w:r w:rsidRPr="000F6009">
        <w:rPr>
          <w:rFonts w:ascii="Times New Roman" w:eastAsia="Times New Roman" w:hAnsi="Times New Roman" w:cs="Times New Roman"/>
          <w:sz w:val="24"/>
          <w:szCs w:val="24"/>
          <w:highlight w:val="yellow"/>
          <w:lang w:eastAsia="en-AU"/>
        </w:rPr>
        <w:t>Ivan and his parents enjoyed a close and loving relationship and that Ivan contributed to his parents’ financial well-being by, among other things, performing work around the family home, putting a new roof on the house, pouring a concrete patio at the rear of the home, and otherwise assisting with the household maintenance and upkeep. Ivan had been married (he was divorced at the time of his death) and had a daughter, Ambrosia, who lived with him at his parents’ home.</w:t>
      </w:r>
    </w:p>
    <w:p w14:paraId="3A111A50"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A few months after Ivan’s death in February 1990, the personal representative of his estate, Arthur Solon, brought an action in the District Court of Eddy County on behalf of Ambrosia to recover for her father’s wrongful death. The action was brought under the New Mexico wrongful death act, NMSA 1978, Sections 41-2-1 to -3 (Repl.Pamp.1989). Soon thereafter, the Ponces moved to intervene, on the grounds that they claimed an interest in the subject of the action and that their claim and the main action had a question of law or fact in common. They moved, in other words, both for intervention of right under SCRA 1986, 1-024(A), and, in the alternative, for permissive intervention under Rule 1-024(B). They attached their proposed complaint in intervention to the motion. The district court held two hearings and, ruling that the proposed complaint did not state a claim upon which relief could be granted, denied the motion. The Ponces appeal from the order denying their motion to intervene.</w:t>
      </w:r>
    </w:p>
    <w:p w14:paraId="3D2B46CE"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II.</w:t>
      </w:r>
    </w:p>
    <w:p w14:paraId="40481B36" w14:textId="5FA82BDD"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Although a district court considering a motion to intervene under Rule 24 has discretion under both subsections of the rule, </w:t>
      </w:r>
      <w:r w:rsidRPr="000F6009">
        <w:rPr>
          <w:rFonts w:ascii="Times New Roman" w:eastAsia="Times New Roman" w:hAnsi="Times New Roman" w:cs="Times New Roman"/>
          <w:i/>
          <w:iCs/>
          <w:sz w:val="24"/>
          <w:szCs w:val="24"/>
          <w:lang w:eastAsia="en-AU"/>
        </w:rPr>
        <w:t xml:space="preserve">see Apodaca v. Town of Tome Land Grant, </w:t>
      </w:r>
      <w:r w:rsidRPr="000F6009">
        <w:rPr>
          <w:rFonts w:ascii="Times New Roman" w:eastAsia="Times New Roman" w:hAnsi="Times New Roman" w:cs="Times New Roman"/>
          <w:color w:val="0000FF"/>
          <w:sz w:val="24"/>
          <w:szCs w:val="24"/>
          <w:u w:val="single"/>
          <w:lang w:eastAsia="en-AU"/>
        </w:rPr>
        <w:t>86 N.M. 132</w:t>
      </w:r>
      <w:r w:rsidRPr="000F6009">
        <w:rPr>
          <w:rFonts w:ascii="Times New Roman" w:eastAsia="Times New Roman" w:hAnsi="Times New Roman" w:cs="Times New Roman"/>
          <w:sz w:val="24"/>
          <w:szCs w:val="24"/>
          <w:lang w:eastAsia="en-AU"/>
        </w:rPr>
        <w:t xml:space="preserve">, 133, </w:t>
      </w:r>
      <w:hyperlink r:id="rId6" w:history="1">
        <w:r w:rsidRPr="000F6009">
          <w:rPr>
            <w:rFonts w:ascii="Times New Roman" w:eastAsia="Times New Roman" w:hAnsi="Times New Roman" w:cs="Times New Roman"/>
            <w:color w:val="0000FF"/>
            <w:sz w:val="24"/>
            <w:szCs w:val="24"/>
            <w:u w:val="single"/>
            <w:lang w:eastAsia="en-AU"/>
          </w:rPr>
          <w:t>520 P.2d 552</w:t>
        </w:r>
      </w:hyperlink>
      <w:r w:rsidRPr="000F6009">
        <w:rPr>
          <w:rFonts w:ascii="Times New Roman" w:eastAsia="Times New Roman" w:hAnsi="Times New Roman" w:cs="Times New Roman"/>
          <w:sz w:val="24"/>
          <w:szCs w:val="24"/>
          <w:lang w:eastAsia="en-AU"/>
        </w:rPr>
        <w:t>, 553 (1974),</w:t>
      </w:r>
      <w:r w:rsidRPr="000F6009">
        <w:rPr>
          <w:rFonts w:ascii="Times New Roman" w:eastAsia="Times New Roman" w:hAnsi="Times New Roman" w:cs="Times New Roman"/>
          <w:color w:val="0000FF"/>
          <w:sz w:val="24"/>
          <w:szCs w:val="24"/>
          <w:u w:val="single"/>
          <w:lang w:eastAsia="en-AU"/>
        </w:rPr>
        <w:t>3</w:t>
      </w:r>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sz w:val="24"/>
          <w:szCs w:val="24"/>
          <w:highlight w:val="magenta"/>
          <w:lang w:eastAsia="en-AU"/>
        </w:rPr>
        <w:t>the court in this case made it clear that it was not denying the motion in the exercise of its discretion. Instead, the court was holding, as a matter of law, that the Ponces’ proposed complaint in intervention did not state a cause of action</w:t>
      </w:r>
      <w:r w:rsidRPr="000F6009">
        <w:rPr>
          <w:rFonts w:ascii="Times New Roman" w:eastAsia="Times New Roman" w:hAnsi="Times New Roman" w:cs="Times New Roman"/>
          <w:sz w:val="24"/>
          <w:szCs w:val="24"/>
          <w:lang w:eastAsia="en-AU"/>
        </w:rPr>
        <w:t xml:space="preserve">. While a determination that a proposed complaint in intervention is legally sufficient— so as to withstand a motion to dismiss for failure to state a claim under Rule 12(B)(6) — is not </w:t>
      </w:r>
      <w:r w:rsidRPr="000F6009">
        <w:rPr>
          <w:rFonts w:ascii="Times New Roman" w:eastAsia="Times New Roman" w:hAnsi="Times New Roman" w:cs="Times New Roman"/>
          <w:i/>
          <w:iCs/>
          <w:sz w:val="24"/>
          <w:szCs w:val="24"/>
          <w:lang w:eastAsia="en-AU"/>
        </w:rPr>
        <w:t xml:space="preserve">required </w:t>
      </w:r>
      <w:r w:rsidRPr="000F6009">
        <w:rPr>
          <w:rFonts w:ascii="Times New Roman" w:eastAsia="Times New Roman" w:hAnsi="Times New Roman" w:cs="Times New Roman"/>
          <w:sz w:val="24"/>
          <w:szCs w:val="24"/>
          <w:lang w:eastAsia="en-AU"/>
        </w:rPr>
        <w:t xml:space="preserve">before the trial court may grant an application to intervene, it is certainly </w:t>
      </w:r>
      <w:r w:rsidRPr="000F6009">
        <w:rPr>
          <w:rFonts w:ascii="Times New Roman" w:eastAsia="Times New Roman" w:hAnsi="Times New Roman" w:cs="Times New Roman"/>
          <w:i/>
          <w:iCs/>
          <w:sz w:val="24"/>
          <w:szCs w:val="24"/>
          <w:lang w:eastAsia="en-AU"/>
        </w:rPr>
        <w:t xml:space="preserve">permissible </w:t>
      </w:r>
      <w:r w:rsidRPr="000F6009">
        <w:rPr>
          <w:rFonts w:ascii="Times New Roman" w:eastAsia="Times New Roman" w:hAnsi="Times New Roman" w:cs="Times New Roman"/>
          <w:sz w:val="24"/>
          <w:szCs w:val="24"/>
          <w:lang w:eastAsia="en-AU"/>
        </w:rPr>
        <w:t xml:space="preserve">for the court to scrutinize the proffered complaint to see whether it states a cause of action. </w:t>
      </w:r>
      <w:r w:rsidRPr="000F6009">
        <w:rPr>
          <w:rFonts w:ascii="Times New Roman" w:eastAsia="Times New Roman" w:hAnsi="Times New Roman" w:cs="Times New Roman"/>
          <w:i/>
          <w:iCs/>
          <w:sz w:val="24"/>
          <w:szCs w:val="24"/>
          <w:lang w:eastAsia="en-AU"/>
        </w:rPr>
        <w:t xml:space="preserve">See </w:t>
      </w:r>
      <w:r w:rsidRPr="000F6009">
        <w:rPr>
          <w:rFonts w:ascii="Times New Roman" w:eastAsia="Times New Roman" w:hAnsi="Times New Roman" w:cs="Times New Roman"/>
          <w:sz w:val="24"/>
          <w:szCs w:val="24"/>
          <w:lang w:eastAsia="en-AU"/>
        </w:rPr>
        <w:t xml:space="preserve">3B James Wm. Moore &amp; John E. Kennedy, </w:t>
      </w:r>
      <w:r w:rsidRPr="000F6009">
        <w:rPr>
          <w:rFonts w:ascii="Times New Roman" w:eastAsia="Times New Roman" w:hAnsi="Times New Roman" w:cs="Times New Roman"/>
          <w:i/>
          <w:iCs/>
          <w:sz w:val="24"/>
          <w:szCs w:val="24"/>
          <w:lang w:eastAsia="en-AU"/>
        </w:rPr>
        <w:t xml:space="preserve">Moore’s Federal Practice </w:t>
      </w:r>
      <w:r w:rsidRPr="000F6009">
        <w:rPr>
          <w:rFonts w:ascii="Times New Roman" w:eastAsia="Times New Roman" w:hAnsi="Times New Roman" w:cs="Times New Roman"/>
          <w:sz w:val="24"/>
          <w:szCs w:val="24"/>
          <w:lang w:eastAsia="en-AU"/>
        </w:rPr>
        <w:t xml:space="preserve">¶ 24.10[4], at 24-103 (2d ed. 1991) (“Leave [to intervene] should not be granted if the court could not grant intervenor any relief.”); </w:t>
      </w:r>
      <w:r w:rsidRPr="000F6009">
        <w:rPr>
          <w:rFonts w:ascii="Times New Roman" w:eastAsia="Times New Roman" w:hAnsi="Times New Roman" w:cs="Times New Roman"/>
          <w:i/>
          <w:iCs/>
          <w:sz w:val="24"/>
          <w:szCs w:val="24"/>
          <w:lang w:eastAsia="en-AU"/>
        </w:rPr>
        <w:t xml:space="preserve">id. </w:t>
      </w:r>
      <w:r w:rsidRPr="000F6009">
        <w:rPr>
          <w:rFonts w:ascii="Times New Roman" w:eastAsia="Times New Roman" w:hAnsi="Times New Roman" w:cs="Times New Roman"/>
          <w:sz w:val="24"/>
          <w:szCs w:val="24"/>
          <w:lang w:eastAsia="en-AU"/>
        </w:rPr>
        <w:t xml:space="preserve">¶ 24.14, at 24-144 (“The proposed complaint or answer of the intervenor must state a well-pleaded claim or defense.”); 7C Charles A. Wright </w:t>
      </w:r>
      <w:r w:rsidRPr="000F6009">
        <w:rPr>
          <w:rFonts w:ascii="Times New Roman" w:eastAsia="Times New Roman" w:hAnsi="Times New Roman" w:cs="Times New Roman"/>
          <w:i/>
          <w:iCs/>
          <w:sz w:val="24"/>
          <w:szCs w:val="24"/>
          <w:lang w:eastAsia="en-AU"/>
        </w:rPr>
        <w:t xml:space="preserve">et al., Federal Practice &amp; Procedure: Civil 2d </w:t>
      </w:r>
      <w:r w:rsidRPr="000F6009">
        <w:rPr>
          <w:rFonts w:ascii="Times New Roman" w:eastAsia="Times New Roman" w:hAnsi="Times New Roman" w:cs="Times New Roman"/>
          <w:sz w:val="24"/>
          <w:szCs w:val="24"/>
          <w:lang w:eastAsia="en-AU"/>
        </w:rPr>
        <w:t>§ 1914, at 416-17 (1986) (“The proposed pleading must state a good claim for relief or a good defense.”). The applicants here, the Ponces, do not contend otherwise; and they do not seriously challenge the propriety of the district court’s determining at the outset whether their proposed complaint in intervention stated a claim upon which relief could be granted.</w:t>
      </w:r>
    </w:p>
    <w:p w14:paraId="2948C04F"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Nor do the Ponces seriously contend that they had a claim for relief under the wrongful death act. Although their brief in chief contains numerous references to the act, to cases construing the act, and to the wrongful death statutes in other states — many of which permit a decedent’s parents to share in the proceeds of a successfully prosecuted wrongful death claim </w:t>
      </w:r>
      <w:r w:rsidRPr="000F6009">
        <w:rPr>
          <w:rFonts w:ascii="Times New Roman" w:eastAsia="Times New Roman" w:hAnsi="Times New Roman" w:cs="Times New Roman"/>
          <w:sz w:val="24"/>
          <w:szCs w:val="24"/>
          <w:lang w:eastAsia="en-AU"/>
        </w:rPr>
        <w:lastRenderedPageBreak/>
        <w:t xml:space="preserve">— their brief makes it fairly clear that they are seeking recognition of a cause of action at common law, </w:t>
      </w:r>
      <w:r w:rsidRPr="000F6009">
        <w:rPr>
          <w:rFonts w:ascii="Times New Roman" w:eastAsia="Times New Roman" w:hAnsi="Times New Roman" w:cs="Times New Roman"/>
          <w:i/>
          <w:iCs/>
          <w:sz w:val="24"/>
          <w:szCs w:val="24"/>
          <w:lang w:eastAsia="en-AU"/>
        </w:rPr>
        <w:t xml:space="preserve">outside </w:t>
      </w:r>
      <w:r w:rsidRPr="000F6009">
        <w:rPr>
          <w:rFonts w:ascii="Times New Roman" w:eastAsia="Times New Roman" w:hAnsi="Times New Roman" w:cs="Times New Roman"/>
          <w:sz w:val="24"/>
          <w:szCs w:val="24"/>
          <w:lang w:eastAsia="en-AU"/>
        </w:rPr>
        <w:t>the wrongful death act, for their “loss of out-of-pocket economic damages and for their loss of consortium with their son.” And in their reply brief they expressly state: “Appellants do not seek to intervene in the cause below as beneficiaries under the Wrongful Death Act. Rather they seek to intervene on an independent cause of action which they request this Court to recognize as existing for them outside the Wrongful Death Act * * * * ”</w:t>
      </w:r>
    </w:p>
    <w:p w14:paraId="67065A6F" w14:textId="759E90E5"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The Ponces’ request to intervene must therefore rest on Rule 24(B) relating to permissive intervention; they have no basis to intervene as a matter of right under Rule 24(A), for they do not claim “an interest relating to the property or transaction which is the subject of the action ****’’ SCRA 1986, 1-024(A)(2).</w:t>
      </w:r>
      <w:hyperlink r:id="rId7" w:anchor="footnote_1_4" w:history="1">
        <w:r w:rsidRPr="000F6009">
          <w:rPr>
            <w:rFonts w:ascii="Times New Roman" w:eastAsia="Times New Roman" w:hAnsi="Times New Roman" w:cs="Times New Roman"/>
            <w:color w:val="0000FF"/>
            <w:sz w:val="24"/>
            <w:szCs w:val="24"/>
            <w:u w:val="single"/>
            <w:lang w:eastAsia="en-AU"/>
          </w:rPr>
          <w:t>4</w:t>
        </w:r>
      </w:hyperlink>
      <w:r w:rsidRPr="000F6009">
        <w:rPr>
          <w:rFonts w:ascii="Times New Roman" w:eastAsia="Times New Roman" w:hAnsi="Times New Roman" w:cs="Times New Roman"/>
          <w:sz w:val="24"/>
          <w:szCs w:val="24"/>
          <w:lang w:eastAsia="en-AU"/>
        </w:rPr>
        <w:t xml:space="preserve"> Nor could they assert such a claim. Under Section 41-2-3, every action under our wrongful death act is to be brought by the personal representative of the decedent, and the proceeds are to be distributed, where there is no surviving husband or wife but there is a surviving child or children, to such child or children. The parents of the decedent cannot share in the proceeds unless the decedent is survived by neither a spouse, a child, nor a grandchild. The wrongful death act, which we have characterized as a survival statute, provides a cause of action for the benefit of the statutory beneficiaries to sue a tortfeasor for the damages, measured by the value of the decedent’s life, which the decedent himself would have been entitled to recover had death not ensued. </w:t>
      </w:r>
      <w:r w:rsidRPr="000F6009">
        <w:rPr>
          <w:rFonts w:ascii="Times New Roman" w:eastAsia="Times New Roman" w:hAnsi="Times New Roman" w:cs="Times New Roman"/>
          <w:i/>
          <w:iCs/>
          <w:sz w:val="24"/>
          <w:szCs w:val="24"/>
          <w:lang w:eastAsia="en-AU"/>
        </w:rPr>
        <w:t xml:space="preserve">See Stang v. Hertz Corp., </w:t>
      </w:r>
      <w:r w:rsidRPr="000F6009">
        <w:rPr>
          <w:rFonts w:ascii="Times New Roman" w:eastAsia="Times New Roman" w:hAnsi="Times New Roman" w:cs="Times New Roman"/>
          <w:color w:val="0000FF"/>
          <w:sz w:val="24"/>
          <w:szCs w:val="24"/>
          <w:u w:val="single"/>
          <w:lang w:eastAsia="en-AU"/>
        </w:rPr>
        <w:t>81 N.M. 348</w:t>
      </w:r>
      <w:r w:rsidRPr="000F6009">
        <w:rPr>
          <w:rFonts w:ascii="Times New Roman" w:eastAsia="Times New Roman" w:hAnsi="Times New Roman" w:cs="Times New Roman"/>
          <w:sz w:val="24"/>
          <w:szCs w:val="24"/>
          <w:lang w:eastAsia="en-AU"/>
        </w:rPr>
        <w:t xml:space="preserve">, 350-52, </w:t>
      </w:r>
      <w:hyperlink r:id="rId8" w:history="1">
        <w:r w:rsidRPr="000F6009">
          <w:rPr>
            <w:rFonts w:ascii="Times New Roman" w:eastAsia="Times New Roman" w:hAnsi="Times New Roman" w:cs="Times New Roman"/>
            <w:color w:val="0000FF"/>
            <w:sz w:val="24"/>
            <w:szCs w:val="24"/>
            <w:u w:val="single"/>
            <w:lang w:eastAsia="en-AU"/>
          </w:rPr>
          <w:t>467 P.2d 14</w:t>
        </w:r>
      </w:hyperlink>
      <w:r w:rsidRPr="000F6009">
        <w:rPr>
          <w:rFonts w:ascii="Times New Roman" w:eastAsia="Times New Roman" w:hAnsi="Times New Roman" w:cs="Times New Roman"/>
          <w:sz w:val="24"/>
          <w:szCs w:val="24"/>
          <w:lang w:eastAsia="en-AU"/>
        </w:rPr>
        <w:t xml:space="preserve">, 16-18 (1970); </w:t>
      </w:r>
      <w:r w:rsidRPr="000F6009">
        <w:rPr>
          <w:rFonts w:ascii="Times New Roman" w:eastAsia="Times New Roman" w:hAnsi="Times New Roman" w:cs="Times New Roman"/>
          <w:i/>
          <w:iCs/>
          <w:sz w:val="24"/>
          <w:szCs w:val="24"/>
          <w:lang w:eastAsia="en-AU"/>
        </w:rPr>
        <w:t xml:space="preserve">see also Kilkenny v. Kenney, </w:t>
      </w:r>
      <w:r w:rsidRPr="000F6009">
        <w:rPr>
          <w:rFonts w:ascii="Times New Roman" w:eastAsia="Times New Roman" w:hAnsi="Times New Roman" w:cs="Times New Roman"/>
          <w:color w:val="0000FF"/>
          <w:sz w:val="24"/>
          <w:szCs w:val="24"/>
          <w:u w:val="single"/>
          <w:lang w:eastAsia="en-AU"/>
        </w:rPr>
        <w:t>68 N.M. 266</w:t>
      </w:r>
      <w:r w:rsidRPr="000F6009">
        <w:rPr>
          <w:rFonts w:ascii="Times New Roman" w:eastAsia="Times New Roman" w:hAnsi="Times New Roman" w:cs="Times New Roman"/>
          <w:sz w:val="24"/>
          <w:szCs w:val="24"/>
          <w:lang w:eastAsia="en-AU"/>
        </w:rPr>
        <w:t xml:space="preserve">, 270, </w:t>
      </w:r>
      <w:hyperlink r:id="rId9" w:history="1">
        <w:r w:rsidRPr="000F6009">
          <w:rPr>
            <w:rFonts w:ascii="Times New Roman" w:eastAsia="Times New Roman" w:hAnsi="Times New Roman" w:cs="Times New Roman"/>
            <w:color w:val="0000FF"/>
            <w:sz w:val="24"/>
            <w:szCs w:val="24"/>
            <w:u w:val="single"/>
            <w:lang w:eastAsia="en-AU"/>
          </w:rPr>
          <w:t>361 P.2d 149</w:t>
        </w:r>
      </w:hyperlink>
      <w:r w:rsidRPr="000F6009">
        <w:rPr>
          <w:rFonts w:ascii="Times New Roman" w:eastAsia="Times New Roman" w:hAnsi="Times New Roman" w:cs="Times New Roman"/>
          <w:sz w:val="24"/>
          <w:szCs w:val="24"/>
          <w:lang w:eastAsia="en-AU"/>
        </w:rPr>
        <w:t xml:space="preserve">, 152 (1961); </w:t>
      </w:r>
      <w:r w:rsidRPr="000F6009">
        <w:rPr>
          <w:rFonts w:ascii="Times New Roman" w:eastAsia="Times New Roman" w:hAnsi="Times New Roman" w:cs="Times New Roman"/>
          <w:i/>
          <w:iCs/>
          <w:sz w:val="24"/>
          <w:szCs w:val="24"/>
          <w:lang w:eastAsia="en-AU"/>
        </w:rPr>
        <w:t xml:space="preserve">Natseway v. Jojola, </w:t>
      </w:r>
      <w:r w:rsidRPr="000F6009">
        <w:rPr>
          <w:rFonts w:ascii="Times New Roman" w:eastAsia="Times New Roman" w:hAnsi="Times New Roman" w:cs="Times New Roman"/>
          <w:color w:val="0000FF"/>
          <w:sz w:val="24"/>
          <w:szCs w:val="24"/>
          <w:u w:val="single"/>
          <w:lang w:eastAsia="en-AU"/>
        </w:rPr>
        <w:t>56 N.M. 793</w:t>
      </w:r>
      <w:r w:rsidRPr="000F6009">
        <w:rPr>
          <w:rFonts w:ascii="Times New Roman" w:eastAsia="Times New Roman" w:hAnsi="Times New Roman" w:cs="Times New Roman"/>
          <w:sz w:val="24"/>
          <w:szCs w:val="24"/>
          <w:lang w:eastAsia="en-AU"/>
        </w:rPr>
        <w:t xml:space="preserve">, 800, </w:t>
      </w:r>
      <w:hyperlink r:id="rId10" w:history="1">
        <w:r w:rsidRPr="000F6009">
          <w:rPr>
            <w:rFonts w:ascii="Times New Roman" w:eastAsia="Times New Roman" w:hAnsi="Times New Roman" w:cs="Times New Roman"/>
            <w:color w:val="0000FF"/>
            <w:sz w:val="24"/>
            <w:szCs w:val="24"/>
            <w:u w:val="single"/>
            <w:lang w:eastAsia="en-AU"/>
          </w:rPr>
          <w:t>251 P.2d 274</w:t>
        </w:r>
      </w:hyperlink>
      <w:r w:rsidRPr="000F6009">
        <w:rPr>
          <w:rFonts w:ascii="Times New Roman" w:eastAsia="Times New Roman" w:hAnsi="Times New Roman" w:cs="Times New Roman"/>
          <w:sz w:val="24"/>
          <w:szCs w:val="24"/>
          <w:lang w:eastAsia="en-AU"/>
        </w:rPr>
        <w:t xml:space="preserve">, 278 (1952). The act therefore furnishes the basis for recovery, by the statutory beneficiaries, of the </w:t>
      </w:r>
      <w:r w:rsidRPr="000F6009">
        <w:rPr>
          <w:rFonts w:ascii="Times New Roman" w:eastAsia="Times New Roman" w:hAnsi="Times New Roman" w:cs="Times New Roman"/>
          <w:i/>
          <w:iCs/>
          <w:sz w:val="24"/>
          <w:szCs w:val="24"/>
          <w:lang w:eastAsia="en-AU"/>
        </w:rPr>
        <w:t xml:space="preserve">decedent’s </w:t>
      </w:r>
      <w:r w:rsidRPr="000F6009">
        <w:rPr>
          <w:rFonts w:ascii="Times New Roman" w:eastAsia="Times New Roman" w:hAnsi="Times New Roman" w:cs="Times New Roman"/>
          <w:sz w:val="24"/>
          <w:szCs w:val="24"/>
          <w:lang w:eastAsia="en-AU"/>
        </w:rPr>
        <w:t xml:space="preserve">damages; but it provides no basis for recovery by the decedent’s parents, or anyone else, of </w:t>
      </w:r>
      <w:r w:rsidRPr="000F6009">
        <w:rPr>
          <w:rFonts w:ascii="Times New Roman" w:eastAsia="Times New Roman" w:hAnsi="Times New Roman" w:cs="Times New Roman"/>
          <w:i/>
          <w:iCs/>
          <w:sz w:val="24"/>
          <w:szCs w:val="24"/>
          <w:lang w:eastAsia="en-AU"/>
        </w:rPr>
        <w:t xml:space="preserve">their own </w:t>
      </w:r>
      <w:r w:rsidRPr="000F6009">
        <w:rPr>
          <w:rFonts w:ascii="Times New Roman" w:eastAsia="Times New Roman" w:hAnsi="Times New Roman" w:cs="Times New Roman"/>
          <w:sz w:val="24"/>
          <w:szCs w:val="24"/>
          <w:lang w:eastAsia="en-AU"/>
        </w:rPr>
        <w:t>damages flowing from the loss of the decedent’s life.</w:t>
      </w:r>
    </w:p>
    <w:p w14:paraId="79C835F4" w14:textId="1DD74156"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Thus, as noted above, the Ponces’ basis for intervening in this lawsuit must lie, if at all, in the provisions of Rule 24(B) authorizing permissive intervention. Although the Ponces’ claim and Solon’s wrongful death action “have a question of law or fact in common,” SCRA 1986, 1-024(B), the question (answered negatively by the trial court) remains: Does the Ponces’ proposed complaint in intervention state a legally sufficient common law claim, independent of the wrongful death act, for the economic loss and loss of consortium they suffered from the death of their son, which was caused by the alleged negligence of defendant WEK Drilling? It is to this dispositive question that we now turn.</w:t>
      </w:r>
    </w:p>
    <w:p w14:paraId="10CAC57C"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III.</w:t>
      </w:r>
    </w:p>
    <w:p w14:paraId="4E06D2A1"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In New Mexico, </w:t>
      </w:r>
      <w:r w:rsidRPr="000F6009">
        <w:rPr>
          <w:rFonts w:ascii="Times New Roman" w:eastAsia="Times New Roman" w:hAnsi="Times New Roman" w:cs="Times New Roman"/>
          <w:sz w:val="24"/>
          <w:szCs w:val="24"/>
          <w:highlight w:val="green"/>
          <w:lang w:eastAsia="en-AU"/>
        </w:rPr>
        <w:t xml:space="preserve">negligence encompasses the concepts of foreseeability of harm to the person injured and of a duty of care </w:t>
      </w:r>
      <w:r w:rsidRPr="000F6009">
        <w:rPr>
          <w:rFonts w:ascii="Times New Roman" w:eastAsia="Times New Roman" w:hAnsi="Times New Roman" w:cs="Times New Roman"/>
          <w:i/>
          <w:iCs/>
          <w:sz w:val="24"/>
          <w:szCs w:val="24"/>
          <w:highlight w:val="green"/>
          <w:lang w:eastAsia="en-AU"/>
        </w:rPr>
        <w:t>toward that person</w:t>
      </w:r>
      <w:r w:rsidRPr="000F6009">
        <w:rPr>
          <w:rFonts w:ascii="Times New Roman" w:eastAsia="Times New Roman" w:hAnsi="Times New Roman" w:cs="Times New Roman"/>
          <w:i/>
          <w:iCs/>
          <w:sz w:val="24"/>
          <w:szCs w:val="24"/>
          <w:lang w:eastAsia="en-AU"/>
        </w:rPr>
        <w:t xml:space="preserve"> </w:t>
      </w:r>
      <w:r w:rsidRPr="000F6009">
        <w:rPr>
          <w:rFonts w:ascii="Times New Roman" w:eastAsia="Times New Roman" w:hAnsi="Times New Roman" w:cs="Times New Roman"/>
          <w:sz w:val="24"/>
          <w:szCs w:val="24"/>
          <w:lang w:eastAsia="en-AU"/>
        </w:rPr>
        <w:t>* * * *</w:t>
      </w:r>
    </w:p>
    <w:p w14:paraId="76CB473F"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Duty and foreseeability have been closely integrated concepts in tort law since the court in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 stated the issue of foreseeability in terms of duty. </w:t>
      </w:r>
      <w:r w:rsidRPr="000F6009">
        <w:rPr>
          <w:rFonts w:ascii="Times New Roman" w:eastAsia="Times New Roman" w:hAnsi="Times New Roman" w:cs="Times New Roman"/>
          <w:sz w:val="24"/>
          <w:szCs w:val="24"/>
          <w:highlight w:val="green"/>
          <w:lang w:eastAsia="en-AU"/>
        </w:rPr>
        <w:t xml:space="preserve">If it is found that a plaintiff, and injury to that plaintiff, were foreseeable, then a duty is owed </w:t>
      </w:r>
      <w:r w:rsidRPr="000F6009">
        <w:rPr>
          <w:rFonts w:ascii="Times New Roman" w:eastAsia="Times New Roman" w:hAnsi="Times New Roman" w:cs="Times New Roman"/>
          <w:i/>
          <w:iCs/>
          <w:sz w:val="24"/>
          <w:szCs w:val="24"/>
          <w:highlight w:val="green"/>
          <w:lang w:eastAsia="en-AU"/>
        </w:rPr>
        <w:t xml:space="preserve">to that plaintiff </w:t>
      </w:r>
      <w:r w:rsidRPr="000F6009">
        <w:rPr>
          <w:rFonts w:ascii="Times New Roman" w:eastAsia="Times New Roman" w:hAnsi="Times New Roman" w:cs="Times New Roman"/>
          <w:sz w:val="24"/>
          <w:szCs w:val="24"/>
          <w:highlight w:val="green"/>
          <w:lang w:eastAsia="en-AU"/>
        </w:rPr>
        <w:t>by the defendant.</w:t>
      </w:r>
    </w:p>
    <w:p w14:paraId="6F793724" w14:textId="70C93602"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i/>
          <w:iCs/>
          <w:sz w:val="24"/>
          <w:szCs w:val="24"/>
          <w:highlight w:val="cyan"/>
          <w:lang w:eastAsia="en-AU"/>
        </w:rPr>
        <w:t xml:space="preserve">Ramirez v. Armstrong, </w:t>
      </w:r>
      <w:r w:rsidRPr="000F6009">
        <w:rPr>
          <w:rFonts w:ascii="Times New Roman" w:eastAsia="Times New Roman" w:hAnsi="Times New Roman" w:cs="Times New Roman"/>
          <w:color w:val="0000FF"/>
          <w:sz w:val="24"/>
          <w:szCs w:val="24"/>
          <w:highlight w:val="cyan"/>
          <w:u w:val="single"/>
          <w:lang w:eastAsia="en-AU"/>
        </w:rPr>
        <w:t>100 N.M. 538</w:t>
      </w:r>
      <w:r w:rsidRPr="000F6009">
        <w:rPr>
          <w:rFonts w:ascii="Times New Roman" w:eastAsia="Times New Roman" w:hAnsi="Times New Roman" w:cs="Times New Roman"/>
          <w:sz w:val="24"/>
          <w:szCs w:val="24"/>
          <w:highlight w:val="cyan"/>
          <w:lang w:eastAsia="en-AU"/>
        </w:rPr>
        <w:t xml:space="preserve">, 541, </w:t>
      </w:r>
      <w:hyperlink r:id="rId11" w:history="1">
        <w:r w:rsidRPr="000F6009">
          <w:rPr>
            <w:rFonts w:ascii="Times New Roman" w:eastAsia="Times New Roman" w:hAnsi="Times New Roman" w:cs="Times New Roman"/>
            <w:color w:val="0000FF"/>
            <w:sz w:val="24"/>
            <w:szCs w:val="24"/>
            <w:highlight w:val="cyan"/>
            <w:u w:val="single"/>
            <w:lang w:eastAsia="en-AU"/>
          </w:rPr>
          <w:t>673 P.2d 822</w:t>
        </w:r>
      </w:hyperlink>
      <w:r w:rsidRPr="000F6009">
        <w:rPr>
          <w:rFonts w:ascii="Times New Roman" w:eastAsia="Times New Roman" w:hAnsi="Times New Roman" w:cs="Times New Roman"/>
          <w:sz w:val="24"/>
          <w:szCs w:val="24"/>
          <w:highlight w:val="cyan"/>
          <w:lang w:eastAsia="en-AU"/>
        </w:rPr>
        <w:t>, 825 (1983)</w:t>
      </w:r>
      <w:r w:rsidRPr="000F6009">
        <w:rPr>
          <w:rFonts w:ascii="Times New Roman" w:eastAsia="Times New Roman" w:hAnsi="Times New Roman" w:cs="Times New Roman"/>
          <w:sz w:val="24"/>
          <w:szCs w:val="24"/>
          <w:lang w:eastAsia="en-AU"/>
        </w:rPr>
        <w:t xml:space="preserve"> (emphasis added). </w:t>
      </w:r>
      <w:r w:rsidRPr="000F6009">
        <w:rPr>
          <w:rFonts w:ascii="Times New Roman" w:eastAsia="Times New Roman" w:hAnsi="Times New Roman" w:cs="Times New Roman"/>
          <w:i/>
          <w:iCs/>
          <w:sz w:val="24"/>
          <w:szCs w:val="24"/>
          <w:lang w:eastAsia="en-AU"/>
        </w:rPr>
        <w:t xml:space="preserve">See also </w:t>
      </w:r>
      <w:r w:rsidRPr="000F6009">
        <w:rPr>
          <w:rFonts w:ascii="Times New Roman" w:eastAsia="Times New Roman" w:hAnsi="Times New Roman" w:cs="Times New Roman"/>
          <w:i/>
          <w:iCs/>
          <w:sz w:val="24"/>
          <w:szCs w:val="24"/>
          <w:highlight w:val="cyan"/>
          <w:lang w:eastAsia="en-AU"/>
        </w:rPr>
        <w:t xml:space="preserve">Calkins v. Cox Estates, </w:t>
      </w:r>
      <w:r w:rsidRPr="000F6009">
        <w:rPr>
          <w:rFonts w:ascii="Times New Roman" w:eastAsia="Times New Roman" w:hAnsi="Times New Roman" w:cs="Times New Roman"/>
          <w:color w:val="0000FF"/>
          <w:sz w:val="24"/>
          <w:szCs w:val="24"/>
          <w:highlight w:val="cyan"/>
          <w:u w:val="single"/>
          <w:lang w:eastAsia="en-AU"/>
        </w:rPr>
        <w:t>110 N.M. 59</w:t>
      </w:r>
      <w:r w:rsidRPr="000F6009">
        <w:rPr>
          <w:rFonts w:ascii="Times New Roman" w:eastAsia="Times New Roman" w:hAnsi="Times New Roman" w:cs="Times New Roman"/>
          <w:sz w:val="24"/>
          <w:szCs w:val="24"/>
          <w:highlight w:val="cyan"/>
          <w:lang w:eastAsia="en-AU"/>
        </w:rPr>
        <w:t xml:space="preserve">, 61-62, </w:t>
      </w:r>
      <w:hyperlink r:id="rId12" w:history="1">
        <w:r w:rsidRPr="000F6009">
          <w:rPr>
            <w:rFonts w:ascii="Times New Roman" w:eastAsia="Times New Roman" w:hAnsi="Times New Roman" w:cs="Times New Roman"/>
            <w:color w:val="0000FF"/>
            <w:sz w:val="24"/>
            <w:szCs w:val="24"/>
            <w:highlight w:val="cyan"/>
            <w:u w:val="single"/>
            <w:lang w:eastAsia="en-AU"/>
          </w:rPr>
          <w:t>792 P.2d 36</w:t>
        </w:r>
      </w:hyperlink>
      <w:r w:rsidRPr="000F6009">
        <w:rPr>
          <w:rFonts w:ascii="Times New Roman" w:eastAsia="Times New Roman" w:hAnsi="Times New Roman" w:cs="Times New Roman"/>
          <w:sz w:val="24"/>
          <w:szCs w:val="24"/>
          <w:highlight w:val="cyan"/>
          <w:lang w:eastAsia="en-AU"/>
        </w:rPr>
        <w:t>, 38-39 (1990):</w:t>
      </w:r>
    </w:p>
    <w:p w14:paraId="184558A4"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In determining duty, it must be determined that the injured party was a foreseeable plaintiff — that he was within the zone of danger created by [the tortfeasor’s] actions; in other words, to whom was the duty owed?</w:t>
      </w:r>
    </w:p>
    <w:p w14:paraId="37664918"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 * * A duty to an individual is closely intertwined with the foreseeability of injury to </w:t>
      </w:r>
      <w:r w:rsidRPr="000F6009">
        <w:rPr>
          <w:rFonts w:ascii="Times New Roman" w:eastAsia="Times New Roman" w:hAnsi="Times New Roman" w:cs="Times New Roman"/>
          <w:i/>
          <w:iCs/>
          <w:sz w:val="24"/>
          <w:szCs w:val="24"/>
          <w:lang w:eastAsia="en-AU"/>
        </w:rPr>
        <w:t xml:space="preserve">that individual </w:t>
      </w:r>
      <w:r w:rsidRPr="000F6009">
        <w:rPr>
          <w:rFonts w:ascii="Times New Roman" w:eastAsia="Times New Roman" w:hAnsi="Times New Roman" w:cs="Times New Roman"/>
          <w:sz w:val="24"/>
          <w:szCs w:val="24"/>
          <w:lang w:eastAsia="en-AU"/>
        </w:rPr>
        <w:t xml:space="preserve">resulting from an activity conducted with less than reasonable care by the alleged tort-feasor. [Citing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and Palsgraf.]</w:t>
      </w:r>
    </w:p>
    <w:p w14:paraId="6A0EFC6D" w14:textId="65F64C9A"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Or, to quote Judge Cardozo’s famous aphorism in the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majority opinion: “Negligence in the air, so to speak, will not do.” 162 N.E. at 99 (quoting Frederick Pollock, </w:t>
      </w:r>
      <w:r w:rsidRPr="000F6009">
        <w:rPr>
          <w:rFonts w:ascii="Times New Roman" w:eastAsia="Times New Roman" w:hAnsi="Times New Roman" w:cs="Times New Roman"/>
          <w:i/>
          <w:iCs/>
          <w:sz w:val="24"/>
          <w:szCs w:val="24"/>
          <w:lang w:eastAsia="en-AU"/>
        </w:rPr>
        <w:t xml:space="preserve">Law of Torts </w:t>
      </w:r>
      <w:r w:rsidRPr="000F6009">
        <w:rPr>
          <w:rFonts w:ascii="Times New Roman" w:eastAsia="Times New Roman" w:hAnsi="Times New Roman" w:cs="Times New Roman"/>
          <w:sz w:val="24"/>
          <w:szCs w:val="24"/>
          <w:lang w:eastAsia="en-AU"/>
        </w:rPr>
        <w:t>455 (11th ed. 1920)).</w:t>
      </w:r>
    </w:p>
    <w:p w14:paraId="5BF6D237"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As an original matter, the law need not have evolved this way. It could have evolved along the lines suggested by Judge Andrews, dissenting in </w:t>
      </w:r>
      <w:r w:rsidRPr="000F6009">
        <w:rPr>
          <w:rFonts w:ascii="Times New Roman" w:eastAsia="Times New Roman" w:hAnsi="Times New Roman" w:cs="Times New Roman"/>
          <w:i/>
          <w:iCs/>
          <w:sz w:val="24"/>
          <w:szCs w:val="24"/>
          <w:lang w:eastAsia="en-AU"/>
        </w:rPr>
        <w:t>Palsgraf:</w:t>
      </w:r>
    </w:p>
    <w:p w14:paraId="26EB620C"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Every one owes to the world at large the duty of refraining from those acts that may unreasonably threaten the safety of others * * * * Not only is he wronged to whom harm might reasonably be expected to result, but he also who is in fact injured, even if he be outside what would generally be thought the danger zone.</w:t>
      </w:r>
    </w:p>
    <w:p w14:paraId="2F1D2693" w14:textId="4CAAF214"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162 N.E. at 103 (dissenting opinion). Or, as suggested by Dean Prosser, who has questioned </w:t>
      </w:r>
      <w:r w:rsidRPr="000F6009">
        <w:rPr>
          <w:rFonts w:ascii="Times New Roman" w:eastAsia="Times New Roman" w:hAnsi="Times New Roman" w:cs="Times New Roman"/>
          <w:color w:val="0000FF"/>
          <w:sz w:val="24"/>
          <w:szCs w:val="24"/>
          <w:u w:val="single"/>
          <w:lang w:eastAsia="en-AU"/>
        </w:rPr>
        <w:t>5</w:t>
      </w:r>
      <w:r w:rsidRPr="000F6009">
        <w:rPr>
          <w:rFonts w:ascii="Times New Roman" w:eastAsia="Times New Roman" w:hAnsi="Times New Roman" w:cs="Times New Roman"/>
          <w:sz w:val="24"/>
          <w:szCs w:val="24"/>
          <w:lang w:eastAsia="en-AU"/>
        </w:rPr>
        <w:t xml:space="preserve"> some of Judge Cardozo’s reasoning in </w:t>
      </w:r>
      <w:r w:rsidRPr="000F6009">
        <w:rPr>
          <w:rFonts w:ascii="Times New Roman" w:eastAsia="Times New Roman" w:hAnsi="Times New Roman" w:cs="Times New Roman"/>
          <w:i/>
          <w:iCs/>
          <w:sz w:val="24"/>
          <w:szCs w:val="24"/>
          <w:lang w:eastAsia="en-AU"/>
        </w:rPr>
        <w:t>Palsgraf:</w:t>
      </w:r>
    </w:p>
    <w:p w14:paraId="0C5DA26F"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As between an entirely innocent plaintiff and a defendant who admittedly has departed from the social standard of conduct, if only toward one individual, who should bear the loss? If the result is out of all proportion to the defendant’s fault, it can be no less out of proportion to the plaintiff’s entire innocence. If it is unjust to the defendant to make the defendant bear a loss which the defendant could not have foreseen, it is no less unjust to the plaintiff to make the plaintiff bear a loss which the plaintiff too could not have foreseen, and which is not even due to the plaintiff’s own negligence.</w:t>
      </w:r>
    </w:p>
    <w:p w14:paraId="7F2D254E"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W. Page Keeton </w:t>
      </w:r>
      <w:r w:rsidRPr="000F6009">
        <w:rPr>
          <w:rFonts w:ascii="Times New Roman" w:eastAsia="Times New Roman" w:hAnsi="Times New Roman" w:cs="Times New Roman"/>
          <w:i/>
          <w:iCs/>
          <w:sz w:val="24"/>
          <w:szCs w:val="24"/>
          <w:lang w:eastAsia="en-AU"/>
        </w:rPr>
        <w:t xml:space="preserve">et al., Prosser and Keeton on the Law of Torts </w:t>
      </w:r>
      <w:r w:rsidRPr="000F6009">
        <w:rPr>
          <w:rFonts w:ascii="Times New Roman" w:eastAsia="Times New Roman" w:hAnsi="Times New Roman" w:cs="Times New Roman"/>
          <w:sz w:val="24"/>
          <w:szCs w:val="24"/>
          <w:lang w:eastAsia="en-AU"/>
        </w:rPr>
        <w:t xml:space="preserve">§ 43, at 287 (5th ed. 1984) [hereinafter </w:t>
      </w:r>
      <w:r w:rsidRPr="000F6009">
        <w:rPr>
          <w:rFonts w:ascii="Times New Roman" w:eastAsia="Times New Roman" w:hAnsi="Times New Roman" w:cs="Times New Roman"/>
          <w:i/>
          <w:iCs/>
          <w:sz w:val="24"/>
          <w:szCs w:val="24"/>
          <w:lang w:eastAsia="en-AU"/>
        </w:rPr>
        <w:t xml:space="preserve">Prosser &amp; Keeton </w:t>
      </w:r>
      <w:r w:rsidRPr="000F6009">
        <w:rPr>
          <w:rFonts w:ascii="Times New Roman" w:eastAsia="Times New Roman" w:hAnsi="Times New Roman" w:cs="Times New Roman"/>
          <w:sz w:val="24"/>
          <w:szCs w:val="24"/>
          <w:lang w:eastAsia="en-AU"/>
        </w:rPr>
        <w:t xml:space="preserve">]. As Prosser observes, the problem is one of social policy: where to draw the line against otherwise unlimited liability. It has been fashionable in this country for many years now for courts and commentators to advocate a wide sweep of liability, based on the notion of loss spreading through devices such as prices, taxes, and insurance, </w:t>
      </w:r>
      <w:r w:rsidRPr="000F6009">
        <w:rPr>
          <w:rFonts w:ascii="Times New Roman" w:eastAsia="Times New Roman" w:hAnsi="Times New Roman" w:cs="Times New Roman"/>
          <w:i/>
          <w:iCs/>
          <w:sz w:val="24"/>
          <w:szCs w:val="24"/>
          <w:lang w:eastAsia="en-AU"/>
        </w:rPr>
        <w:t xml:space="preserve">see id., </w:t>
      </w:r>
      <w:r w:rsidRPr="000F6009">
        <w:rPr>
          <w:rFonts w:ascii="Times New Roman" w:eastAsia="Times New Roman" w:hAnsi="Times New Roman" w:cs="Times New Roman"/>
          <w:sz w:val="24"/>
          <w:szCs w:val="24"/>
          <w:lang w:eastAsia="en-AU"/>
        </w:rPr>
        <w:t>though in recent years perceptible opposition to this trend has been manifested through increasingly strident demands for “tort reform.”</w:t>
      </w:r>
    </w:p>
    <w:p w14:paraId="01FD2F41" w14:textId="4535D56A"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But we are not writing on a clean slate, and we do not perceive this case to be a good one in which to reexamine the social policy that limits a tortfeasor’s liability to the foreseeable plaintiff and excludes it </w:t>
      </w:r>
      <w:hyperlink r:id="rId13" w:anchor="p570" w:history="1">
        <w:r w:rsidRPr="000F6009">
          <w:rPr>
            <w:rFonts w:ascii="Times New Roman" w:eastAsia="Times New Roman" w:hAnsi="Times New Roman" w:cs="Times New Roman"/>
            <w:color w:val="0000FF"/>
            <w:sz w:val="24"/>
            <w:szCs w:val="24"/>
            <w:u w:val="single"/>
            <w:lang w:eastAsia="en-AU"/>
          </w:rPr>
          <w:t>*570</w:t>
        </w:r>
      </w:hyperlink>
      <w:r w:rsidRPr="000F6009">
        <w:rPr>
          <w:rFonts w:ascii="Times New Roman" w:eastAsia="Times New Roman" w:hAnsi="Times New Roman" w:cs="Times New Roman"/>
          <w:sz w:val="24"/>
          <w:szCs w:val="24"/>
          <w:lang w:eastAsia="en-AU"/>
        </w:rPr>
        <w:t xml:space="preserve">where the plaintiff is unforeseeable. That this in fact is the current state of the law in New Mexico is demonstrated by the statements in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and </w:t>
      </w:r>
      <w:r w:rsidRPr="000F6009">
        <w:rPr>
          <w:rFonts w:ascii="Times New Roman" w:eastAsia="Times New Roman" w:hAnsi="Times New Roman" w:cs="Times New Roman"/>
          <w:i/>
          <w:iCs/>
          <w:sz w:val="24"/>
          <w:szCs w:val="24"/>
          <w:lang w:eastAsia="en-AU"/>
        </w:rPr>
        <w:t xml:space="preserve">Calkins </w:t>
      </w:r>
      <w:r w:rsidRPr="000F6009">
        <w:rPr>
          <w:rFonts w:ascii="Times New Roman" w:eastAsia="Times New Roman" w:hAnsi="Times New Roman" w:cs="Times New Roman"/>
          <w:sz w:val="24"/>
          <w:szCs w:val="24"/>
          <w:lang w:eastAsia="en-AU"/>
        </w:rPr>
        <w:t xml:space="preserve">quoted above, as well as by other applicable authorities. </w:t>
      </w:r>
      <w:r w:rsidRPr="000F6009">
        <w:rPr>
          <w:rFonts w:ascii="Times New Roman" w:eastAsia="Times New Roman" w:hAnsi="Times New Roman" w:cs="Times New Roman"/>
          <w:i/>
          <w:iCs/>
          <w:sz w:val="24"/>
          <w:szCs w:val="24"/>
          <w:lang w:eastAsia="en-AU"/>
        </w:rPr>
        <w:t xml:space="preserve">See, e.g., </w:t>
      </w:r>
      <w:r w:rsidRPr="000F6009">
        <w:rPr>
          <w:rFonts w:ascii="Times New Roman" w:eastAsia="Times New Roman" w:hAnsi="Times New Roman" w:cs="Times New Roman"/>
          <w:i/>
          <w:iCs/>
          <w:sz w:val="24"/>
          <w:szCs w:val="24"/>
          <w:highlight w:val="cyan"/>
          <w:lang w:eastAsia="en-AU"/>
        </w:rPr>
        <w:t xml:space="preserve">Bober v. New Mexico State Fair, </w:t>
      </w:r>
      <w:r w:rsidRPr="000F6009">
        <w:rPr>
          <w:rFonts w:ascii="Times New Roman" w:eastAsia="Times New Roman" w:hAnsi="Times New Roman" w:cs="Times New Roman"/>
          <w:color w:val="0000FF"/>
          <w:sz w:val="24"/>
          <w:szCs w:val="24"/>
          <w:highlight w:val="cyan"/>
          <w:u w:val="single"/>
          <w:lang w:eastAsia="en-AU"/>
        </w:rPr>
        <w:t>111 N.M. 644</w:t>
      </w:r>
      <w:r w:rsidRPr="000F6009">
        <w:rPr>
          <w:rFonts w:ascii="Times New Roman" w:eastAsia="Times New Roman" w:hAnsi="Times New Roman" w:cs="Times New Roman"/>
          <w:sz w:val="24"/>
          <w:szCs w:val="24"/>
          <w:highlight w:val="cyan"/>
          <w:lang w:eastAsia="en-AU"/>
        </w:rPr>
        <w:t xml:space="preserve">, 647, </w:t>
      </w:r>
      <w:hyperlink r:id="rId14" w:history="1">
        <w:r w:rsidRPr="000F6009">
          <w:rPr>
            <w:rFonts w:ascii="Times New Roman" w:eastAsia="Times New Roman" w:hAnsi="Times New Roman" w:cs="Times New Roman"/>
            <w:color w:val="0000FF"/>
            <w:sz w:val="24"/>
            <w:szCs w:val="24"/>
            <w:highlight w:val="cyan"/>
            <w:u w:val="single"/>
            <w:lang w:eastAsia="en-AU"/>
          </w:rPr>
          <w:t>808 P.2d 614</w:t>
        </w:r>
      </w:hyperlink>
      <w:r w:rsidRPr="000F6009">
        <w:rPr>
          <w:rFonts w:ascii="Times New Roman" w:eastAsia="Times New Roman" w:hAnsi="Times New Roman" w:cs="Times New Roman"/>
          <w:sz w:val="24"/>
          <w:szCs w:val="24"/>
          <w:highlight w:val="cyan"/>
          <w:lang w:eastAsia="en-AU"/>
        </w:rPr>
        <w:t>, 617 (1991)</w:t>
      </w:r>
      <w:r w:rsidRPr="000F6009">
        <w:rPr>
          <w:rFonts w:ascii="Times New Roman" w:eastAsia="Times New Roman" w:hAnsi="Times New Roman" w:cs="Times New Roman"/>
          <w:sz w:val="24"/>
          <w:szCs w:val="24"/>
          <w:lang w:eastAsia="en-AU"/>
        </w:rPr>
        <w:t xml:space="preserve"> (owner or occupier of land has duty to persons who might be harmed by unsafe condition on the land); </w:t>
      </w:r>
      <w:r w:rsidRPr="000F6009">
        <w:rPr>
          <w:rFonts w:ascii="Times New Roman" w:eastAsia="Times New Roman" w:hAnsi="Times New Roman" w:cs="Times New Roman"/>
          <w:i/>
          <w:iCs/>
          <w:sz w:val="24"/>
          <w:szCs w:val="24"/>
          <w:lang w:eastAsia="en-AU"/>
        </w:rPr>
        <w:t xml:space="preserve">see also </w:t>
      </w:r>
      <w:r w:rsidRPr="000F6009">
        <w:rPr>
          <w:rFonts w:ascii="Times New Roman" w:eastAsia="Times New Roman" w:hAnsi="Times New Roman" w:cs="Times New Roman"/>
          <w:i/>
          <w:iCs/>
          <w:sz w:val="24"/>
          <w:szCs w:val="24"/>
          <w:highlight w:val="cyan"/>
          <w:lang w:eastAsia="en-AU"/>
        </w:rPr>
        <w:t xml:space="preserve">Klopp v. Wackenhut Corp., </w:t>
      </w:r>
      <w:r w:rsidRPr="000F6009">
        <w:rPr>
          <w:rFonts w:ascii="Times New Roman" w:eastAsia="Times New Roman" w:hAnsi="Times New Roman" w:cs="Times New Roman"/>
          <w:color w:val="0000FF"/>
          <w:sz w:val="24"/>
          <w:szCs w:val="24"/>
          <w:highlight w:val="cyan"/>
          <w:u w:val="single"/>
          <w:lang w:eastAsia="en-AU"/>
        </w:rPr>
        <w:t>113 N.M. 153</w:t>
      </w:r>
      <w:r w:rsidRPr="000F6009">
        <w:rPr>
          <w:rFonts w:ascii="Times New Roman" w:eastAsia="Times New Roman" w:hAnsi="Times New Roman" w:cs="Times New Roman"/>
          <w:sz w:val="24"/>
          <w:szCs w:val="24"/>
          <w:highlight w:val="cyan"/>
          <w:lang w:eastAsia="en-AU"/>
        </w:rPr>
        <w:t xml:space="preserve">, 159, </w:t>
      </w:r>
      <w:hyperlink r:id="rId15" w:history="1">
        <w:r w:rsidRPr="000F6009">
          <w:rPr>
            <w:rFonts w:ascii="Times New Roman" w:eastAsia="Times New Roman" w:hAnsi="Times New Roman" w:cs="Times New Roman"/>
            <w:color w:val="0000FF"/>
            <w:sz w:val="24"/>
            <w:szCs w:val="24"/>
            <w:highlight w:val="cyan"/>
            <w:u w:val="single"/>
            <w:lang w:eastAsia="en-AU"/>
          </w:rPr>
          <w:t>824 P.2d 293</w:t>
        </w:r>
      </w:hyperlink>
      <w:r w:rsidRPr="000F6009">
        <w:rPr>
          <w:rFonts w:ascii="Times New Roman" w:eastAsia="Times New Roman" w:hAnsi="Times New Roman" w:cs="Times New Roman"/>
          <w:sz w:val="24"/>
          <w:szCs w:val="24"/>
          <w:highlight w:val="cyan"/>
          <w:lang w:eastAsia="en-AU"/>
        </w:rPr>
        <w:t>, 299 (1992)</w:t>
      </w:r>
      <w:r w:rsidRPr="000F6009">
        <w:rPr>
          <w:rFonts w:ascii="Times New Roman" w:eastAsia="Times New Roman" w:hAnsi="Times New Roman" w:cs="Times New Roman"/>
          <w:sz w:val="24"/>
          <w:szCs w:val="24"/>
          <w:lang w:eastAsia="en-AU"/>
        </w:rPr>
        <w:t xml:space="preserve"> (quoting </w:t>
      </w:r>
      <w:r w:rsidRPr="000F6009">
        <w:rPr>
          <w:rFonts w:ascii="Times New Roman" w:eastAsia="Times New Roman" w:hAnsi="Times New Roman" w:cs="Times New Roman"/>
          <w:i/>
          <w:iCs/>
          <w:sz w:val="24"/>
          <w:szCs w:val="24"/>
          <w:lang w:eastAsia="en-AU"/>
        </w:rPr>
        <w:t xml:space="preserve">Cal-kins </w:t>
      </w:r>
      <w:r w:rsidRPr="000F6009">
        <w:rPr>
          <w:rFonts w:ascii="Times New Roman" w:eastAsia="Times New Roman" w:hAnsi="Times New Roman" w:cs="Times New Roman"/>
          <w:sz w:val="24"/>
          <w:szCs w:val="24"/>
          <w:lang w:eastAsia="en-AU"/>
        </w:rPr>
        <w:t xml:space="preserve">and holding airline had duty to guard against unreasonable risk of danger to passenger in airport terminal); </w:t>
      </w:r>
      <w:r w:rsidRPr="000F6009">
        <w:rPr>
          <w:rFonts w:ascii="Times New Roman" w:eastAsia="Times New Roman" w:hAnsi="Times New Roman" w:cs="Times New Roman"/>
          <w:i/>
          <w:iCs/>
          <w:sz w:val="24"/>
          <w:szCs w:val="24"/>
          <w:highlight w:val="cyan"/>
          <w:lang w:eastAsia="en-AU"/>
        </w:rPr>
        <w:t xml:space="preserve">Restatement (Second) of Torts </w:t>
      </w:r>
      <w:r w:rsidRPr="000F6009">
        <w:rPr>
          <w:rFonts w:ascii="Times New Roman" w:eastAsia="Times New Roman" w:hAnsi="Times New Roman" w:cs="Times New Roman"/>
          <w:sz w:val="24"/>
          <w:szCs w:val="24"/>
          <w:highlight w:val="cyan"/>
          <w:lang w:eastAsia="en-AU"/>
        </w:rPr>
        <w:t>§ 281(b) &amp; comment c (1965)</w:t>
      </w:r>
      <w:r w:rsidRPr="000F6009">
        <w:rPr>
          <w:rFonts w:ascii="Times New Roman" w:eastAsia="Times New Roman" w:hAnsi="Times New Roman" w:cs="Times New Roman"/>
          <w:sz w:val="24"/>
          <w:szCs w:val="24"/>
          <w:lang w:eastAsia="en-AU"/>
        </w:rPr>
        <w:t xml:space="preserve"> (actor is liable if actor’s conduct is negligent with respect to plaintiff or class of persons within which he is included; fact that actor’s conduct causes harm to person whom actor could not reasonably have anticipated injury does not make actor liable to person so injured); Fowler V. Harper </w:t>
      </w:r>
      <w:r w:rsidRPr="000F6009">
        <w:rPr>
          <w:rFonts w:ascii="Times New Roman" w:eastAsia="Times New Roman" w:hAnsi="Times New Roman" w:cs="Times New Roman"/>
          <w:i/>
          <w:iCs/>
          <w:sz w:val="24"/>
          <w:szCs w:val="24"/>
          <w:lang w:eastAsia="en-AU"/>
        </w:rPr>
        <w:t xml:space="preserve">et al., The Law of Torts </w:t>
      </w:r>
      <w:r w:rsidRPr="000F6009">
        <w:rPr>
          <w:rFonts w:ascii="Times New Roman" w:eastAsia="Times New Roman" w:hAnsi="Times New Roman" w:cs="Times New Roman"/>
          <w:sz w:val="24"/>
          <w:szCs w:val="24"/>
          <w:lang w:eastAsia="en-AU"/>
        </w:rPr>
        <w:t>§ 18.2, at 655 (2d ed. 1986) (prevailing view is that obligation to refrain from negligent conduct is owed only to those who are foreseeably endangered by the conduct).</w:t>
      </w:r>
    </w:p>
    <w:p w14:paraId="690A8549"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Despite this Court’s adoption in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of the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doctrine of negligence, defined as a breach of duty toward а. particular person or class of persons protected against an unreasonable risk of harm from an actor’s conduct,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itself stands for something of an exception to the doctrine. In that case we recognized a cause of action for negligent infliction of emotional distress in favor of bystanders (children who witnessed the accident in which their father was struck and killed), even though it could be said that the actor’s conduct was negligent toward the children’s father but not toward the children, who the actor had no reason to foresee would be present and emotionally distressed by witnessing their father’s death. As so viewed, the case may serve as an example of Prosser’s suggestion that “the foreseeability of harm to the plaintiff should be but one factor in determining the existence of a duty, and not always conclusive, and that situations will more or less inevitably arise which do not fit within any fixed and inflexible rule.” </w:t>
      </w:r>
      <w:r w:rsidRPr="000F6009">
        <w:rPr>
          <w:rFonts w:ascii="Times New Roman" w:eastAsia="Times New Roman" w:hAnsi="Times New Roman" w:cs="Times New Roman"/>
          <w:i/>
          <w:iCs/>
          <w:sz w:val="24"/>
          <w:szCs w:val="24"/>
          <w:lang w:eastAsia="en-AU"/>
        </w:rPr>
        <w:t xml:space="preserve">Prosser &amp; Keeton </w:t>
      </w:r>
      <w:r w:rsidRPr="000F6009">
        <w:rPr>
          <w:rFonts w:ascii="Times New Roman" w:eastAsia="Times New Roman" w:hAnsi="Times New Roman" w:cs="Times New Roman"/>
          <w:sz w:val="24"/>
          <w:szCs w:val="24"/>
          <w:lang w:eastAsia="en-AU"/>
        </w:rPr>
        <w:t>§ 43, at 288.</w:t>
      </w:r>
    </w:p>
    <w:p w14:paraId="53A835F6" w14:textId="383439CD"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In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the Court considered, in addition to the foreseeability of harm to the plaintiffs (the emotionally distressed children who actually witnessed their father’s death), the type of interest that was invaded by the tortfeasor’s conduct — the interest in freedom from severe emotional shock— and the relationship between the killed or injured victim of the accident and the plaintiffs — a marital or intimate familial relationship between the victim and the plaintiffs. Implementing the factor of foreseeability that the plaintiffs would be harmed, the Court adopted certain requirements for recovery: contemporaneous sensory perception of the accident, as contrasted with learning of the accident by other means or after its occurrence, and physical manifestation of, or injury to, the plaintiff accompanying or resulting from the emotional injury.</w:t>
      </w:r>
      <w:r w:rsidRPr="000F6009">
        <w:rPr>
          <w:rFonts w:ascii="Times New Roman" w:eastAsia="Times New Roman" w:hAnsi="Times New Roman" w:cs="Times New Roman"/>
          <w:color w:val="0000FF"/>
          <w:sz w:val="24"/>
          <w:szCs w:val="24"/>
          <w:u w:val="single"/>
          <w:lang w:eastAsia="en-AU"/>
        </w:rPr>
        <w:t>6</w:t>
      </w:r>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100 N.M. at 542, 673 P.2d at 825.</w:t>
      </w:r>
    </w:p>
    <w:p w14:paraId="772AF32F" w14:textId="239E088D"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In the present case, the would-be plaintiffs assert an invasion of two interests: their interest in economic security, which they allege was infringed by the loss of their son's contribution to their financial support; and deprivation of their son’s companionship, society, and affection — a loss of consortium. The first interest has received recent and explicit recognition by this Court, </w:t>
      </w:r>
      <w:r w:rsidRPr="000F6009">
        <w:rPr>
          <w:rFonts w:ascii="Times New Roman" w:eastAsia="Times New Roman" w:hAnsi="Times New Roman" w:cs="Times New Roman"/>
          <w:i/>
          <w:iCs/>
          <w:sz w:val="24"/>
          <w:szCs w:val="24"/>
          <w:lang w:eastAsia="en-AU"/>
        </w:rPr>
        <w:t xml:space="preserve">Lovelace Medical Center v. Mendez, </w:t>
      </w:r>
      <w:hyperlink r:id="rId16" w:history="1">
        <w:r w:rsidRPr="000F6009">
          <w:rPr>
            <w:rFonts w:ascii="Times New Roman" w:eastAsia="Times New Roman" w:hAnsi="Times New Roman" w:cs="Times New Roman"/>
            <w:color w:val="0000FF"/>
            <w:sz w:val="24"/>
            <w:szCs w:val="24"/>
            <w:u w:val="single"/>
            <w:lang w:eastAsia="en-AU"/>
          </w:rPr>
          <w:t>111 N.M. 336</w:t>
        </w:r>
      </w:hyperlink>
      <w:r w:rsidRPr="000F6009">
        <w:rPr>
          <w:rFonts w:ascii="Times New Roman" w:eastAsia="Times New Roman" w:hAnsi="Times New Roman" w:cs="Times New Roman"/>
          <w:sz w:val="24"/>
          <w:szCs w:val="24"/>
          <w:lang w:eastAsia="en-AU"/>
        </w:rPr>
        <w:t xml:space="preserve">, 343-45, </w:t>
      </w:r>
      <w:r w:rsidRPr="000F6009">
        <w:rPr>
          <w:rFonts w:ascii="Times New Roman" w:eastAsia="Times New Roman" w:hAnsi="Times New Roman" w:cs="Times New Roman"/>
          <w:color w:val="0000FF"/>
          <w:sz w:val="24"/>
          <w:szCs w:val="24"/>
          <w:u w:val="single"/>
          <w:lang w:eastAsia="en-AU"/>
        </w:rPr>
        <w:t>805 P.2d 603</w:t>
      </w:r>
      <w:r w:rsidRPr="000F6009">
        <w:rPr>
          <w:rFonts w:ascii="Times New Roman" w:eastAsia="Times New Roman" w:hAnsi="Times New Roman" w:cs="Times New Roman"/>
          <w:sz w:val="24"/>
          <w:szCs w:val="24"/>
          <w:lang w:eastAsia="en-AU"/>
        </w:rPr>
        <w:t xml:space="preserve">, 610-12 (1991), though in that case recovery of economic loss was afforded to a medical malpractice victim to whom the defendants’ duty to exercise ordinary care was admittedly breached. The Ponces’ claim for invasion of this interest is not particularly strong; as alleged in their complaint and as set forth in Alvino Ponce’s deposition, it consists of the loss of their son’s services in performing such tasks as repairing the roof, building a patio, cutting the grass, chopping wood, and repairing the family’s vehicles. There is no claim for loss of a specific monetary amount contributed to the family on a periodic basis. </w:t>
      </w:r>
      <w:r w:rsidRPr="000F6009">
        <w:rPr>
          <w:rFonts w:ascii="Times New Roman" w:eastAsia="Times New Roman" w:hAnsi="Times New Roman" w:cs="Times New Roman"/>
          <w:sz w:val="24"/>
          <w:szCs w:val="24"/>
          <w:highlight w:val="green"/>
          <w:lang w:eastAsia="en-AU"/>
        </w:rPr>
        <w:t>Nevertheless, we may assume, without deciding, that their claim would be sufficient to withstand a motion to dismiss, if other factors (namely, the factor of foreseeability) did not bar the claim.</w:t>
      </w:r>
    </w:p>
    <w:p w14:paraId="45C04397" w14:textId="29356A8F"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As for their claim for loss of consortium, they mount a vigorous effort to persuade this Court to depart from existing precedent precluding recognition of a claim for loss of consortium. They acknowledge, as they must, that current New Mexico law presents a formidable barrier to recovery for loss of consortium — spousal, filial, parental, or other. </w:t>
      </w:r>
      <w:r w:rsidRPr="000F6009">
        <w:rPr>
          <w:rFonts w:ascii="Times New Roman" w:eastAsia="Times New Roman" w:hAnsi="Times New Roman" w:cs="Times New Roman"/>
          <w:i/>
          <w:iCs/>
          <w:sz w:val="24"/>
          <w:szCs w:val="24"/>
          <w:lang w:eastAsia="en-AU"/>
        </w:rPr>
        <w:t xml:space="preserve">See </w:t>
      </w:r>
      <w:r w:rsidRPr="000F6009">
        <w:rPr>
          <w:rFonts w:ascii="Times New Roman" w:eastAsia="Times New Roman" w:hAnsi="Times New Roman" w:cs="Times New Roman"/>
          <w:i/>
          <w:iCs/>
          <w:sz w:val="24"/>
          <w:szCs w:val="24"/>
          <w:highlight w:val="cyan"/>
          <w:lang w:eastAsia="en-AU"/>
        </w:rPr>
        <w:t xml:space="preserve">Tondre v. Thurmond-Hollis-Thurmond, Inc., </w:t>
      </w:r>
      <w:hyperlink r:id="rId17" w:history="1">
        <w:r w:rsidRPr="000F6009">
          <w:rPr>
            <w:rFonts w:ascii="Times New Roman" w:eastAsia="Times New Roman" w:hAnsi="Times New Roman" w:cs="Times New Roman"/>
            <w:color w:val="0000FF"/>
            <w:sz w:val="24"/>
            <w:szCs w:val="24"/>
            <w:highlight w:val="cyan"/>
            <w:u w:val="single"/>
            <w:lang w:eastAsia="en-AU"/>
          </w:rPr>
          <w:t>103 N.M. 292</w:t>
        </w:r>
      </w:hyperlink>
      <w:r w:rsidRPr="000F6009">
        <w:rPr>
          <w:rFonts w:ascii="Times New Roman" w:eastAsia="Times New Roman" w:hAnsi="Times New Roman" w:cs="Times New Roman"/>
          <w:sz w:val="24"/>
          <w:szCs w:val="24"/>
          <w:highlight w:val="cyan"/>
          <w:lang w:eastAsia="en-AU"/>
        </w:rPr>
        <w:t xml:space="preserve">, 293, </w:t>
      </w:r>
      <w:r w:rsidRPr="000F6009">
        <w:rPr>
          <w:rFonts w:ascii="Times New Roman" w:eastAsia="Times New Roman" w:hAnsi="Times New Roman" w:cs="Times New Roman"/>
          <w:color w:val="0000FF"/>
          <w:sz w:val="24"/>
          <w:szCs w:val="24"/>
          <w:highlight w:val="cyan"/>
          <w:u w:val="single"/>
          <w:lang w:eastAsia="en-AU"/>
        </w:rPr>
        <w:t>706 P.2d 156</w:t>
      </w:r>
      <w:r w:rsidRPr="000F6009">
        <w:rPr>
          <w:rFonts w:ascii="Times New Roman" w:eastAsia="Times New Roman" w:hAnsi="Times New Roman" w:cs="Times New Roman"/>
          <w:sz w:val="24"/>
          <w:szCs w:val="24"/>
          <w:highlight w:val="cyan"/>
          <w:lang w:eastAsia="en-AU"/>
        </w:rPr>
        <w:t>, 157 (1985)</w:t>
      </w:r>
      <w:r w:rsidRPr="000F6009">
        <w:rPr>
          <w:rFonts w:ascii="Times New Roman" w:eastAsia="Times New Roman" w:hAnsi="Times New Roman" w:cs="Times New Roman"/>
          <w:sz w:val="24"/>
          <w:szCs w:val="24"/>
          <w:lang w:eastAsia="en-AU"/>
        </w:rPr>
        <w:t xml:space="preserve"> (refusing to recognize wife’s claim for loss of spousal consortium caused by negligent injury to husband); </w:t>
      </w:r>
      <w:r w:rsidRPr="000F6009">
        <w:rPr>
          <w:rFonts w:ascii="Times New Roman" w:eastAsia="Times New Roman" w:hAnsi="Times New Roman" w:cs="Times New Roman"/>
          <w:i/>
          <w:iCs/>
          <w:sz w:val="24"/>
          <w:szCs w:val="24"/>
          <w:highlight w:val="cyan"/>
          <w:lang w:eastAsia="en-AU"/>
        </w:rPr>
        <w:t xml:space="preserve">Roseberry v. Starkovick, </w:t>
      </w:r>
      <w:hyperlink r:id="rId18" w:history="1">
        <w:r w:rsidRPr="000F6009">
          <w:rPr>
            <w:rFonts w:ascii="Times New Roman" w:eastAsia="Times New Roman" w:hAnsi="Times New Roman" w:cs="Times New Roman"/>
            <w:color w:val="0000FF"/>
            <w:sz w:val="24"/>
            <w:szCs w:val="24"/>
            <w:highlight w:val="cyan"/>
            <w:u w:val="single"/>
            <w:lang w:eastAsia="en-AU"/>
          </w:rPr>
          <w:t>73 N.M. 211</w:t>
        </w:r>
      </w:hyperlink>
      <w:r w:rsidRPr="000F6009">
        <w:rPr>
          <w:rFonts w:ascii="Times New Roman" w:eastAsia="Times New Roman" w:hAnsi="Times New Roman" w:cs="Times New Roman"/>
          <w:sz w:val="24"/>
          <w:szCs w:val="24"/>
          <w:highlight w:val="cyan"/>
          <w:lang w:eastAsia="en-AU"/>
        </w:rPr>
        <w:t xml:space="preserve">, 218, </w:t>
      </w:r>
      <w:r w:rsidRPr="000F6009">
        <w:rPr>
          <w:rFonts w:ascii="Times New Roman" w:eastAsia="Times New Roman" w:hAnsi="Times New Roman" w:cs="Times New Roman"/>
          <w:color w:val="0000FF"/>
          <w:sz w:val="24"/>
          <w:szCs w:val="24"/>
          <w:highlight w:val="cyan"/>
          <w:u w:val="single"/>
          <w:lang w:eastAsia="en-AU"/>
        </w:rPr>
        <w:t>387 P.2d 321</w:t>
      </w:r>
      <w:r w:rsidRPr="000F6009">
        <w:rPr>
          <w:rFonts w:ascii="Times New Roman" w:eastAsia="Times New Roman" w:hAnsi="Times New Roman" w:cs="Times New Roman"/>
          <w:sz w:val="24"/>
          <w:szCs w:val="24"/>
          <w:highlight w:val="cyan"/>
          <w:lang w:eastAsia="en-AU"/>
        </w:rPr>
        <w:t>, 326-27 (1963)</w:t>
      </w:r>
      <w:r w:rsidRPr="000F6009">
        <w:rPr>
          <w:rFonts w:ascii="Times New Roman" w:eastAsia="Times New Roman" w:hAnsi="Times New Roman" w:cs="Times New Roman"/>
          <w:sz w:val="24"/>
          <w:szCs w:val="24"/>
          <w:lang w:eastAsia="en-AU"/>
        </w:rPr>
        <w:t xml:space="preserve"> (affirming dismissal of wife’s action for loss of spousal consortium caused by negligent injury to husband); </w:t>
      </w:r>
      <w:r w:rsidRPr="000F6009">
        <w:rPr>
          <w:rFonts w:ascii="Times New Roman" w:eastAsia="Times New Roman" w:hAnsi="Times New Roman" w:cs="Times New Roman"/>
          <w:i/>
          <w:iCs/>
          <w:sz w:val="24"/>
          <w:szCs w:val="24"/>
          <w:highlight w:val="cyan"/>
          <w:lang w:eastAsia="en-AU"/>
        </w:rPr>
        <w:t xml:space="preserve">Wilson v. Galt, </w:t>
      </w:r>
      <w:hyperlink r:id="rId19" w:history="1">
        <w:r w:rsidRPr="000F6009">
          <w:rPr>
            <w:rFonts w:ascii="Times New Roman" w:eastAsia="Times New Roman" w:hAnsi="Times New Roman" w:cs="Times New Roman"/>
            <w:color w:val="0000FF"/>
            <w:sz w:val="24"/>
            <w:szCs w:val="24"/>
            <w:highlight w:val="cyan"/>
            <w:u w:val="single"/>
            <w:lang w:eastAsia="en-AU"/>
          </w:rPr>
          <w:t>100 N.M. 227</w:t>
        </w:r>
      </w:hyperlink>
      <w:r w:rsidRPr="000F6009">
        <w:rPr>
          <w:rFonts w:ascii="Times New Roman" w:eastAsia="Times New Roman" w:hAnsi="Times New Roman" w:cs="Times New Roman"/>
          <w:sz w:val="24"/>
          <w:szCs w:val="24"/>
          <w:highlight w:val="cyan"/>
          <w:lang w:eastAsia="en-AU"/>
        </w:rPr>
        <w:t xml:space="preserve">, 235, </w:t>
      </w:r>
      <w:r w:rsidRPr="000F6009">
        <w:rPr>
          <w:rFonts w:ascii="Times New Roman" w:eastAsia="Times New Roman" w:hAnsi="Times New Roman" w:cs="Times New Roman"/>
          <w:color w:val="0000FF"/>
          <w:sz w:val="24"/>
          <w:szCs w:val="24"/>
          <w:highlight w:val="cyan"/>
          <w:u w:val="single"/>
          <w:lang w:eastAsia="en-AU"/>
        </w:rPr>
        <w:t>668 P.2d 1104</w:t>
      </w:r>
      <w:r w:rsidRPr="000F6009">
        <w:rPr>
          <w:rFonts w:ascii="Times New Roman" w:eastAsia="Times New Roman" w:hAnsi="Times New Roman" w:cs="Times New Roman"/>
          <w:sz w:val="24"/>
          <w:szCs w:val="24"/>
          <w:highlight w:val="cyan"/>
          <w:lang w:eastAsia="en-AU"/>
        </w:rPr>
        <w:t>, 1112 (Ct.App.)</w:t>
      </w:r>
      <w:r w:rsidRPr="000F6009">
        <w:rPr>
          <w:rFonts w:ascii="Times New Roman" w:eastAsia="Times New Roman" w:hAnsi="Times New Roman" w:cs="Times New Roman"/>
          <w:sz w:val="24"/>
          <w:szCs w:val="24"/>
          <w:lang w:eastAsia="en-AU"/>
        </w:rPr>
        <w:t xml:space="preserve"> (denying parents’ claim for loss of filial consortium resulting from doctors’ negligent treatment of their infant son), </w:t>
      </w:r>
      <w:r w:rsidRPr="000F6009">
        <w:rPr>
          <w:rFonts w:ascii="Times New Roman" w:eastAsia="Times New Roman" w:hAnsi="Times New Roman" w:cs="Times New Roman"/>
          <w:i/>
          <w:iCs/>
          <w:sz w:val="24"/>
          <w:szCs w:val="24"/>
          <w:lang w:eastAsia="en-AU"/>
        </w:rPr>
        <w:t xml:space="preserve">cert. quashed, </w:t>
      </w:r>
      <w:hyperlink r:id="rId20" w:history="1">
        <w:r w:rsidRPr="000F6009">
          <w:rPr>
            <w:rFonts w:ascii="Times New Roman" w:eastAsia="Times New Roman" w:hAnsi="Times New Roman" w:cs="Times New Roman"/>
            <w:color w:val="0000FF"/>
            <w:sz w:val="24"/>
            <w:szCs w:val="24"/>
            <w:u w:val="single"/>
            <w:lang w:eastAsia="en-AU"/>
          </w:rPr>
          <w:t>100 N.M. 192</w:t>
        </w:r>
      </w:hyperlink>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color w:val="0000FF"/>
          <w:sz w:val="24"/>
          <w:szCs w:val="24"/>
          <w:u w:val="single"/>
          <w:lang w:eastAsia="en-AU"/>
        </w:rPr>
        <w:t>668 P.2d 308</w:t>
      </w:r>
      <w:r w:rsidRPr="000F6009">
        <w:rPr>
          <w:rFonts w:ascii="Times New Roman" w:eastAsia="Times New Roman" w:hAnsi="Times New Roman" w:cs="Times New Roman"/>
          <w:sz w:val="24"/>
          <w:szCs w:val="24"/>
          <w:lang w:eastAsia="en-AU"/>
        </w:rPr>
        <w:t xml:space="preserve"> (1983); </w:t>
      </w:r>
      <w:r w:rsidRPr="000F6009">
        <w:rPr>
          <w:rFonts w:ascii="Times New Roman" w:eastAsia="Times New Roman" w:hAnsi="Times New Roman" w:cs="Times New Roman"/>
          <w:i/>
          <w:iCs/>
          <w:sz w:val="24"/>
          <w:szCs w:val="24"/>
          <w:highlight w:val="cyan"/>
          <w:lang w:eastAsia="en-AU"/>
        </w:rPr>
        <w:t xml:space="preserve">Wilson v. Wylie, </w:t>
      </w:r>
      <w:hyperlink r:id="rId21" w:history="1">
        <w:r w:rsidRPr="000F6009">
          <w:rPr>
            <w:rFonts w:ascii="Times New Roman" w:eastAsia="Times New Roman" w:hAnsi="Times New Roman" w:cs="Times New Roman"/>
            <w:color w:val="0000FF"/>
            <w:sz w:val="24"/>
            <w:szCs w:val="24"/>
            <w:highlight w:val="cyan"/>
            <w:u w:val="single"/>
            <w:lang w:eastAsia="en-AU"/>
          </w:rPr>
          <w:t>86 N.M. 9</w:t>
        </w:r>
      </w:hyperlink>
      <w:r w:rsidRPr="000F6009">
        <w:rPr>
          <w:rFonts w:ascii="Times New Roman" w:eastAsia="Times New Roman" w:hAnsi="Times New Roman" w:cs="Times New Roman"/>
          <w:sz w:val="24"/>
          <w:szCs w:val="24"/>
          <w:highlight w:val="cyan"/>
          <w:lang w:eastAsia="en-AU"/>
        </w:rPr>
        <w:t xml:space="preserve">, 16, </w:t>
      </w:r>
      <w:r w:rsidRPr="000F6009">
        <w:rPr>
          <w:rFonts w:ascii="Times New Roman" w:eastAsia="Times New Roman" w:hAnsi="Times New Roman" w:cs="Times New Roman"/>
          <w:color w:val="0000FF"/>
          <w:sz w:val="24"/>
          <w:szCs w:val="24"/>
          <w:highlight w:val="cyan"/>
          <w:u w:val="single"/>
          <w:lang w:eastAsia="en-AU"/>
        </w:rPr>
        <w:t>518 P.2d 1213</w:t>
      </w:r>
      <w:r w:rsidRPr="000F6009">
        <w:rPr>
          <w:rFonts w:ascii="Times New Roman" w:eastAsia="Times New Roman" w:hAnsi="Times New Roman" w:cs="Times New Roman"/>
          <w:sz w:val="24"/>
          <w:szCs w:val="24"/>
          <w:highlight w:val="cyan"/>
          <w:lang w:eastAsia="en-AU"/>
        </w:rPr>
        <w:t>, 1220 (Ct.App.1973)</w:t>
      </w:r>
      <w:r w:rsidRPr="000F6009">
        <w:rPr>
          <w:rFonts w:ascii="Times New Roman" w:eastAsia="Times New Roman" w:hAnsi="Times New Roman" w:cs="Times New Roman"/>
          <w:sz w:val="24"/>
          <w:szCs w:val="24"/>
          <w:lang w:eastAsia="en-AU"/>
        </w:rPr>
        <w:t xml:space="preserve"> (reversing award of $10,000 to parents for loss of society of child resulting from child’s negligently caused death), </w:t>
      </w:r>
      <w:r w:rsidRPr="000F6009">
        <w:rPr>
          <w:rFonts w:ascii="Times New Roman" w:eastAsia="Times New Roman" w:hAnsi="Times New Roman" w:cs="Times New Roman"/>
          <w:i/>
          <w:iCs/>
          <w:sz w:val="24"/>
          <w:szCs w:val="24"/>
          <w:lang w:eastAsia="en-AU"/>
        </w:rPr>
        <w:t xml:space="preserve">cert. denied, </w:t>
      </w:r>
      <w:hyperlink r:id="rId22" w:history="1">
        <w:r w:rsidRPr="000F6009">
          <w:rPr>
            <w:rFonts w:ascii="Times New Roman" w:eastAsia="Times New Roman" w:hAnsi="Times New Roman" w:cs="Times New Roman"/>
            <w:color w:val="0000FF"/>
            <w:sz w:val="24"/>
            <w:szCs w:val="24"/>
            <w:u w:val="single"/>
            <w:lang w:eastAsia="en-AU"/>
          </w:rPr>
          <w:t>86 N.M. 5</w:t>
        </w:r>
      </w:hyperlink>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color w:val="0000FF"/>
          <w:sz w:val="24"/>
          <w:szCs w:val="24"/>
          <w:u w:val="single"/>
          <w:lang w:eastAsia="en-AU"/>
        </w:rPr>
        <w:t>518 P.2d 1209</w:t>
      </w:r>
      <w:r w:rsidRPr="000F6009">
        <w:rPr>
          <w:rFonts w:ascii="Times New Roman" w:eastAsia="Times New Roman" w:hAnsi="Times New Roman" w:cs="Times New Roman"/>
          <w:sz w:val="24"/>
          <w:szCs w:val="24"/>
          <w:lang w:eastAsia="en-AU"/>
        </w:rPr>
        <w:t xml:space="preserve"> (1974); </w:t>
      </w:r>
      <w:r w:rsidRPr="000F6009">
        <w:rPr>
          <w:rFonts w:ascii="Times New Roman" w:eastAsia="Times New Roman" w:hAnsi="Times New Roman" w:cs="Times New Roman"/>
          <w:i/>
          <w:iCs/>
          <w:sz w:val="24"/>
          <w:szCs w:val="24"/>
          <w:highlight w:val="cyan"/>
          <w:lang w:eastAsia="en-AU"/>
        </w:rPr>
        <w:t xml:space="preserve">Hoskie v. United States, </w:t>
      </w:r>
      <w:hyperlink r:id="rId23" w:history="1">
        <w:r w:rsidRPr="000F6009">
          <w:rPr>
            <w:rFonts w:ascii="Times New Roman" w:eastAsia="Times New Roman" w:hAnsi="Times New Roman" w:cs="Times New Roman"/>
            <w:color w:val="0000FF"/>
            <w:sz w:val="24"/>
            <w:szCs w:val="24"/>
            <w:highlight w:val="cyan"/>
            <w:u w:val="single"/>
            <w:lang w:eastAsia="en-AU"/>
          </w:rPr>
          <w:t>666 F.2d 1353</w:t>
        </w:r>
      </w:hyperlink>
      <w:r w:rsidRPr="000F6009">
        <w:rPr>
          <w:rFonts w:ascii="Times New Roman" w:eastAsia="Times New Roman" w:hAnsi="Times New Roman" w:cs="Times New Roman"/>
          <w:sz w:val="24"/>
          <w:szCs w:val="24"/>
          <w:highlight w:val="cyan"/>
          <w:lang w:eastAsia="en-AU"/>
        </w:rPr>
        <w:t>, 1359 (10th Cir.1981)</w:t>
      </w:r>
      <w:r w:rsidRPr="000F6009">
        <w:rPr>
          <w:rFonts w:ascii="Times New Roman" w:eastAsia="Times New Roman" w:hAnsi="Times New Roman" w:cs="Times New Roman"/>
          <w:sz w:val="24"/>
          <w:szCs w:val="24"/>
          <w:lang w:eastAsia="en-AU"/>
        </w:rPr>
        <w:t xml:space="preserve"> (under New Mexico law, parents not permitted, in negligence action, to recover for loss of consortium with their child); SCRA 1986, 13-2112 (Uniform Jury Instruction with respect to loss of consortium: “This is not a recognized cause of action in the state of New Mexico.”). </w:t>
      </w:r>
      <w:r w:rsidRPr="000F6009">
        <w:rPr>
          <w:rFonts w:ascii="Times New Roman" w:eastAsia="Times New Roman" w:hAnsi="Times New Roman" w:cs="Times New Roman"/>
          <w:i/>
          <w:iCs/>
          <w:sz w:val="24"/>
          <w:szCs w:val="24"/>
          <w:lang w:eastAsia="en-AU"/>
        </w:rPr>
        <w:t xml:space="preserve">But see Kilkenny v. Kenney, </w:t>
      </w:r>
      <w:r w:rsidRPr="000F6009">
        <w:rPr>
          <w:rFonts w:ascii="Times New Roman" w:eastAsia="Times New Roman" w:hAnsi="Times New Roman" w:cs="Times New Roman"/>
          <w:sz w:val="24"/>
          <w:szCs w:val="24"/>
          <w:lang w:eastAsia="en-AU"/>
        </w:rPr>
        <w:t>68 N.M. at 269-70, 361 P.2d at 151-52 (recognizing, in dictum, husband’s common law cause of action for loss of spousal consortium caused by negligent injury of wife prior to her death).</w:t>
      </w:r>
    </w:p>
    <w:p w14:paraId="7BEDD8E2"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We are not inclined to reexamine in this case the law in New Mexico disallowing recovery for loss of consortium, notwithstanding the Ponces’ earnest entreaties that we do so. </w:t>
      </w:r>
      <w:r w:rsidRPr="000F6009">
        <w:rPr>
          <w:rFonts w:ascii="Times New Roman" w:eastAsia="Times New Roman" w:hAnsi="Times New Roman" w:cs="Times New Roman"/>
          <w:sz w:val="24"/>
          <w:szCs w:val="24"/>
          <w:highlight w:val="green"/>
          <w:lang w:eastAsia="en-AU"/>
        </w:rPr>
        <w:t>For the factor — if it is a factor — or the prerequisite — if it is that— of foreseeability by WEK Drilling that its failure to maintain its drilling rig in a safe condition would cause harm to Ivan Ponce’s parents is just too glaringly absent to convince us to recognize a cause of action in their favor for redress of that harm. We may assume it is foreseeable that a 25-year-old employee of an independent contractor working on the drilling rig would have living parents, but is it foreseeable that he would reside with his parents, that there would be a close and loving relationship with them, and that they would be partially dependent on him for their economic support? These facts do not come as a surprise, but we certainly cannot say that financially dependent parents were foreseeable to WEK Drilling as a matter of law.</w:t>
      </w:r>
    </w:p>
    <w:p w14:paraId="6EA65EEB" w14:textId="6A1C616D"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It is thoroughly settled in New Mexico, of course, that whether the defendant owes a duty to the plaintiff is a question of law. </w:t>
      </w:r>
      <w:r w:rsidRPr="000F6009">
        <w:rPr>
          <w:rFonts w:ascii="Times New Roman" w:eastAsia="Times New Roman" w:hAnsi="Times New Roman" w:cs="Times New Roman"/>
          <w:i/>
          <w:iCs/>
          <w:sz w:val="24"/>
          <w:szCs w:val="24"/>
          <w:lang w:eastAsia="en-AU"/>
        </w:rPr>
        <w:t xml:space="preserve">E.g., Bober, </w:t>
      </w:r>
      <w:r w:rsidRPr="000F6009">
        <w:rPr>
          <w:rFonts w:ascii="Times New Roman" w:eastAsia="Times New Roman" w:hAnsi="Times New Roman" w:cs="Times New Roman"/>
          <w:sz w:val="24"/>
          <w:szCs w:val="24"/>
          <w:lang w:eastAsia="en-AU"/>
        </w:rPr>
        <w:t xml:space="preserve">111 N.M. at 650, 808 P.2d at 620 (citing </w:t>
      </w:r>
      <w:r w:rsidRPr="000F6009">
        <w:rPr>
          <w:rFonts w:ascii="Times New Roman" w:eastAsia="Times New Roman" w:hAnsi="Times New Roman" w:cs="Times New Roman"/>
          <w:i/>
          <w:iCs/>
          <w:sz w:val="24"/>
          <w:szCs w:val="24"/>
          <w:lang w:eastAsia="en-AU"/>
        </w:rPr>
        <w:t xml:space="preserve">Schear v. Board of County Comm’rs, </w:t>
      </w:r>
      <w:r w:rsidRPr="000F6009">
        <w:rPr>
          <w:rFonts w:ascii="Times New Roman" w:eastAsia="Times New Roman" w:hAnsi="Times New Roman" w:cs="Times New Roman"/>
          <w:color w:val="0000FF"/>
          <w:sz w:val="24"/>
          <w:szCs w:val="24"/>
          <w:u w:val="single"/>
          <w:lang w:eastAsia="en-AU"/>
        </w:rPr>
        <w:t>101 N.M. 671</w:t>
      </w:r>
      <w:r w:rsidRPr="000F6009">
        <w:rPr>
          <w:rFonts w:ascii="Times New Roman" w:eastAsia="Times New Roman" w:hAnsi="Times New Roman" w:cs="Times New Roman"/>
          <w:sz w:val="24"/>
          <w:szCs w:val="24"/>
          <w:lang w:eastAsia="en-AU"/>
        </w:rPr>
        <w:t xml:space="preserve">, 672, </w:t>
      </w:r>
      <w:hyperlink r:id="rId24" w:history="1">
        <w:r w:rsidRPr="000F6009">
          <w:rPr>
            <w:rFonts w:ascii="Times New Roman" w:eastAsia="Times New Roman" w:hAnsi="Times New Roman" w:cs="Times New Roman"/>
            <w:color w:val="0000FF"/>
            <w:sz w:val="24"/>
            <w:szCs w:val="24"/>
            <w:u w:val="single"/>
            <w:lang w:eastAsia="en-AU"/>
          </w:rPr>
          <w:t>687 P.2d 728</w:t>
        </w:r>
      </w:hyperlink>
      <w:r w:rsidRPr="000F6009">
        <w:rPr>
          <w:rFonts w:ascii="Times New Roman" w:eastAsia="Times New Roman" w:hAnsi="Times New Roman" w:cs="Times New Roman"/>
          <w:sz w:val="24"/>
          <w:szCs w:val="24"/>
          <w:lang w:eastAsia="en-AU"/>
        </w:rPr>
        <w:t xml:space="preserve">, 729 (1984)). </w:t>
      </w:r>
      <w:r w:rsidRPr="000F6009">
        <w:rPr>
          <w:rFonts w:ascii="Times New Roman" w:eastAsia="Times New Roman" w:hAnsi="Times New Roman" w:cs="Times New Roman"/>
          <w:sz w:val="24"/>
          <w:szCs w:val="24"/>
          <w:highlight w:val="green"/>
          <w:lang w:eastAsia="en-AU"/>
        </w:rPr>
        <w:t>We have no hesitancy in holding as a matter of law that the existence and interests of the Ponces and their relationship with their son were unforeseeable to defendant WEK Drilling.</w:t>
      </w:r>
      <w:r w:rsidRPr="000F6009">
        <w:rPr>
          <w:rFonts w:ascii="Times New Roman" w:eastAsia="Times New Roman" w:hAnsi="Times New Roman" w:cs="Times New Roman"/>
          <w:sz w:val="24"/>
          <w:szCs w:val="24"/>
          <w:lang w:eastAsia="en-AU"/>
        </w:rPr>
        <w:t xml:space="preserve"> While it is foreseeable that someone who is not provided a safe place to work will have living parents, the same can be said of the other relatives standing in an “intimate familial relationship” with a tort victim: his or her spouse, parent, child, grandparent, grandchild, brother, sister, and (in the case of a minor) others occupying a position in loco parentis. </w:t>
      </w:r>
      <w:r w:rsidRPr="000F6009">
        <w:rPr>
          <w:rFonts w:ascii="Times New Roman" w:eastAsia="Times New Roman" w:hAnsi="Times New Roman" w:cs="Times New Roman"/>
          <w:i/>
          <w:iCs/>
          <w:sz w:val="24"/>
          <w:szCs w:val="24"/>
          <w:lang w:eastAsia="en-AU"/>
        </w:rPr>
        <w:t xml:space="preserve">See Ramirez, </w:t>
      </w:r>
      <w:r w:rsidRPr="000F6009">
        <w:rPr>
          <w:rFonts w:ascii="Times New Roman" w:eastAsia="Times New Roman" w:hAnsi="Times New Roman" w:cs="Times New Roman"/>
          <w:sz w:val="24"/>
          <w:szCs w:val="24"/>
          <w:lang w:eastAsia="en-AU"/>
        </w:rPr>
        <w:t>100 N.M. at 541, 673 P.2d at 825. The social policy of cutting off the liability that would otherwise extend to these family members seems sound, at least in a case in which they allege no more palpable injury than that claimed here.</w:t>
      </w:r>
    </w:p>
    <w:p w14:paraId="7F945148" w14:textId="50CDF75B"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By nothing in this opinion do we either reaffirm or retreat from current New Mexico law on recovery for economic harm or on nonrecovery for loss of consortium by a victim to whom the tortfeasor’s duty to exercise ordinary care for the victim’s safety undeniably runs.</w:t>
      </w:r>
    </w:p>
    <w:p w14:paraId="77FF375B"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highlight w:val="red"/>
          <w:lang w:eastAsia="en-AU"/>
        </w:rPr>
        <w:t>The order denying the Ponces’ motion to intervene is affirmed.</w:t>
      </w:r>
    </w:p>
    <w:p w14:paraId="14FB962C"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IT IS SO ORDERED.</w:t>
      </w:r>
    </w:p>
    <w:p w14:paraId="12BCD00F"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BACA, J., concurs.</w:t>
      </w:r>
    </w:p>
    <w:p w14:paraId="70867A28"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RANSOM, C.J., specially concurs.</w:t>
      </w:r>
    </w:p>
    <w:p w14:paraId="72093EE6" w14:textId="72877D68"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color w:val="0000FF"/>
          <w:sz w:val="24"/>
          <w:szCs w:val="24"/>
          <w:u w:val="single"/>
          <w:lang w:eastAsia="en-AU"/>
        </w:rPr>
        <w:t>1</w:t>
      </w:r>
      <w:r w:rsidRPr="000F6009">
        <w:rPr>
          <w:rFonts w:ascii="Times New Roman" w:eastAsia="Times New Roman" w:hAnsi="Times New Roman" w:cs="Times New Roman"/>
          <w:sz w:val="24"/>
          <w:szCs w:val="24"/>
          <w:lang w:eastAsia="en-AU"/>
        </w:rPr>
        <w:t xml:space="preserve"> </w:t>
      </w:r>
    </w:p>
    <w:p w14:paraId="67BEECD2" w14:textId="6917DE65"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i/>
          <w:iCs/>
          <w:sz w:val="24"/>
          <w:szCs w:val="24"/>
          <w:lang w:eastAsia="en-AU"/>
        </w:rPr>
        <w:t xml:space="preserve">Palsgraf v. Long Island R.R., </w:t>
      </w:r>
      <w:hyperlink r:id="rId25" w:history="1">
        <w:r w:rsidRPr="000F6009">
          <w:rPr>
            <w:rFonts w:ascii="Times New Roman" w:eastAsia="Times New Roman" w:hAnsi="Times New Roman" w:cs="Times New Roman"/>
            <w:color w:val="0000FF"/>
            <w:sz w:val="24"/>
            <w:szCs w:val="24"/>
            <w:u w:val="single"/>
            <w:lang w:eastAsia="en-AU"/>
          </w:rPr>
          <w:t>248 N.Y. 339</w:t>
        </w:r>
      </w:hyperlink>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color w:val="0000FF"/>
          <w:sz w:val="24"/>
          <w:szCs w:val="24"/>
          <w:u w:val="single"/>
          <w:lang w:eastAsia="en-AU"/>
        </w:rPr>
        <w:t>162 N.E. 99</w:t>
      </w:r>
      <w:r w:rsidRPr="000F6009">
        <w:rPr>
          <w:rFonts w:ascii="Times New Roman" w:eastAsia="Times New Roman" w:hAnsi="Times New Roman" w:cs="Times New Roman"/>
          <w:sz w:val="24"/>
          <w:szCs w:val="24"/>
          <w:lang w:eastAsia="en-AU"/>
        </w:rPr>
        <w:t xml:space="preserve"> (1928). Appellate jurisdiction in this Comí is based on SCRA 1986, 12-102(A)(1), because the applicants’ proposed complaint in intervention contains a claim which "sounds in contract" — the claim that defendant breached an implied contractual duty to provide plaintiffs decedent a safe place to work.</w:t>
      </w:r>
    </w:p>
    <w:p w14:paraId="22902A74" w14:textId="77777777" w:rsidR="000F6009" w:rsidRPr="000F6009" w:rsidRDefault="006262C3" w:rsidP="000F6009">
      <w:pPr>
        <w:spacing w:after="0" w:line="240" w:lineRule="auto"/>
        <w:jc w:val="left"/>
        <w:rPr>
          <w:rFonts w:ascii="Times New Roman" w:eastAsia="Times New Roman" w:hAnsi="Times New Roman" w:cs="Times New Roman"/>
          <w:sz w:val="24"/>
          <w:szCs w:val="24"/>
          <w:lang w:eastAsia="en-AU"/>
        </w:rPr>
      </w:pPr>
      <w:hyperlink r:id="rId26" w:anchor="ref_footnote_1_2" w:history="1">
        <w:r w:rsidR="000F6009" w:rsidRPr="000F6009">
          <w:rPr>
            <w:rFonts w:ascii="Times New Roman" w:eastAsia="Times New Roman" w:hAnsi="Times New Roman" w:cs="Times New Roman"/>
            <w:color w:val="0000FF"/>
            <w:sz w:val="24"/>
            <w:szCs w:val="24"/>
            <w:u w:val="single"/>
            <w:lang w:eastAsia="en-AU"/>
          </w:rPr>
          <w:t>2</w:t>
        </w:r>
      </w:hyperlink>
      <w:r w:rsidR="000F6009" w:rsidRPr="000F6009">
        <w:rPr>
          <w:rFonts w:ascii="Times New Roman" w:eastAsia="Times New Roman" w:hAnsi="Times New Roman" w:cs="Times New Roman"/>
          <w:sz w:val="24"/>
          <w:szCs w:val="24"/>
          <w:lang w:eastAsia="en-AU"/>
        </w:rPr>
        <w:t xml:space="preserve"> </w:t>
      </w:r>
    </w:p>
    <w:p w14:paraId="0FB968C7"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Ivan died when an improperly secured counterweight on the boom of the drilling rig struck him on the head.</w:t>
      </w:r>
    </w:p>
    <w:p w14:paraId="56F55C74" w14:textId="64A3FB8B"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color w:val="0000FF"/>
          <w:sz w:val="24"/>
          <w:szCs w:val="24"/>
          <w:u w:val="single"/>
          <w:lang w:eastAsia="en-AU"/>
        </w:rPr>
        <w:t>3</w:t>
      </w:r>
      <w:r w:rsidRPr="000F6009">
        <w:rPr>
          <w:rFonts w:ascii="Times New Roman" w:eastAsia="Times New Roman" w:hAnsi="Times New Roman" w:cs="Times New Roman"/>
          <w:sz w:val="24"/>
          <w:szCs w:val="24"/>
          <w:lang w:eastAsia="en-AU"/>
        </w:rPr>
        <w:t xml:space="preserve"> </w:t>
      </w:r>
    </w:p>
    <w:p w14:paraId="1DE8B6E5"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 The court’s discretion under Rule 24(A), as the phrase "intervention of right” implies, is considerably narrower under paragraph A of the rule than it is under paragraph B. </w:t>
      </w:r>
      <w:r w:rsidRPr="000F6009">
        <w:rPr>
          <w:rFonts w:ascii="Times New Roman" w:eastAsia="Times New Roman" w:hAnsi="Times New Roman" w:cs="Times New Roman"/>
          <w:i/>
          <w:iCs/>
          <w:sz w:val="24"/>
          <w:szCs w:val="24"/>
          <w:lang w:eastAsia="en-AU"/>
        </w:rPr>
        <w:t xml:space="preserve">See Apodaca, </w:t>
      </w:r>
      <w:r w:rsidRPr="000F6009">
        <w:rPr>
          <w:rFonts w:ascii="Times New Roman" w:eastAsia="Times New Roman" w:hAnsi="Times New Roman" w:cs="Times New Roman"/>
          <w:sz w:val="24"/>
          <w:szCs w:val="24"/>
          <w:lang w:eastAsia="en-AU"/>
        </w:rPr>
        <w:t>86 N.M. at 133, 520 P.2d at 553. At the outset of the litigation, the scope of the court’s discretion under Rule 24(A) probably ranges from slight to nonexistent.</w:t>
      </w:r>
    </w:p>
    <w:p w14:paraId="03BD2020" w14:textId="77777777" w:rsidR="000F6009" w:rsidRPr="000F6009" w:rsidRDefault="006262C3" w:rsidP="000F6009">
      <w:pPr>
        <w:spacing w:after="0" w:line="240" w:lineRule="auto"/>
        <w:jc w:val="left"/>
        <w:rPr>
          <w:rFonts w:ascii="Times New Roman" w:eastAsia="Times New Roman" w:hAnsi="Times New Roman" w:cs="Times New Roman"/>
          <w:sz w:val="24"/>
          <w:szCs w:val="24"/>
          <w:lang w:eastAsia="en-AU"/>
        </w:rPr>
      </w:pPr>
      <w:hyperlink r:id="rId27" w:anchor="ref_footnote_1_4" w:history="1">
        <w:r w:rsidR="000F6009" w:rsidRPr="000F6009">
          <w:rPr>
            <w:rFonts w:ascii="Times New Roman" w:eastAsia="Times New Roman" w:hAnsi="Times New Roman" w:cs="Times New Roman"/>
            <w:color w:val="0000FF"/>
            <w:sz w:val="24"/>
            <w:szCs w:val="24"/>
            <w:u w:val="single"/>
            <w:lang w:eastAsia="en-AU"/>
          </w:rPr>
          <w:t>4</w:t>
        </w:r>
      </w:hyperlink>
      <w:r w:rsidR="000F6009" w:rsidRPr="000F6009">
        <w:rPr>
          <w:rFonts w:ascii="Times New Roman" w:eastAsia="Times New Roman" w:hAnsi="Times New Roman" w:cs="Times New Roman"/>
          <w:sz w:val="24"/>
          <w:szCs w:val="24"/>
          <w:lang w:eastAsia="en-AU"/>
        </w:rPr>
        <w:t xml:space="preserve"> </w:t>
      </w:r>
    </w:p>
    <w:p w14:paraId="09861032"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The Ponces did not attempt to intervene under Rule 24(A)(1) (providing for intervention of right "when a statute confers an unconditional right to intervene”), since no such statute was available.</w:t>
      </w:r>
    </w:p>
    <w:p w14:paraId="7727F3DA" w14:textId="5515A5EA" w:rsidR="000F6009" w:rsidRPr="000F6009" w:rsidRDefault="000F6009" w:rsidP="000F6009">
      <w:pPr>
        <w:spacing w:after="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color w:val="0000FF"/>
          <w:sz w:val="24"/>
          <w:szCs w:val="24"/>
          <w:u w:val="single"/>
          <w:lang w:eastAsia="en-AU"/>
        </w:rPr>
        <w:t>5</w:t>
      </w:r>
      <w:r w:rsidRPr="000F6009">
        <w:rPr>
          <w:rFonts w:ascii="Times New Roman" w:eastAsia="Times New Roman" w:hAnsi="Times New Roman" w:cs="Times New Roman"/>
          <w:sz w:val="24"/>
          <w:szCs w:val="24"/>
          <w:lang w:eastAsia="en-AU"/>
        </w:rPr>
        <w:t xml:space="preserve"> </w:t>
      </w:r>
    </w:p>
    <w:p w14:paraId="52C2DA0C"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 </w:t>
      </w:r>
      <w:r w:rsidRPr="000F6009">
        <w:rPr>
          <w:rFonts w:ascii="Times New Roman" w:eastAsia="Times New Roman" w:hAnsi="Times New Roman" w:cs="Times New Roman"/>
          <w:i/>
          <w:iCs/>
          <w:sz w:val="24"/>
          <w:szCs w:val="24"/>
          <w:lang w:eastAsia="en-AU"/>
        </w:rPr>
        <w:t xml:space="preserve">See generally </w:t>
      </w:r>
      <w:r w:rsidRPr="000F6009">
        <w:rPr>
          <w:rFonts w:ascii="Times New Roman" w:eastAsia="Times New Roman" w:hAnsi="Times New Roman" w:cs="Times New Roman"/>
          <w:sz w:val="24"/>
          <w:szCs w:val="24"/>
          <w:lang w:eastAsia="en-AU"/>
        </w:rPr>
        <w:t xml:space="preserve">William L. Prosser, </w:t>
      </w:r>
      <w:r w:rsidRPr="000F6009">
        <w:rPr>
          <w:rFonts w:ascii="Times New Roman" w:eastAsia="Times New Roman" w:hAnsi="Times New Roman" w:cs="Times New Roman"/>
          <w:i/>
          <w:iCs/>
          <w:sz w:val="24"/>
          <w:szCs w:val="24"/>
          <w:lang w:eastAsia="en-AU"/>
        </w:rPr>
        <w:t xml:space="preserve">Palsgraf Revisited, </w:t>
      </w:r>
      <w:r w:rsidRPr="000F6009">
        <w:rPr>
          <w:rFonts w:ascii="Times New Roman" w:eastAsia="Times New Roman" w:hAnsi="Times New Roman" w:cs="Times New Roman"/>
          <w:sz w:val="24"/>
          <w:szCs w:val="24"/>
          <w:lang w:eastAsia="en-AU"/>
        </w:rPr>
        <w:t>52 Mich.L.Rev. 1 (1953).</w:t>
      </w:r>
    </w:p>
    <w:p w14:paraId="1833CEE9" w14:textId="77777777" w:rsidR="000F6009" w:rsidRPr="000F6009" w:rsidRDefault="006262C3" w:rsidP="000F6009">
      <w:pPr>
        <w:spacing w:after="0" w:line="240" w:lineRule="auto"/>
        <w:jc w:val="left"/>
        <w:rPr>
          <w:rFonts w:ascii="Times New Roman" w:eastAsia="Times New Roman" w:hAnsi="Times New Roman" w:cs="Times New Roman"/>
          <w:sz w:val="24"/>
          <w:szCs w:val="24"/>
          <w:lang w:eastAsia="en-AU"/>
        </w:rPr>
      </w:pPr>
      <w:hyperlink r:id="rId28" w:anchor="ref_footnote_1_6" w:history="1">
        <w:r w:rsidR="000F6009" w:rsidRPr="000F6009">
          <w:rPr>
            <w:rFonts w:ascii="Times New Roman" w:eastAsia="Times New Roman" w:hAnsi="Times New Roman" w:cs="Times New Roman"/>
            <w:color w:val="0000FF"/>
            <w:sz w:val="24"/>
            <w:szCs w:val="24"/>
            <w:u w:val="single"/>
            <w:lang w:eastAsia="en-AU"/>
          </w:rPr>
          <w:t>6</w:t>
        </w:r>
      </w:hyperlink>
      <w:r w:rsidR="000F6009" w:rsidRPr="000F6009">
        <w:rPr>
          <w:rFonts w:ascii="Times New Roman" w:eastAsia="Times New Roman" w:hAnsi="Times New Roman" w:cs="Times New Roman"/>
          <w:sz w:val="24"/>
          <w:szCs w:val="24"/>
          <w:lang w:eastAsia="en-AU"/>
        </w:rPr>
        <w:t xml:space="preserve"> </w:t>
      </w:r>
    </w:p>
    <w:p w14:paraId="16957E3D" w14:textId="7EDB7D14"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 The requirement of physical manifestation was overruled in </w:t>
      </w:r>
      <w:r w:rsidRPr="000F6009">
        <w:rPr>
          <w:rFonts w:ascii="Times New Roman" w:eastAsia="Times New Roman" w:hAnsi="Times New Roman" w:cs="Times New Roman"/>
          <w:i/>
          <w:iCs/>
          <w:sz w:val="24"/>
          <w:szCs w:val="24"/>
          <w:lang w:eastAsia="en-AU"/>
        </w:rPr>
        <w:t xml:space="preserve">Folz v. State, </w:t>
      </w:r>
      <w:r w:rsidRPr="000F6009">
        <w:rPr>
          <w:rFonts w:ascii="Times New Roman" w:eastAsia="Times New Roman" w:hAnsi="Times New Roman" w:cs="Times New Roman"/>
          <w:color w:val="0000FF"/>
          <w:sz w:val="24"/>
          <w:szCs w:val="24"/>
          <w:u w:val="single"/>
          <w:lang w:eastAsia="en-AU"/>
        </w:rPr>
        <w:t>110 N.M. 457</w:t>
      </w:r>
      <w:r w:rsidRPr="000F6009">
        <w:rPr>
          <w:rFonts w:ascii="Times New Roman" w:eastAsia="Times New Roman" w:hAnsi="Times New Roman" w:cs="Times New Roman"/>
          <w:sz w:val="24"/>
          <w:szCs w:val="24"/>
          <w:lang w:eastAsia="en-AU"/>
        </w:rPr>
        <w:t xml:space="preserve">, 471, </w:t>
      </w:r>
      <w:hyperlink r:id="rId29" w:history="1">
        <w:r w:rsidRPr="000F6009">
          <w:rPr>
            <w:rFonts w:ascii="Times New Roman" w:eastAsia="Times New Roman" w:hAnsi="Times New Roman" w:cs="Times New Roman"/>
            <w:color w:val="0000FF"/>
            <w:sz w:val="24"/>
            <w:szCs w:val="24"/>
            <w:u w:val="single"/>
            <w:lang w:eastAsia="en-AU"/>
          </w:rPr>
          <w:t>797 P.2d 246</w:t>
        </w:r>
      </w:hyperlink>
      <w:r w:rsidRPr="000F6009">
        <w:rPr>
          <w:rFonts w:ascii="Times New Roman" w:eastAsia="Times New Roman" w:hAnsi="Times New Roman" w:cs="Times New Roman"/>
          <w:sz w:val="24"/>
          <w:szCs w:val="24"/>
          <w:lang w:eastAsia="en-AU"/>
        </w:rPr>
        <w:t>, 260 (1990).</w:t>
      </w:r>
    </w:p>
    <w:p w14:paraId="0018A97B"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RANSOM, Chief Justice</w:t>
      </w:r>
    </w:p>
    <w:p w14:paraId="4D2A7374"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(specially concurring).</w:t>
      </w:r>
    </w:p>
    <w:p w14:paraId="709C0394" w14:textId="36612C9F"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 concur specially to make the same point that I made in my dissent to </w:t>
      </w:r>
      <w:r w:rsidRPr="000F6009">
        <w:rPr>
          <w:rFonts w:ascii="Times New Roman" w:eastAsia="Times New Roman" w:hAnsi="Times New Roman" w:cs="Times New Roman"/>
          <w:i/>
          <w:iCs/>
          <w:sz w:val="24"/>
          <w:szCs w:val="24"/>
          <w:lang w:eastAsia="en-AU"/>
        </w:rPr>
        <w:t xml:space="preserve">Calkins v. Cox Estates, </w:t>
      </w:r>
      <w:r w:rsidRPr="000F6009">
        <w:rPr>
          <w:rFonts w:ascii="Times New Roman" w:eastAsia="Times New Roman" w:hAnsi="Times New Roman" w:cs="Times New Roman"/>
          <w:color w:val="0000FF"/>
          <w:sz w:val="24"/>
          <w:szCs w:val="24"/>
          <w:u w:val="single"/>
          <w:lang w:eastAsia="en-AU"/>
        </w:rPr>
        <w:t>110 N.M. 59</w:t>
      </w:r>
      <w:r w:rsidRPr="000F6009">
        <w:rPr>
          <w:rFonts w:ascii="Times New Roman" w:eastAsia="Times New Roman" w:hAnsi="Times New Roman" w:cs="Times New Roman"/>
          <w:sz w:val="24"/>
          <w:szCs w:val="24"/>
          <w:lang w:eastAsia="en-AU"/>
        </w:rPr>
        <w:t xml:space="preserve">, 66, </w:t>
      </w:r>
      <w:hyperlink r:id="rId30" w:history="1">
        <w:r w:rsidRPr="000F6009">
          <w:rPr>
            <w:rFonts w:ascii="Times New Roman" w:eastAsia="Times New Roman" w:hAnsi="Times New Roman" w:cs="Times New Roman"/>
            <w:color w:val="0000FF"/>
            <w:sz w:val="24"/>
            <w:szCs w:val="24"/>
            <w:u w:val="single"/>
            <w:lang w:eastAsia="en-AU"/>
          </w:rPr>
          <w:t>792 P.2d 36</w:t>
        </w:r>
      </w:hyperlink>
      <w:r w:rsidRPr="000F6009">
        <w:rPr>
          <w:rFonts w:ascii="Times New Roman" w:eastAsia="Times New Roman" w:hAnsi="Times New Roman" w:cs="Times New Roman"/>
          <w:sz w:val="24"/>
          <w:szCs w:val="24"/>
          <w:lang w:eastAsia="en-AU"/>
        </w:rPr>
        <w:t>, 43 (1990).</w:t>
      </w:r>
    </w:p>
    <w:p w14:paraId="2C423576"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I agree with the majority in the instant case that whether a duty was owed must be decided as a matter of law using existing legal policy. The crux of the duty analysis that is required, however, is not a factual foreseeability determination, but rather it is a legal policy determination. This distinction is critical. In New Mexico, as stated in the majority opinion, we define negligence as an act foreseeably involving an unreasonable risk to that individual who complains of injury. </w:t>
      </w:r>
      <w:r w:rsidRPr="000F6009">
        <w:rPr>
          <w:rFonts w:ascii="Times New Roman" w:eastAsia="Times New Roman" w:hAnsi="Times New Roman" w:cs="Times New Roman"/>
          <w:i/>
          <w:iCs/>
          <w:sz w:val="24"/>
          <w:szCs w:val="24"/>
          <w:lang w:eastAsia="en-AU"/>
        </w:rPr>
        <w:t xml:space="preserve">See also </w:t>
      </w:r>
      <w:r w:rsidRPr="000F6009">
        <w:rPr>
          <w:rFonts w:ascii="Times New Roman" w:eastAsia="Times New Roman" w:hAnsi="Times New Roman" w:cs="Times New Roman"/>
          <w:sz w:val="24"/>
          <w:szCs w:val="24"/>
          <w:lang w:eastAsia="en-AU"/>
        </w:rPr>
        <w:t xml:space="preserve">SCRA 1986, 13-601. Foreseeability is most often a question of fact and only rarely, as in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may foreseeability be considered a false jury issue. Most often, duty as a matter of law turns not on an absence of the fact issue of foreseeability, but rather the policy issue of whether it is reasonable to impose a duty to avoid a risk of injury which, although foreseeable, is remote.</w:t>
      </w:r>
    </w:p>
    <w:p w14:paraId="0309AA8A"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i/>
          <w:iCs/>
          <w:sz w:val="24"/>
          <w:szCs w:val="24"/>
          <w:lang w:eastAsia="en-AU"/>
        </w:rPr>
        <w:t xml:space="preserve">Id. </w:t>
      </w:r>
      <w:r w:rsidRPr="000F6009">
        <w:rPr>
          <w:rFonts w:ascii="Times New Roman" w:eastAsia="Times New Roman" w:hAnsi="Times New Roman" w:cs="Times New Roman"/>
          <w:sz w:val="24"/>
          <w:szCs w:val="24"/>
          <w:lang w:eastAsia="en-AU"/>
        </w:rPr>
        <w:t xml:space="preserve">at 67, 792 P.2d at 44. Succinctly, while Chief Judge Cardozo held in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that there can be no duty in relation to another person </w:t>
      </w:r>
      <w:r w:rsidRPr="000F6009">
        <w:rPr>
          <w:rFonts w:ascii="Times New Roman" w:eastAsia="Times New Roman" w:hAnsi="Times New Roman" w:cs="Times New Roman"/>
          <w:i/>
          <w:iCs/>
          <w:sz w:val="24"/>
          <w:szCs w:val="24"/>
          <w:lang w:eastAsia="en-AU"/>
        </w:rPr>
        <w:t xml:space="preserve">absent </w:t>
      </w:r>
      <w:r w:rsidRPr="000F6009">
        <w:rPr>
          <w:rFonts w:ascii="Times New Roman" w:eastAsia="Times New Roman" w:hAnsi="Times New Roman" w:cs="Times New Roman"/>
          <w:sz w:val="24"/>
          <w:szCs w:val="24"/>
          <w:lang w:eastAsia="en-AU"/>
        </w:rPr>
        <w:t xml:space="preserve">foreseeability (“risk reasonably to be perceived”), it does not follow that duty necessarily is present if risk of injury to that other person </w:t>
      </w:r>
      <w:r w:rsidRPr="000F6009">
        <w:rPr>
          <w:rFonts w:ascii="Times New Roman" w:eastAsia="Times New Roman" w:hAnsi="Times New Roman" w:cs="Times New Roman"/>
          <w:i/>
          <w:iCs/>
          <w:sz w:val="24"/>
          <w:szCs w:val="24"/>
          <w:lang w:eastAsia="en-AU"/>
        </w:rPr>
        <w:t xml:space="preserve">is </w:t>
      </w:r>
      <w:r w:rsidRPr="000F6009">
        <w:rPr>
          <w:rFonts w:ascii="Times New Roman" w:eastAsia="Times New Roman" w:hAnsi="Times New Roman" w:cs="Times New Roman"/>
          <w:sz w:val="24"/>
          <w:szCs w:val="24"/>
          <w:lang w:eastAsia="en-AU"/>
        </w:rPr>
        <w:t>foreseeable from one’s acts and omissions. Chief Judge Cardozo was addressing only the victim of an act that was innocent and harmless with respect to that victim.</w:t>
      </w:r>
    </w:p>
    <w:p w14:paraId="24E02C3A" w14:textId="77777777" w:rsidR="000F6009" w:rsidRPr="000F6009" w:rsidRDefault="000F6009" w:rsidP="000F6009">
      <w:pPr>
        <w:spacing w:after="100"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If no hazard was apparent to the eye of ordinary vigilance, an act innocent and harmless * * * with reference to [Helen Palsgraf] did not take to itself the quality of a tort because it happened to be a wrong * * * with reference to some one else. * * * The plaintiff sues in her own right for a wrong personal to her, and not as the vicarious beneficiary of a breach of duty to another.</w:t>
      </w:r>
    </w:p>
    <w:p w14:paraId="470D7A79"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162 N.E. at 99-100.</w:t>
      </w:r>
    </w:p>
    <w:p w14:paraId="6B2056C9" w14:textId="2A150B5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When Chief Judge Cardozo wrote that “[t]he risk reasonably to be perceived defines the duty to be obeyed, and risk imports relation,” </w:t>
      </w:r>
      <w:r w:rsidRPr="000F6009">
        <w:rPr>
          <w:rFonts w:ascii="Times New Roman" w:eastAsia="Times New Roman" w:hAnsi="Times New Roman" w:cs="Times New Roman"/>
          <w:i/>
          <w:iCs/>
          <w:sz w:val="24"/>
          <w:szCs w:val="24"/>
          <w:lang w:eastAsia="en-AU"/>
        </w:rPr>
        <w:t xml:space="preserve">id. </w:t>
      </w:r>
      <w:r w:rsidRPr="000F6009">
        <w:rPr>
          <w:rFonts w:ascii="Times New Roman" w:eastAsia="Times New Roman" w:hAnsi="Times New Roman" w:cs="Times New Roman"/>
          <w:sz w:val="24"/>
          <w:szCs w:val="24"/>
          <w:lang w:eastAsia="en-AU"/>
        </w:rPr>
        <w:t xml:space="preserve">at 100, he was talking about the absence of a duty in relation to one not foreseeably at risk. It is unfortunate that in </w:t>
      </w:r>
      <w:r w:rsidRPr="000F6009">
        <w:rPr>
          <w:rFonts w:ascii="Times New Roman" w:eastAsia="Times New Roman" w:hAnsi="Times New Roman" w:cs="Times New Roman"/>
          <w:i/>
          <w:iCs/>
          <w:sz w:val="24"/>
          <w:szCs w:val="24"/>
          <w:lang w:eastAsia="en-AU"/>
        </w:rPr>
        <w:t xml:space="preserve">Ramirez v. Armstrong, </w:t>
      </w:r>
      <w:r w:rsidRPr="000F6009">
        <w:rPr>
          <w:rFonts w:ascii="Times New Roman" w:eastAsia="Times New Roman" w:hAnsi="Times New Roman" w:cs="Times New Roman"/>
          <w:color w:val="0000FF"/>
          <w:sz w:val="24"/>
          <w:szCs w:val="24"/>
          <w:u w:val="single"/>
          <w:lang w:eastAsia="en-AU"/>
        </w:rPr>
        <w:t>100 N.M. 538</w:t>
      </w:r>
      <w:r w:rsidRPr="000F6009">
        <w:rPr>
          <w:rFonts w:ascii="Times New Roman" w:eastAsia="Times New Roman" w:hAnsi="Times New Roman" w:cs="Times New Roman"/>
          <w:sz w:val="24"/>
          <w:szCs w:val="24"/>
          <w:lang w:eastAsia="en-AU"/>
        </w:rPr>
        <w:t xml:space="preserve">, </w:t>
      </w:r>
      <w:hyperlink r:id="rId31" w:history="1">
        <w:r w:rsidRPr="000F6009">
          <w:rPr>
            <w:rFonts w:ascii="Times New Roman" w:eastAsia="Times New Roman" w:hAnsi="Times New Roman" w:cs="Times New Roman"/>
            <w:color w:val="0000FF"/>
            <w:sz w:val="24"/>
            <w:szCs w:val="24"/>
            <w:u w:val="single"/>
            <w:lang w:eastAsia="en-AU"/>
          </w:rPr>
          <w:t>673 P.2d 822</w:t>
        </w:r>
      </w:hyperlink>
      <w:r w:rsidRPr="000F6009">
        <w:rPr>
          <w:rFonts w:ascii="Times New Roman" w:eastAsia="Times New Roman" w:hAnsi="Times New Roman" w:cs="Times New Roman"/>
          <w:sz w:val="24"/>
          <w:szCs w:val="24"/>
          <w:lang w:eastAsia="en-AU"/>
        </w:rPr>
        <w:t xml:space="preserve"> (1983), this Court stated in reference to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that, “If it is found that a plaintiff, and injury to that plaintiff, were foreseeable, then a duty is owed to that plaintiff by the defendant.”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100 N.M. at 541, 673 P.2d at 825. That principle simply does not follow from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In </w:t>
      </w:r>
      <w:r w:rsidRPr="000F6009">
        <w:rPr>
          <w:rFonts w:ascii="Times New Roman" w:eastAsia="Times New Roman" w:hAnsi="Times New Roman" w:cs="Times New Roman"/>
          <w:i/>
          <w:iCs/>
          <w:sz w:val="24"/>
          <w:szCs w:val="24"/>
          <w:lang w:eastAsia="en-AU"/>
        </w:rPr>
        <w:t xml:space="preserve">Calkins, </w:t>
      </w:r>
      <w:r w:rsidRPr="000F6009">
        <w:rPr>
          <w:rFonts w:ascii="Times New Roman" w:eastAsia="Times New Roman" w:hAnsi="Times New Roman" w:cs="Times New Roman"/>
          <w:sz w:val="24"/>
          <w:szCs w:val="24"/>
          <w:lang w:eastAsia="en-AU"/>
        </w:rPr>
        <w:t>the Court fell into error when it adopted that principle, and when it reasoned that a relationship that gives rise to a duty as to one perceived risk necessarily gives rise to a duty as to any risk foreseeably progressing in a natural and continuous sequence from violation of the first duty. The law, not the fact of proximate cause, defines duty.</w:t>
      </w:r>
    </w:p>
    <w:p w14:paraId="52AE4D43" w14:textId="0F109850"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The Court stated in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that, “In order to insure that the interest to be protected is actually foreseeable, courts * * * have adopted a number of criteria to be met in any case where such injury is claimed.”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100 N.M. at 541, 673 P.2d at 825. In point of fact, however, the recited criteria did not delimit foreseeability, but rather remoteness as a matter of public policy. For example, one criterion is that shock to the family members claiming negligent infliction of emotional distress must be caused by contemporaneous sensory perception of the accident resulting in physical injury or death to another family member. Yet, it is clearly foreseeable that severe shock may be caused by learning of the accident by means other than contemporaneous perception.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 xml:space="preserve">is not a </w:t>
      </w:r>
      <w:r w:rsidRPr="000F6009">
        <w:rPr>
          <w:rFonts w:ascii="Times New Roman" w:eastAsia="Times New Roman" w:hAnsi="Times New Roman" w:cs="Times New Roman"/>
          <w:i/>
          <w:iCs/>
          <w:sz w:val="24"/>
          <w:szCs w:val="24"/>
          <w:lang w:eastAsia="en-AU"/>
        </w:rPr>
        <w:t xml:space="preserve">Palsgraf </w:t>
      </w:r>
      <w:r w:rsidRPr="000F6009">
        <w:rPr>
          <w:rFonts w:ascii="Times New Roman" w:eastAsia="Times New Roman" w:hAnsi="Times New Roman" w:cs="Times New Roman"/>
          <w:sz w:val="24"/>
          <w:szCs w:val="24"/>
          <w:lang w:eastAsia="en-AU"/>
        </w:rPr>
        <w:t xml:space="preserve">case. To the extent it does turn </w:t>
      </w:r>
      <w:r w:rsidRPr="000F6009">
        <w:rPr>
          <w:rFonts w:ascii="Times New Roman" w:eastAsia="Times New Roman" w:hAnsi="Times New Roman" w:cs="Times New Roman"/>
          <w:color w:val="0000FF"/>
          <w:sz w:val="24"/>
          <w:szCs w:val="24"/>
          <w:u w:val="single"/>
          <w:lang w:eastAsia="en-AU"/>
        </w:rPr>
        <w:t>*573</w:t>
      </w:r>
      <w:r w:rsidRPr="000F6009">
        <w:rPr>
          <w:rFonts w:ascii="Times New Roman" w:eastAsia="Times New Roman" w:hAnsi="Times New Roman" w:cs="Times New Roman"/>
          <w:sz w:val="24"/>
          <w:szCs w:val="24"/>
          <w:lang w:eastAsia="en-AU"/>
        </w:rPr>
        <w:t xml:space="preserve">on foreseeability, </w:t>
      </w:r>
      <w:r w:rsidRPr="000F6009">
        <w:rPr>
          <w:rFonts w:ascii="Times New Roman" w:eastAsia="Times New Roman" w:hAnsi="Times New Roman" w:cs="Times New Roman"/>
          <w:i/>
          <w:iCs/>
          <w:sz w:val="24"/>
          <w:szCs w:val="24"/>
          <w:lang w:eastAsia="en-AU"/>
        </w:rPr>
        <w:t xml:space="preserve">Ramirez </w:t>
      </w:r>
      <w:r w:rsidRPr="000F6009">
        <w:rPr>
          <w:rFonts w:ascii="Times New Roman" w:eastAsia="Times New Roman" w:hAnsi="Times New Roman" w:cs="Times New Roman"/>
          <w:sz w:val="24"/>
          <w:szCs w:val="24"/>
          <w:lang w:eastAsia="en-AU"/>
        </w:rPr>
        <w:t>acknowledges the foreseeability of family bystanders unknown in fact to the wrongdoer (not unlike the foreseeability of family dependents unknown in fact to the wrongdoer).</w:t>
      </w:r>
    </w:p>
    <w:p w14:paraId="03D6E114"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Factually, I cannot accept a resolution of this case that purports to hold as a matter of law it was not foreseeable that a twenty-five-year-old man “would reside with his parents, that there would be a close and loving relationship with them, and that they would be partially dependent on him for their economic support.” I believe financially dependent parents indeed are foreseeable. A person is not an innocuous package importing no relation to others as was the package of fireworks that exploded when dislodged from the arms of Helen Palsgraf s fellow passenger. As with severe shock to unknown family bystanders, it is foreseeable that parents of an adult child would suffer loss of financial support and consortium from his wrongful death.</w:t>
      </w:r>
    </w:p>
    <w:p w14:paraId="658578A8"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The parents of the deceased failed to state a cause of action, not because the wrongdoer could not reasonably perceive a risk to the economic security of persons dependent upon the victim of wrongful death, rather, as a matter of public policy, because it is not reasonable to impose a duty to avoid a risk of economic injury or loss of consortium to certain dependents. The legislature has declared in the wrongful death act the state’s policy as to beneficiaries of damages to be awarded in every action for wrongful death. Others who suffer economic injury or loss of consortium are denied a claim for relief, not because risk of harm to them is unforeseeable, but because of policy set by the legislature.</w:t>
      </w:r>
    </w:p>
    <w:p w14:paraId="4C72AE4E" w14:textId="77777777" w:rsidR="000F6009" w:rsidRPr="000F6009" w:rsidRDefault="000F6009" w:rsidP="000F600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009">
        <w:rPr>
          <w:rFonts w:ascii="Times New Roman" w:eastAsia="Times New Roman" w:hAnsi="Times New Roman" w:cs="Times New Roman"/>
          <w:sz w:val="24"/>
          <w:szCs w:val="24"/>
          <w:lang w:eastAsia="en-AU"/>
        </w:rPr>
        <w:t xml:space="preserve">Finally, in addition to my disagreement that as a matter of law the existence and interests of the parents and their relationship with their son were unforeseeable, I disagree that their interests in economic security and consortium were not “palpable”, by which I take the majority to mean those interests were imperceptible or nominal. I agree only that “[t]he social policy of cutting off liability that would otherwise extend to these family members seems sound.” Social policy indeed became the determinative rationale of the majority opinion when the author seemingly adopted the suggestion in </w:t>
      </w:r>
      <w:r w:rsidRPr="000F6009">
        <w:rPr>
          <w:rFonts w:ascii="Times New Roman" w:eastAsia="Times New Roman" w:hAnsi="Times New Roman" w:cs="Times New Roman"/>
          <w:i/>
          <w:iCs/>
          <w:sz w:val="24"/>
          <w:szCs w:val="24"/>
          <w:lang w:eastAsia="en-AU"/>
        </w:rPr>
        <w:t xml:space="preserve">Prosser &amp; Keeton </w:t>
      </w:r>
      <w:r w:rsidRPr="000F6009">
        <w:rPr>
          <w:rFonts w:ascii="Times New Roman" w:eastAsia="Times New Roman" w:hAnsi="Times New Roman" w:cs="Times New Roman"/>
          <w:sz w:val="24"/>
          <w:szCs w:val="24"/>
          <w:lang w:eastAsia="en-AU"/>
        </w:rPr>
        <w:t>that the presence of foreseeability is but one fact in determining the existence of duty, and “the problem is one of social policy: where to draw the line against otherwise unlimited liability.”</w:t>
      </w:r>
    </w:p>
    <w:p w14:paraId="79EDBB1B" w14:textId="140F61DD" w:rsidR="001606B4" w:rsidRDefault="00E07377">
      <w:r>
        <w:rPr>
          <w:b/>
          <w:bCs/>
        </w:rPr>
        <w:t>PLAIN ENGLISH SUMMARY</w:t>
      </w:r>
    </w:p>
    <w:p w14:paraId="2D2A0CD0" w14:textId="4F9AEC04" w:rsidR="00E07377" w:rsidRDefault="00E07377">
      <w:r>
        <w:rPr>
          <w:b/>
          <w:bCs/>
        </w:rPr>
        <w:t xml:space="preserve">Issue: </w:t>
      </w:r>
      <w:r>
        <w:t>whether the trial court correctly denied the parents of the deceased victim permission to intervene in the case brought by the victim’s estate on the basis that, because of his death, they had lost his financial and emotional support.</w:t>
      </w:r>
    </w:p>
    <w:p w14:paraId="727A0EE9" w14:textId="055D3A89" w:rsidR="00E07377" w:rsidRDefault="00E07377"/>
    <w:p w14:paraId="649B4E84" w14:textId="2D5E0885" w:rsidR="00E07377" w:rsidRDefault="00E07377">
      <w:r>
        <w:rPr>
          <w:b/>
          <w:bCs/>
        </w:rPr>
        <w:t>Summary:</w:t>
      </w:r>
    </w:p>
    <w:p w14:paraId="0B79AFC9" w14:textId="3C46C378" w:rsidR="00E07377" w:rsidRDefault="00E07377" w:rsidP="00E07377">
      <w:pPr>
        <w:pStyle w:val="ListParagraph"/>
        <w:numPr>
          <w:ilvl w:val="0"/>
          <w:numId w:val="1"/>
        </w:numPr>
      </w:pPr>
      <w:r>
        <w:t>the trial court denied permission for the parents to intervene and said that they had no cause of action: they couldn’t sue because there was no legal basis for their claim</w:t>
      </w:r>
    </w:p>
    <w:p w14:paraId="01C5B3A1" w14:textId="341625AC" w:rsidR="00E07377" w:rsidRDefault="00E07377" w:rsidP="00E07377">
      <w:pPr>
        <w:pStyle w:val="ListParagraph"/>
        <w:numPr>
          <w:ilvl w:val="0"/>
          <w:numId w:val="1"/>
        </w:numPr>
      </w:pPr>
      <w:r>
        <w:t>the appellate court noted that the law in New Mexico prevents relatives of victims from obtaining compensation from the defendants, and that this is a matter of policy.</w:t>
      </w:r>
    </w:p>
    <w:p w14:paraId="50AFF872" w14:textId="5C6AF6D6" w:rsidR="00E07377" w:rsidRPr="00E07377" w:rsidRDefault="00E07377" w:rsidP="00E07377">
      <w:pPr>
        <w:pStyle w:val="ListParagraph"/>
        <w:numPr>
          <w:ilvl w:val="0"/>
          <w:numId w:val="1"/>
        </w:numPr>
      </w:pPr>
      <w:r>
        <w:t xml:space="preserve">The court decided this case in accordance with established precedent: the parents of a deceased victim cannot obtain compensation for their child’s death </w:t>
      </w:r>
      <w:r w:rsidRPr="00E07377">
        <w:t>because</w:t>
      </w:r>
      <w:r>
        <w:rPr>
          <w:b/>
          <w:bCs/>
        </w:rPr>
        <w:t xml:space="preserve"> their suffering is outside the realm of foreseeability</w:t>
      </w:r>
      <w:r w:rsidRPr="00E07377">
        <w:t>. That is, the defendant could not have foreseen that their actions would lead to the suffering of the parents of the victim</w:t>
      </w:r>
      <w:r>
        <w:t>, so they do not owe the parents a duty of care.</w:t>
      </w:r>
    </w:p>
    <w:sectPr w:rsidR="00E07377" w:rsidRPr="00E073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83DE4"/>
    <w:multiLevelType w:val="hybridMultilevel"/>
    <w:tmpl w:val="434E5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174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09"/>
    <w:rsid w:val="000F6009"/>
    <w:rsid w:val="001606B4"/>
    <w:rsid w:val="0027530B"/>
    <w:rsid w:val="00530BF9"/>
    <w:rsid w:val="006262C3"/>
    <w:rsid w:val="00721B62"/>
    <w:rsid w:val="00A02D00"/>
    <w:rsid w:val="00A62E8D"/>
    <w:rsid w:val="00E0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E3AB"/>
  <w15:chartTrackingRefBased/>
  <w15:docId w15:val="{C79446AC-B552-482B-9ADD-8F45F377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7023">
      <w:bodyDiv w:val="1"/>
      <w:marLeft w:val="0"/>
      <w:marRight w:val="0"/>
      <w:marTop w:val="0"/>
      <w:marBottom w:val="0"/>
      <w:divBdr>
        <w:top w:val="none" w:sz="0" w:space="0" w:color="auto"/>
        <w:left w:val="none" w:sz="0" w:space="0" w:color="auto"/>
        <w:bottom w:val="none" w:sz="0" w:space="0" w:color="auto"/>
        <w:right w:val="none" w:sz="0" w:space="0" w:color="auto"/>
      </w:divBdr>
      <w:divsChild>
        <w:div w:id="560018065">
          <w:marLeft w:val="0"/>
          <w:marRight w:val="0"/>
          <w:marTop w:val="0"/>
          <w:marBottom w:val="0"/>
          <w:divBdr>
            <w:top w:val="none" w:sz="0" w:space="0" w:color="auto"/>
            <w:left w:val="none" w:sz="0" w:space="0" w:color="auto"/>
            <w:bottom w:val="none" w:sz="0" w:space="0" w:color="auto"/>
            <w:right w:val="none" w:sz="0" w:space="0" w:color="auto"/>
          </w:divBdr>
          <w:divsChild>
            <w:div w:id="1732196562">
              <w:marLeft w:val="0"/>
              <w:marRight w:val="0"/>
              <w:marTop w:val="0"/>
              <w:marBottom w:val="0"/>
              <w:divBdr>
                <w:top w:val="none" w:sz="0" w:space="0" w:color="auto"/>
                <w:left w:val="none" w:sz="0" w:space="0" w:color="auto"/>
                <w:bottom w:val="none" w:sz="0" w:space="0" w:color="auto"/>
                <w:right w:val="none" w:sz="0" w:space="0" w:color="auto"/>
              </w:divBdr>
              <w:divsChild>
                <w:div w:id="1629969547">
                  <w:marLeft w:val="0"/>
                  <w:marRight w:val="0"/>
                  <w:marTop w:val="0"/>
                  <w:marBottom w:val="0"/>
                  <w:divBdr>
                    <w:top w:val="none" w:sz="0" w:space="0" w:color="auto"/>
                    <w:left w:val="none" w:sz="0" w:space="0" w:color="auto"/>
                    <w:bottom w:val="none" w:sz="0" w:space="0" w:color="auto"/>
                    <w:right w:val="none" w:sz="0" w:space="0" w:color="auto"/>
                  </w:divBdr>
                  <w:divsChild>
                    <w:div w:id="1976447301">
                      <w:marLeft w:val="0"/>
                      <w:marRight w:val="0"/>
                      <w:marTop w:val="0"/>
                      <w:marBottom w:val="0"/>
                      <w:divBdr>
                        <w:top w:val="none" w:sz="0" w:space="0" w:color="auto"/>
                        <w:left w:val="none" w:sz="0" w:space="0" w:color="auto"/>
                        <w:bottom w:val="none" w:sz="0" w:space="0" w:color="auto"/>
                        <w:right w:val="none" w:sz="0" w:space="0" w:color="auto"/>
                      </w:divBdr>
                    </w:div>
                    <w:div w:id="7919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250">
              <w:marLeft w:val="0"/>
              <w:marRight w:val="0"/>
              <w:marTop w:val="0"/>
              <w:marBottom w:val="0"/>
              <w:divBdr>
                <w:top w:val="none" w:sz="0" w:space="0" w:color="auto"/>
                <w:left w:val="none" w:sz="0" w:space="0" w:color="auto"/>
                <w:bottom w:val="none" w:sz="0" w:space="0" w:color="auto"/>
                <w:right w:val="none" w:sz="0" w:space="0" w:color="auto"/>
              </w:divBdr>
              <w:divsChild>
                <w:div w:id="2069646644">
                  <w:marLeft w:val="0"/>
                  <w:marRight w:val="0"/>
                  <w:marTop w:val="0"/>
                  <w:marBottom w:val="0"/>
                  <w:divBdr>
                    <w:top w:val="none" w:sz="0" w:space="0" w:color="auto"/>
                    <w:left w:val="none" w:sz="0" w:space="0" w:color="auto"/>
                    <w:bottom w:val="none" w:sz="0" w:space="0" w:color="auto"/>
                    <w:right w:val="none" w:sz="0" w:space="0" w:color="auto"/>
                  </w:divBdr>
                </w:div>
              </w:divsChild>
            </w:div>
            <w:div w:id="148015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25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2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23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60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94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26634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551">
          <w:marLeft w:val="0"/>
          <w:marRight w:val="0"/>
          <w:marTop w:val="0"/>
          <w:marBottom w:val="0"/>
          <w:divBdr>
            <w:top w:val="none" w:sz="0" w:space="0" w:color="auto"/>
            <w:left w:val="none" w:sz="0" w:space="0" w:color="auto"/>
            <w:bottom w:val="none" w:sz="0" w:space="0" w:color="auto"/>
            <w:right w:val="none" w:sz="0" w:space="0" w:color="auto"/>
          </w:divBdr>
          <w:divsChild>
            <w:div w:id="1596549054">
              <w:marLeft w:val="0"/>
              <w:marRight w:val="0"/>
              <w:marTop w:val="0"/>
              <w:marBottom w:val="0"/>
              <w:divBdr>
                <w:top w:val="none" w:sz="0" w:space="0" w:color="auto"/>
                <w:left w:val="none" w:sz="0" w:space="0" w:color="auto"/>
                <w:bottom w:val="none" w:sz="0" w:space="0" w:color="auto"/>
                <w:right w:val="none" w:sz="0" w:space="0" w:color="auto"/>
              </w:divBdr>
              <w:divsChild>
                <w:div w:id="772436892">
                  <w:marLeft w:val="0"/>
                  <w:marRight w:val="0"/>
                  <w:marTop w:val="0"/>
                  <w:marBottom w:val="0"/>
                  <w:divBdr>
                    <w:top w:val="none" w:sz="0" w:space="0" w:color="auto"/>
                    <w:left w:val="none" w:sz="0" w:space="0" w:color="auto"/>
                    <w:bottom w:val="none" w:sz="0" w:space="0" w:color="auto"/>
                    <w:right w:val="none" w:sz="0" w:space="0" w:color="auto"/>
                  </w:divBdr>
                  <w:divsChild>
                    <w:div w:id="706179502">
                      <w:marLeft w:val="0"/>
                      <w:marRight w:val="0"/>
                      <w:marTop w:val="0"/>
                      <w:marBottom w:val="0"/>
                      <w:divBdr>
                        <w:top w:val="none" w:sz="0" w:space="0" w:color="auto"/>
                        <w:left w:val="none" w:sz="0" w:space="0" w:color="auto"/>
                        <w:bottom w:val="none" w:sz="0" w:space="0" w:color="auto"/>
                        <w:right w:val="none" w:sz="0" w:space="0" w:color="auto"/>
                      </w:divBdr>
                    </w:div>
                    <w:div w:id="14561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238">
              <w:marLeft w:val="0"/>
              <w:marRight w:val="0"/>
              <w:marTop w:val="0"/>
              <w:marBottom w:val="0"/>
              <w:divBdr>
                <w:top w:val="none" w:sz="0" w:space="0" w:color="auto"/>
                <w:left w:val="none" w:sz="0" w:space="0" w:color="auto"/>
                <w:bottom w:val="none" w:sz="0" w:space="0" w:color="auto"/>
                <w:right w:val="none" w:sz="0" w:space="0" w:color="auto"/>
              </w:divBdr>
              <w:divsChild>
                <w:div w:id="40129727">
                  <w:marLeft w:val="0"/>
                  <w:marRight w:val="0"/>
                  <w:marTop w:val="0"/>
                  <w:marBottom w:val="0"/>
                  <w:divBdr>
                    <w:top w:val="none" w:sz="0" w:space="0" w:color="auto"/>
                    <w:left w:val="none" w:sz="0" w:space="0" w:color="auto"/>
                    <w:bottom w:val="none" w:sz="0" w:space="0" w:color="auto"/>
                    <w:right w:val="none" w:sz="0" w:space="0" w:color="auto"/>
                  </w:divBdr>
                </w:div>
              </w:divsChild>
            </w:div>
            <w:div w:id="105161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90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1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294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904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02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11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13/566/" TargetMode="External"/><Relationship Id="rId18" Type="http://schemas.openxmlformats.org/officeDocument/2006/relationships/hyperlink" Target="https://cite.case.law/nm/73/211/" TargetMode="External"/><Relationship Id="rId26" Type="http://schemas.openxmlformats.org/officeDocument/2006/relationships/hyperlink" Target="https://cite.case.law/nm/113/566/" TargetMode="External"/><Relationship Id="rId3" Type="http://schemas.openxmlformats.org/officeDocument/2006/relationships/settings" Target="settings.xml"/><Relationship Id="rId21" Type="http://schemas.openxmlformats.org/officeDocument/2006/relationships/hyperlink" Target="https://cite.case.law/nm/86/9/" TargetMode="External"/><Relationship Id="rId7" Type="http://schemas.openxmlformats.org/officeDocument/2006/relationships/hyperlink" Target="https://cite.case.law/nm/113/566/" TargetMode="External"/><Relationship Id="rId12" Type="http://schemas.openxmlformats.org/officeDocument/2006/relationships/hyperlink" Target="https://cite.case.law/p2d/792/36/" TargetMode="External"/><Relationship Id="rId17" Type="http://schemas.openxmlformats.org/officeDocument/2006/relationships/hyperlink" Target="https://cite.case.law/nm/103/292/" TargetMode="External"/><Relationship Id="rId25" Type="http://schemas.openxmlformats.org/officeDocument/2006/relationships/hyperlink" Target="https://cite.case.law/ny/248/33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nm/111/336/" TargetMode="External"/><Relationship Id="rId20" Type="http://schemas.openxmlformats.org/officeDocument/2006/relationships/hyperlink" Target="https://cite.case.law/nm/100/192/" TargetMode="External"/><Relationship Id="rId29" Type="http://schemas.openxmlformats.org/officeDocument/2006/relationships/hyperlink" Target="https://cite.case.law/p2d/797/246/" TargetMode="External"/><Relationship Id="rId1" Type="http://schemas.openxmlformats.org/officeDocument/2006/relationships/numbering" Target="numbering.xml"/><Relationship Id="rId6" Type="http://schemas.openxmlformats.org/officeDocument/2006/relationships/hyperlink" Target="https://cite.case.law/p2d/520/552/" TargetMode="External"/><Relationship Id="rId11" Type="http://schemas.openxmlformats.org/officeDocument/2006/relationships/hyperlink" Target="https://cite.case.law/p2d/673/822/" TargetMode="External"/><Relationship Id="rId24" Type="http://schemas.openxmlformats.org/officeDocument/2006/relationships/hyperlink" Target="https://cite.case.law/p2d/687/728/" TargetMode="External"/><Relationship Id="rId32" Type="http://schemas.openxmlformats.org/officeDocument/2006/relationships/fontTable" Target="fontTable.xml"/><Relationship Id="rId5" Type="http://schemas.openxmlformats.org/officeDocument/2006/relationships/hyperlink" Target="https://cite.case.law/nm/113/566/" TargetMode="External"/><Relationship Id="rId15" Type="http://schemas.openxmlformats.org/officeDocument/2006/relationships/hyperlink" Target="https://cite.case.law/p2d/824/293/" TargetMode="External"/><Relationship Id="rId23" Type="http://schemas.openxmlformats.org/officeDocument/2006/relationships/hyperlink" Target="https://cite.case.law/f2d/666/1353/" TargetMode="External"/><Relationship Id="rId28" Type="http://schemas.openxmlformats.org/officeDocument/2006/relationships/hyperlink" Target="https://cite.case.law/nm/113/566/" TargetMode="External"/><Relationship Id="rId10" Type="http://schemas.openxmlformats.org/officeDocument/2006/relationships/hyperlink" Target="https://cite.case.law/p2d/251/274/" TargetMode="External"/><Relationship Id="rId19" Type="http://schemas.openxmlformats.org/officeDocument/2006/relationships/hyperlink" Target="https://cite.case.law/nm/100/227/" TargetMode="External"/><Relationship Id="rId31" Type="http://schemas.openxmlformats.org/officeDocument/2006/relationships/hyperlink" Target="https://cite.case.law/p2d/673/822/" TargetMode="External"/><Relationship Id="rId4" Type="http://schemas.openxmlformats.org/officeDocument/2006/relationships/webSettings" Target="webSettings.xml"/><Relationship Id="rId9" Type="http://schemas.openxmlformats.org/officeDocument/2006/relationships/hyperlink" Target="https://cite.case.law/p2d/361/149/" TargetMode="External"/><Relationship Id="rId14" Type="http://schemas.openxmlformats.org/officeDocument/2006/relationships/hyperlink" Target="https://cite.case.law/p2d/808/614/" TargetMode="External"/><Relationship Id="rId22" Type="http://schemas.openxmlformats.org/officeDocument/2006/relationships/hyperlink" Target="https://cite.case.law/nm/86/5/" TargetMode="External"/><Relationship Id="rId27" Type="http://schemas.openxmlformats.org/officeDocument/2006/relationships/hyperlink" Target="https://cite.case.law/nm/113/566/" TargetMode="External"/><Relationship Id="rId30" Type="http://schemas.openxmlformats.org/officeDocument/2006/relationships/hyperlink" Target="https://cite.case.law/p2d/792/36/" TargetMode="External"/><Relationship Id="rId8" Type="http://schemas.openxmlformats.org/officeDocument/2006/relationships/hyperlink" Target="https://cite.case.law/p2d/46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