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AEFFB" w14:textId="77777777" w:rsidR="00E12FFA" w:rsidRPr="00E12FFA" w:rsidRDefault="00E12FFA" w:rsidP="00E12FFA">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E12FFA">
        <w:rPr>
          <w:rFonts w:ascii="Times New Roman" w:eastAsia="Times New Roman" w:hAnsi="Times New Roman" w:cs="Times New Roman"/>
          <w:b/>
          <w:bCs/>
          <w:kern w:val="36"/>
          <w:sz w:val="48"/>
          <w:szCs w:val="48"/>
          <w:lang w:eastAsia="en-AU"/>
        </w:rPr>
        <w:t>Kight v. Butscher, 90 N.M. 386, 90 N.M. 386 (1977)</w:t>
      </w:r>
    </w:p>
    <w:p w14:paraId="7D3543F3" w14:textId="77777777" w:rsidR="00E12FFA" w:rsidRPr="00E12FFA" w:rsidRDefault="00E12FFA" w:rsidP="00E12FFA">
      <w:pPr>
        <w:spacing w:after="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April 5, 1977 · Court of Appeals of New Mexico · No. 2604 </w:t>
      </w:r>
    </w:p>
    <w:p w14:paraId="7F7CC453" w14:textId="77777777" w:rsidR="00E12FFA" w:rsidRPr="00E12FFA" w:rsidRDefault="00E12FFA" w:rsidP="00E12FFA">
      <w:pPr>
        <w:spacing w:after="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90 N.M. 386, 90 N.M. 386 </w:t>
      </w:r>
    </w:p>
    <w:p w14:paraId="70849883" w14:textId="77777777" w:rsidR="00E12FFA" w:rsidRPr="00E12FFA" w:rsidRDefault="00E12FFA" w:rsidP="00E12FFA">
      <w:pPr>
        <w:spacing w:after="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Violet M. KIGHT, Plaintiff-Appellant, v. Henry P. BUTSCHER and Janice Lee Butscher, a minor, Defendants-Appellees </w:t>
      </w:r>
    </w:p>
    <w:p w14:paraId="29DBDD3E"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90 N.M. 386</w:t>
      </w:r>
    </w:p>
    <w:p w14:paraId="72C34C8B"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Court of Appeals of New Mexico.</w:t>
      </w:r>
    </w:p>
    <w:p w14:paraId="495C531A"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Rehearing Denied April 18, 1977.</w:t>
      </w:r>
    </w:p>
    <w:p w14:paraId="75ECE7C8"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Certiorari Denied May 11, 1977.</w:t>
      </w:r>
    </w:p>
    <w:p w14:paraId="1C84CD9B"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Charles G. Berry, Marchiondo </w:t>
      </w:r>
      <w:r w:rsidRPr="00E12FFA">
        <w:rPr>
          <w:rFonts w:ascii="Times New Roman" w:eastAsia="Times New Roman" w:hAnsi="Times New Roman" w:cs="Times New Roman"/>
          <w:i/>
          <w:iCs/>
          <w:sz w:val="24"/>
          <w:szCs w:val="24"/>
          <w:lang w:eastAsia="en-AU"/>
        </w:rPr>
        <w:t xml:space="preserve">&amp; </w:t>
      </w:r>
      <w:r w:rsidRPr="00E12FFA">
        <w:rPr>
          <w:rFonts w:ascii="Times New Roman" w:eastAsia="Times New Roman" w:hAnsi="Times New Roman" w:cs="Times New Roman"/>
          <w:sz w:val="24"/>
          <w:szCs w:val="24"/>
          <w:lang w:eastAsia="en-AU"/>
        </w:rPr>
        <w:t>Berry, P. A., Albuquerque, for plaintiff-appellant.</w:t>
      </w:r>
    </w:p>
    <w:p w14:paraId="2DD08728"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Eugene E. Klecan, Mark J. Klecan, Klecan &amp; Roach, P. A., Albuquerque, for defendants-appellees.</w:t>
      </w:r>
    </w:p>
    <w:p w14:paraId="33DDC6D3" w14:textId="242EC7EA"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color w:val="0000FF"/>
          <w:sz w:val="24"/>
          <w:szCs w:val="24"/>
          <w:u w:val="single"/>
          <w:lang w:eastAsia="en-AU"/>
        </w:rPr>
        <w:t>*387</w:t>
      </w:r>
      <w:r w:rsidRPr="00E12FFA">
        <w:rPr>
          <w:rFonts w:ascii="Times New Roman" w:eastAsia="Times New Roman" w:hAnsi="Times New Roman" w:cs="Times New Roman"/>
          <w:sz w:val="24"/>
          <w:szCs w:val="24"/>
          <w:lang w:eastAsia="en-AU"/>
        </w:rPr>
        <w:t>OPINION</w:t>
      </w:r>
    </w:p>
    <w:p w14:paraId="5E215675"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HERNANDEZ, Judge.</w:t>
      </w:r>
    </w:p>
    <w:p w14:paraId="3FFE9D1F"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This </w:t>
      </w:r>
      <w:r w:rsidRPr="00FA6922">
        <w:rPr>
          <w:rFonts w:ascii="Times New Roman" w:eastAsia="Times New Roman" w:hAnsi="Times New Roman" w:cs="Times New Roman"/>
          <w:sz w:val="24"/>
          <w:szCs w:val="24"/>
          <w:highlight w:val="magenta"/>
          <w:lang w:eastAsia="en-AU"/>
        </w:rPr>
        <w:t>appeal</w:t>
      </w:r>
      <w:r w:rsidRPr="00E12FFA">
        <w:rPr>
          <w:rFonts w:ascii="Times New Roman" w:eastAsia="Times New Roman" w:hAnsi="Times New Roman" w:cs="Times New Roman"/>
          <w:sz w:val="24"/>
          <w:szCs w:val="24"/>
          <w:lang w:eastAsia="en-AU"/>
        </w:rPr>
        <w:t xml:space="preserve"> arises out of a </w:t>
      </w:r>
      <w:r w:rsidRPr="00FA6922">
        <w:rPr>
          <w:rFonts w:ascii="Times New Roman" w:eastAsia="Times New Roman" w:hAnsi="Times New Roman" w:cs="Times New Roman"/>
          <w:sz w:val="24"/>
          <w:szCs w:val="24"/>
          <w:highlight w:val="yellow"/>
          <w:lang w:eastAsia="en-AU"/>
        </w:rPr>
        <w:t>rear end collision which occurred in Albuquerque on Menaul Boulevard near the intersection with Louisiana Boulevard</w:t>
      </w:r>
      <w:r w:rsidRPr="00E12FFA">
        <w:rPr>
          <w:rFonts w:ascii="Times New Roman" w:eastAsia="Times New Roman" w:hAnsi="Times New Roman" w:cs="Times New Roman"/>
          <w:sz w:val="24"/>
          <w:szCs w:val="24"/>
          <w:lang w:eastAsia="en-AU"/>
        </w:rPr>
        <w:t xml:space="preserve">. </w:t>
      </w:r>
      <w:r w:rsidRPr="00FA6922">
        <w:rPr>
          <w:rFonts w:ascii="Times New Roman" w:eastAsia="Times New Roman" w:hAnsi="Times New Roman" w:cs="Times New Roman"/>
          <w:sz w:val="24"/>
          <w:szCs w:val="24"/>
          <w:highlight w:val="magenta"/>
          <w:lang w:eastAsia="en-AU"/>
        </w:rPr>
        <w:t>The trial was before a jury and the defendants were granted judgment upon the verdict.</w:t>
      </w:r>
    </w:p>
    <w:p w14:paraId="25DE8734"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41529">
        <w:rPr>
          <w:rFonts w:ascii="Times New Roman" w:eastAsia="Times New Roman" w:hAnsi="Times New Roman" w:cs="Times New Roman"/>
          <w:sz w:val="24"/>
          <w:szCs w:val="24"/>
          <w:highlight w:val="yellow"/>
          <w:lang w:eastAsia="en-AU"/>
        </w:rPr>
        <w:t>Immediately preceding the collision, the plaintiff had made a left-hand turn from Louisiana Boulevard east onto Menaul Boulevard, a major thoroughfare with three moving lanes in each direction separated by a median divider. The defendant, Janice Butscher, driving a vehicle owned by her father, Henry Butscher, was directly behind the plaintiff before commencing the turn and after completing it. The plaintiff was in the center lane after completing the turn. Ms. Butscher followed directly behind the plaintiff. The collision occurred approximately 40 feet east of the intersection. A garbage truck directly in front of plaintiff came to a stop, indicating with its turn signal an intention to turn right. The plaintiff stopped, but Ms. Butscher was unable to stop and her vehicle struck plaintiff’s vehicle in the rear.</w:t>
      </w:r>
    </w:p>
    <w:p w14:paraId="64F5A0AB"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Plaintiff’s first point of error is divided in three parts. Part 1-A, which is dispositive of this appeal, has two parts: the first is that the trial court erred in denying plaintiff’s motion for a directed verdict on the issue of contributory negligence. The determination of this question must be made in light of the following rule:</w:t>
      </w:r>
    </w:p>
    <w:p w14:paraId="3E21A49A" w14:textId="01EE2368" w:rsidR="00E12FFA" w:rsidRPr="00E12FFA" w:rsidRDefault="00E12FFA" w:rsidP="00E12FFA">
      <w:pPr>
        <w:spacing w:after="10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“Ordinarily, contributory negligence is a question of fact for the trier of facts and not one of law. [Citations omitted] The question of contributory negligence properly becomes one of law only when reasonable minds cannot differ on the question and readily reach the </w:t>
      </w:r>
      <w:r w:rsidRPr="00E12FFA">
        <w:rPr>
          <w:rFonts w:ascii="Times New Roman" w:eastAsia="Times New Roman" w:hAnsi="Times New Roman" w:cs="Times New Roman"/>
          <w:sz w:val="24"/>
          <w:szCs w:val="24"/>
          <w:lang w:eastAsia="en-AU"/>
        </w:rPr>
        <w:lastRenderedPageBreak/>
        <w:t xml:space="preserve">conclusion that plaintiff’s conduct falls below the standard to which he should have conformed for his own protection and that plaintiff’s negligent conduct proximately contributed with that of defendant in causing the injury.” </w:t>
      </w:r>
      <w:r w:rsidRPr="00E12FFA">
        <w:rPr>
          <w:rFonts w:ascii="Times New Roman" w:eastAsia="Times New Roman" w:hAnsi="Times New Roman" w:cs="Times New Roman"/>
          <w:i/>
          <w:iCs/>
          <w:sz w:val="24"/>
          <w:szCs w:val="24"/>
          <w:lang w:eastAsia="en-AU"/>
        </w:rPr>
        <w:t xml:space="preserve">Stewart v. Barnes, </w:t>
      </w:r>
      <w:hyperlink r:id="rId5" w:history="1">
        <w:r w:rsidRPr="00E12FFA">
          <w:rPr>
            <w:rFonts w:ascii="Times New Roman" w:eastAsia="Times New Roman" w:hAnsi="Times New Roman" w:cs="Times New Roman"/>
            <w:color w:val="0000FF"/>
            <w:sz w:val="24"/>
            <w:szCs w:val="24"/>
            <w:u w:val="single"/>
            <w:lang w:eastAsia="en-AU"/>
          </w:rPr>
          <w:t>80 N.M. 102</w:t>
        </w:r>
      </w:hyperlink>
      <w:r w:rsidRPr="00E12FFA">
        <w:rPr>
          <w:rFonts w:ascii="Times New Roman" w:eastAsia="Times New Roman" w:hAnsi="Times New Roman" w:cs="Times New Roman"/>
          <w:sz w:val="24"/>
          <w:szCs w:val="24"/>
          <w:lang w:eastAsia="en-AU"/>
        </w:rPr>
        <w:t xml:space="preserve">, </w:t>
      </w:r>
      <w:r w:rsidRPr="00E12FFA">
        <w:rPr>
          <w:rFonts w:ascii="Times New Roman" w:eastAsia="Times New Roman" w:hAnsi="Times New Roman" w:cs="Times New Roman"/>
          <w:color w:val="0000FF"/>
          <w:sz w:val="24"/>
          <w:szCs w:val="24"/>
          <w:u w:val="single"/>
          <w:lang w:eastAsia="en-AU"/>
        </w:rPr>
        <w:t>451 P.2d 1006</w:t>
      </w:r>
      <w:r w:rsidRPr="00E12FFA">
        <w:rPr>
          <w:rFonts w:ascii="Times New Roman" w:eastAsia="Times New Roman" w:hAnsi="Times New Roman" w:cs="Times New Roman"/>
          <w:sz w:val="24"/>
          <w:szCs w:val="24"/>
          <w:lang w:eastAsia="en-AU"/>
        </w:rPr>
        <w:t xml:space="preserve"> (Ct.App.1969).</w:t>
      </w:r>
    </w:p>
    <w:p w14:paraId="2BB471AD" w14:textId="6BA87CF9"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E1863">
        <w:rPr>
          <w:rFonts w:ascii="Times New Roman" w:eastAsia="Times New Roman" w:hAnsi="Times New Roman" w:cs="Times New Roman"/>
          <w:sz w:val="24"/>
          <w:szCs w:val="24"/>
          <w:highlight w:val="magenta"/>
          <w:lang w:eastAsia="en-AU"/>
        </w:rPr>
        <w:t>The trial court</w:t>
      </w:r>
      <w:r w:rsidRPr="00E12FFA">
        <w:rPr>
          <w:rFonts w:ascii="Times New Roman" w:eastAsia="Times New Roman" w:hAnsi="Times New Roman" w:cs="Times New Roman"/>
          <w:sz w:val="24"/>
          <w:szCs w:val="24"/>
          <w:lang w:eastAsia="en-AU"/>
        </w:rPr>
        <w:t xml:space="preserve">, by giving the following part of its instruction No. 2 and part of instruction No. 17, </w:t>
      </w:r>
      <w:r w:rsidRPr="00AE1863">
        <w:rPr>
          <w:rFonts w:ascii="Times New Roman" w:eastAsia="Times New Roman" w:hAnsi="Times New Roman" w:cs="Times New Roman"/>
          <w:sz w:val="24"/>
          <w:szCs w:val="24"/>
          <w:highlight w:val="magenta"/>
          <w:lang w:eastAsia="en-AU"/>
        </w:rPr>
        <w:t>limited the issue of contributory negligence to the manner in which plaintiff completed the turn from Louisiana Boulevard onto Menaul Boulevard</w:t>
      </w:r>
      <w:r w:rsidRPr="00E12FFA">
        <w:rPr>
          <w:rFonts w:ascii="Times New Roman" w:eastAsia="Times New Roman" w:hAnsi="Times New Roman" w:cs="Times New Roman"/>
          <w:sz w:val="24"/>
          <w:szCs w:val="24"/>
          <w:lang w:eastAsia="en-AU"/>
        </w:rPr>
        <w:t>:</w:t>
      </w:r>
    </w:p>
    <w:p w14:paraId="4479C97F" w14:textId="77777777" w:rsidR="00E12FFA" w:rsidRPr="00E12FFA" w:rsidRDefault="00E12FFA" w:rsidP="00E12FFA">
      <w:pPr>
        <w:spacing w:after="10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“No. 2. The defendants deny the plaintiff’s claims and assert the following affirmative defense: That the plaintiff was contributorily negligent in that she made an improper turn by failing to enter the proper lane of traffic on Menaul.”</w:t>
      </w:r>
    </w:p>
    <w:p w14:paraId="0F33EA33" w14:textId="77777777" w:rsidR="00E12FFA" w:rsidRPr="00E12FFA" w:rsidRDefault="00E12FFA" w:rsidP="00E12FFA">
      <w:pPr>
        <w:spacing w:after="10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“No. 17. </w:t>
      </w:r>
      <w:r w:rsidRPr="008D404E">
        <w:rPr>
          <w:rFonts w:ascii="Times New Roman" w:eastAsia="Times New Roman" w:hAnsi="Times New Roman" w:cs="Times New Roman"/>
          <w:sz w:val="24"/>
          <w:szCs w:val="24"/>
          <w:highlight w:val="yellow"/>
          <w:lang w:eastAsia="en-AU"/>
        </w:rPr>
        <w:t>There was [sic] in force in the state at the time of the occurrence in question certain statutes which provided that: ‘3. At any intersection where traffic is restricted to one (1) direction or [sic] one (1) or more of the roadways, the driver of a vehicle intending to turn left at any such intersection shall approach the intersection in the extreme left-hand lane lawfully available to traffic moving in the direction of travel of such vehicle and after entering the intersection the left turn shall be made so as to leave the intersection, as nearly as practicable, in the left-hand lane lawfully available to traffic moving in such direction upon the roadway being entered.</w:t>
      </w:r>
      <w:r w:rsidRPr="00E12FFA">
        <w:rPr>
          <w:rFonts w:ascii="Times New Roman" w:eastAsia="Times New Roman" w:hAnsi="Times New Roman" w:cs="Times New Roman"/>
          <w:sz w:val="24"/>
          <w:szCs w:val="24"/>
          <w:lang w:eastAsia="en-AU"/>
        </w:rPr>
        <w:t xml:space="preserve"> If you </w:t>
      </w:r>
      <w:r w:rsidRPr="00597036">
        <w:rPr>
          <w:rFonts w:ascii="Times New Roman" w:eastAsia="Times New Roman" w:hAnsi="Times New Roman" w:cs="Times New Roman"/>
          <w:sz w:val="24"/>
          <w:szCs w:val="24"/>
          <w:lang w:eastAsia="en-AU"/>
        </w:rPr>
        <w:t>find from the evidence that any of the parties conducted themselves in violation of one or more of these statutes, you are instructed that such conduct constituted negligence as a matter of law.”</w:t>
      </w:r>
    </w:p>
    <w:p w14:paraId="55AC70EE"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This part of instruction No. 17 repeats § 64-18-21(D), N.M.S.A.1953 (2d Repl.Vol. 9, pt. 2).</w:t>
      </w:r>
    </w:p>
    <w:p w14:paraId="53754276"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We note at the outset that </w:t>
      </w:r>
      <w:r w:rsidRPr="00BF6965">
        <w:rPr>
          <w:rFonts w:ascii="Times New Roman" w:eastAsia="Times New Roman" w:hAnsi="Times New Roman" w:cs="Times New Roman"/>
          <w:sz w:val="24"/>
          <w:szCs w:val="24"/>
          <w:highlight w:val="green"/>
          <w:lang w:eastAsia="en-AU"/>
        </w:rPr>
        <w:t>the accident did not occur in the intersection but approximately 40 feet east of it. An intersection is defined as that area occupied by two streets where they cross one another; that is, it is the space common to both streets</w:t>
      </w:r>
      <w:r w:rsidRPr="00E12FFA">
        <w:rPr>
          <w:rFonts w:ascii="Times New Roman" w:eastAsia="Times New Roman" w:hAnsi="Times New Roman" w:cs="Times New Roman"/>
          <w:sz w:val="24"/>
          <w:szCs w:val="24"/>
          <w:lang w:eastAsia="en-AU"/>
        </w:rPr>
        <w:t>. In seeking to determine what § 64-18-21(D), supra, was intended to accomplish, we must keep in mind that this section applies to signalized intersections as well as to intersections having no stop signs and to those having two or four. It also applies to streets having one or more lanes or roadways in each direction.</w:t>
      </w:r>
    </w:p>
    <w:p w14:paraId="54838733" w14:textId="2EC7C00A"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Supposing the intersection of two streets, X which runs east and west and Y which runs north and south, each street having two moving lanes in each direction and a four-way stop; the statute was intended to avoid a collision between a vehicle making a left hand turn to the north from the westerly portion of X onto Y and a vehicle simultaneously making a right turn to the north from the easterly portion of X onto Y; and also to avoid a collision between a vehicle making a left turn to the north from the easterly portion of X onto Y and a vehicle proceeding north in the right-hand lane of Y across the same intersection. Various other situations can be imagined, but </w:t>
      </w:r>
      <w:r w:rsidRPr="00BF6965">
        <w:rPr>
          <w:rFonts w:ascii="Times New Roman" w:eastAsia="Times New Roman" w:hAnsi="Times New Roman" w:cs="Times New Roman"/>
          <w:sz w:val="24"/>
          <w:szCs w:val="24"/>
          <w:highlight w:val="green"/>
          <w:lang w:eastAsia="en-AU"/>
        </w:rPr>
        <w:t xml:space="preserve">it is obvious that the statute was not intended to avoid a collision between two vehicles such as in this situation, where both are making a left turn, one following the other. </w:t>
      </w:r>
      <w:r w:rsidRPr="009F322F">
        <w:rPr>
          <w:rFonts w:ascii="Times New Roman" w:eastAsia="Times New Roman" w:hAnsi="Times New Roman" w:cs="Times New Roman"/>
          <w:sz w:val="24"/>
          <w:szCs w:val="24"/>
          <w:highlight w:val="green"/>
          <w:lang w:eastAsia="en-AU"/>
        </w:rPr>
        <w:t xml:space="preserve">Furthermore, assuming that plaintiff had violated § 64-18-21(D), </w:t>
      </w:r>
      <w:r w:rsidRPr="006505D0">
        <w:rPr>
          <w:rFonts w:ascii="Times New Roman" w:eastAsia="Times New Roman" w:hAnsi="Times New Roman" w:cs="Times New Roman"/>
          <w:sz w:val="24"/>
          <w:szCs w:val="24"/>
          <w:lang w:eastAsia="en-AU"/>
        </w:rPr>
        <w:t xml:space="preserve">supra, </w:t>
      </w:r>
      <w:r w:rsidRPr="009F322F">
        <w:rPr>
          <w:rFonts w:ascii="Times New Roman" w:eastAsia="Times New Roman" w:hAnsi="Times New Roman" w:cs="Times New Roman"/>
          <w:sz w:val="24"/>
          <w:szCs w:val="24"/>
          <w:highlight w:val="green"/>
          <w:lang w:eastAsia="en-AU"/>
        </w:rPr>
        <w:t>by turning into the center lane rather than the left lane, this action did not contribute to the collision which subsequently occurred. The plaintiff had completed her turn and the accident occurred 40 feet beyond the intersection. This section was not applicable in this situation.</w:t>
      </w:r>
    </w:p>
    <w:p w14:paraId="54E6A3AA" w14:textId="1745FE30"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C25A0">
        <w:rPr>
          <w:rFonts w:ascii="Times New Roman" w:eastAsia="Times New Roman" w:hAnsi="Times New Roman" w:cs="Times New Roman"/>
          <w:sz w:val="24"/>
          <w:szCs w:val="24"/>
          <w:highlight w:val="yellow"/>
          <w:lang w:eastAsia="en-AU"/>
        </w:rPr>
        <w:t>Janice Butscher</w:t>
      </w:r>
      <w:r w:rsidRPr="00E12FFA">
        <w:rPr>
          <w:rFonts w:ascii="Times New Roman" w:eastAsia="Times New Roman" w:hAnsi="Times New Roman" w:cs="Times New Roman"/>
          <w:sz w:val="24"/>
          <w:szCs w:val="24"/>
          <w:lang w:eastAsia="en-AU"/>
        </w:rPr>
        <w:t xml:space="preserve"> testified that </w:t>
      </w:r>
      <w:r w:rsidRPr="008C25A0">
        <w:rPr>
          <w:rFonts w:ascii="Times New Roman" w:eastAsia="Times New Roman" w:hAnsi="Times New Roman" w:cs="Times New Roman"/>
          <w:sz w:val="24"/>
          <w:szCs w:val="24"/>
          <w:highlight w:val="yellow"/>
          <w:lang w:eastAsia="en-AU"/>
        </w:rPr>
        <w:t>the plaintiff was traveling between 10 and 15 miles per hour in front of her and that she was traveling approximately 10 miles per hour</w:t>
      </w:r>
      <w:r w:rsidRPr="00E12FFA">
        <w:rPr>
          <w:rFonts w:ascii="Times New Roman" w:eastAsia="Times New Roman" w:hAnsi="Times New Roman" w:cs="Times New Roman"/>
          <w:sz w:val="24"/>
          <w:szCs w:val="24"/>
          <w:lang w:eastAsia="en-AU"/>
        </w:rPr>
        <w:t xml:space="preserve">. She further testified that </w:t>
      </w:r>
      <w:r w:rsidRPr="008C25A0">
        <w:rPr>
          <w:rFonts w:ascii="Times New Roman" w:eastAsia="Times New Roman" w:hAnsi="Times New Roman" w:cs="Times New Roman"/>
          <w:sz w:val="24"/>
          <w:szCs w:val="24"/>
          <w:highlight w:val="yellow"/>
          <w:lang w:eastAsia="en-AU"/>
        </w:rPr>
        <w:t xml:space="preserve">she saw the garbage truck in front of plaintiff and that when she saw the brake lights of </w:t>
      </w:r>
      <w:r w:rsidRPr="008C25A0">
        <w:rPr>
          <w:rFonts w:ascii="Times New Roman" w:eastAsia="Times New Roman" w:hAnsi="Times New Roman" w:cs="Times New Roman"/>
          <w:sz w:val="24"/>
          <w:szCs w:val="24"/>
          <w:highlight w:val="yellow"/>
          <w:lang w:eastAsia="en-AU"/>
        </w:rPr>
        <w:lastRenderedPageBreak/>
        <w:t>plaintiff’s vehicle come on, plaintiff’s vehicle was still moving. She described the manner in which plaintiff stopped as sudden</w:t>
      </w:r>
      <w:r w:rsidRPr="00E12FFA">
        <w:rPr>
          <w:rFonts w:ascii="Times New Roman" w:eastAsia="Times New Roman" w:hAnsi="Times New Roman" w:cs="Times New Roman"/>
          <w:sz w:val="24"/>
          <w:szCs w:val="24"/>
          <w:lang w:eastAsia="en-AU"/>
        </w:rPr>
        <w:t xml:space="preserve">. Section 64-18-17(A) provides: “The driver of a motor vehicle shall not follow another vehicle more closely than is reasonable and prudent, having due regard for the speed of such vehicles and the traffic upon and the condition of the highway.” That is, </w:t>
      </w:r>
      <w:r w:rsidRPr="000003DF">
        <w:rPr>
          <w:rFonts w:ascii="Times New Roman" w:eastAsia="Times New Roman" w:hAnsi="Times New Roman" w:cs="Times New Roman"/>
          <w:sz w:val="24"/>
          <w:szCs w:val="24"/>
          <w:highlight w:val="green"/>
          <w:lang w:eastAsia="en-AU"/>
        </w:rPr>
        <w:t>the driver of a following vehicle must control his speed and distance from the vehicle ahead so as to avoid colliding with it if the lead vehicle should make a sudden stop.</w:t>
      </w:r>
      <w:r w:rsidRPr="00E12FFA">
        <w:rPr>
          <w:rFonts w:ascii="Times New Roman" w:eastAsia="Times New Roman" w:hAnsi="Times New Roman" w:cs="Times New Roman"/>
          <w:sz w:val="24"/>
          <w:szCs w:val="24"/>
          <w:lang w:eastAsia="en-AU"/>
        </w:rPr>
        <w:t xml:space="preserve"> </w:t>
      </w:r>
      <w:r w:rsidRPr="000003DF">
        <w:rPr>
          <w:rFonts w:ascii="Times New Roman" w:eastAsia="Times New Roman" w:hAnsi="Times New Roman" w:cs="Times New Roman"/>
          <w:i/>
          <w:iCs/>
          <w:sz w:val="24"/>
          <w:szCs w:val="24"/>
          <w:highlight w:val="cyan"/>
          <w:lang w:eastAsia="en-AU"/>
        </w:rPr>
        <w:t xml:space="preserve">Apato v. Be Mac Transport Company, </w:t>
      </w:r>
      <w:hyperlink r:id="rId6" w:history="1">
        <w:r w:rsidRPr="000003DF">
          <w:rPr>
            <w:rFonts w:ascii="Times New Roman" w:eastAsia="Times New Roman" w:hAnsi="Times New Roman" w:cs="Times New Roman"/>
            <w:color w:val="0000FF"/>
            <w:sz w:val="24"/>
            <w:szCs w:val="24"/>
            <w:highlight w:val="cyan"/>
            <w:u w:val="single"/>
            <w:lang w:eastAsia="en-AU"/>
          </w:rPr>
          <w:t>7 Ill.App.3d 1099</w:t>
        </w:r>
      </w:hyperlink>
      <w:r w:rsidRPr="000003DF">
        <w:rPr>
          <w:rFonts w:ascii="Times New Roman" w:eastAsia="Times New Roman" w:hAnsi="Times New Roman" w:cs="Times New Roman"/>
          <w:sz w:val="24"/>
          <w:szCs w:val="24"/>
          <w:highlight w:val="cyan"/>
          <w:lang w:eastAsia="en-AU"/>
        </w:rPr>
        <w:t xml:space="preserve">, </w:t>
      </w:r>
      <w:r w:rsidRPr="000003DF">
        <w:rPr>
          <w:rFonts w:ascii="Times New Roman" w:eastAsia="Times New Roman" w:hAnsi="Times New Roman" w:cs="Times New Roman"/>
          <w:color w:val="0000FF"/>
          <w:sz w:val="24"/>
          <w:szCs w:val="24"/>
          <w:highlight w:val="cyan"/>
          <w:u w:val="single"/>
          <w:lang w:eastAsia="en-AU"/>
        </w:rPr>
        <w:t>288 N.E.2d 683</w:t>
      </w:r>
      <w:r w:rsidRPr="000003DF">
        <w:rPr>
          <w:rFonts w:ascii="Times New Roman" w:eastAsia="Times New Roman" w:hAnsi="Times New Roman" w:cs="Times New Roman"/>
          <w:sz w:val="24"/>
          <w:szCs w:val="24"/>
          <w:highlight w:val="cyan"/>
          <w:lang w:eastAsia="en-AU"/>
        </w:rPr>
        <w:t xml:space="preserve"> (1972); </w:t>
      </w:r>
      <w:r w:rsidRPr="000003DF">
        <w:rPr>
          <w:rFonts w:ascii="Times New Roman" w:eastAsia="Times New Roman" w:hAnsi="Times New Roman" w:cs="Times New Roman"/>
          <w:i/>
          <w:iCs/>
          <w:sz w:val="24"/>
          <w:szCs w:val="24"/>
          <w:highlight w:val="cyan"/>
          <w:lang w:eastAsia="en-AU"/>
        </w:rPr>
        <w:t xml:space="preserve">Copeland v. Greyhound Corporation, </w:t>
      </w:r>
      <w:hyperlink r:id="rId7" w:history="1">
        <w:r w:rsidRPr="000003DF">
          <w:rPr>
            <w:rFonts w:ascii="Times New Roman" w:eastAsia="Times New Roman" w:hAnsi="Times New Roman" w:cs="Times New Roman"/>
            <w:color w:val="0000FF"/>
            <w:sz w:val="24"/>
            <w:szCs w:val="24"/>
            <w:highlight w:val="cyan"/>
            <w:u w:val="single"/>
            <w:lang w:eastAsia="en-AU"/>
          </w:rPr>
          <w:t>337 F.2d 822</w:t>
        </w:r>
      </w:hyperlink>
      <w:r w:rsidRPr="000003DF">
        <w:rPr>
          <w:rFonts w:ascii="Times New Roman" w:eastAsia="Times New Roman" w:hAnsi="Times New Roman" w:cs="Times New Roman"/>
          <w:sz w:val="24"/>
          <w:szCs w:val="24"/>
          <w:highlight w:val="cyan"/>
          <w:lang w:eastAsia="en-AU"/>
        </w:rPr>
        <w:t xml:space="preserve"> (5th Cir. 1964).</w:t>
      </w:r>
    </w:p>
    <w:p w14:paraId="2F219F6E"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003DF">
        <w:rPr>
          <w:rFonts w:ascii="Times New Roman" w:eastAsia="Times New Roman" w:hAnsi="Times New Roman" w:cs="Times New Roman"/>
          <w:sz w:val="24"/>
          <w:szCs w:val="24"/>
          <w:highlight w:val="green"/>
          <w:lang w:eastAsia="en-AU"/>
        </w:rPr>
        <w:t>Applying this rule to the instant situation, the plaintiff’s principal duty was to keep a lookout ahead and this she fulfilled. She did not collide with the garbage truck in front of her even though it made an unexpected stop, (unexpected in that a vehicle intending to make a right turn should make it from the right lane). There was no evidence that plaintiff was guilty of negligence proximately contributing to the accident</w:t>
      </w:r>
      <w:r w:rsidRPr="00E12FFA">
        <w:rPr>
          <w:rFonts w:ascii="Times New Roman" w:eastAsia="Times New Roman" w:hAnsi="Times New Roman" w:cs="Times New Roman"/>
          <w:sz w:val="24"/>
          <w:szCs w:val="24"/>
          <w:lang w:eastAsia="en-AU"/>
        </w:rPr>
        <w:t xml:space="preserve"> and </w:t>
      </w:r>
      <w:r w:rsidRPr="000003DF">
        <w:rPr>
          <w:rFonts w:ascii="Times New Roman" w:eastAsia="Times New Roman" w:hAnsi="Times New Roman" w:cs="Times New Roman"/>
          <w:sz w:val="24"/>
          <w:szCs w:val="24"/>
          <w:highlight w:val="red"/>
          <w:lang w:eastAsia="en-AU"/>
        </w:rPr>
        <w:t>the trial court erred in not granting her motion for a directed verdict on this issue of contributory negligence</w:t>
      </w:r>
      <w:r w:rsidRPr="00E12FFA">
        <w:rPr>
          <w:rFonts w:ascii="Times New Roman" w:eastAsia="Times New Roman" w:hAnsi="Times New Roman" w:cs="Times New Roman"/>
          <w:sz w:val="24"/>
          <w:szCs w:val="24"/>
          <w:lang w:eastAsia="en-AU"/>
        </w:rPr>
        <w:t>.</w:t>
      </w:r>
    </w:p>
    <w:p w14:paraId="37EDFD4D"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The second part of plaintiff’s point I—A was that the trial court erred by giving instructions 2, 8, 12, 15, and 17, which pertained to plaintiff’s duty of care. The pertinent parts of these instructions are as follows:</w:t>
      </w:r>
    </w:p>
    <w:p w14:paraId="401B519B" w14:textId="77777777" w:rsidR="00E12FFA" w:rsidRPr="00E12FFA" w:rsidRDefault="00E12FFA" w:rsidP="00E12FFA">
      <w:pPr>
        <w:spacing w:after="10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“No. 2. The defendants deny the plaintiff’s claims and assert the following affirmative defense: That the plaintiff was contributorily negligent in that she made an improper turn by failing to enter the proper lane of traffic on Menaul.</w:t>
      </w:r>
    </w:p>
    <w:p w14:paraId="3FCC0DC5" w14:textId="77777777" w:rsidR="0094442C" w:rsidRDefault="00E12FFA" w:rsidP="00E12FFA">
      <w:pPr>
        <w:spacing w:after="10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“No. 8. It was the duty of the plaintiff, before and at the time of the occurrence to use ordinary care for her own safety. </w:t>
      </w:r>
    </w:p>
    <w:p w14:paraId="33C8FB30" w14:textId="77777777" w:rsidR="0094442C" w:rsidRDefault="00E12FFA" w:rsidP="00E12FFA">
      <w:pPr>
        <w:spacing w:after="10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“No. 12. When I use the expression ‘contributory negligence,’ I mean negligence on the part of the plaintiff that proximately contributed to cause the alleged damages of which plaintiff complains. </w:t>
      </w:r>
    </w:p>
    <w:p w14:paraId="731690F4" w14:textId="12391AE2" w:rsidR="00E12FFA" w:rsidRPr="00E12FFA" w:rsidRDefault="00E12FFA" w:rsidP="00E12FFA">
      <w:pPr>
        <w:spacing w:after="10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“No. 15. In determining the issues of negligence and contributory negligence, you are not to consider whether the plaintiff was more or less negligent than the defendant. New Mexico law does not permit you to compare negligence.</w:t>
      </w:r>
    </w:p>
    <w:p w14:paraId="43C3E530" w14:textId="77777777" w:rsidR="00E12FFA" w:rsidRPr="00E12FFA" w:rsidRDefault="00E12FFA" w:rsidP="00E12FFA">
      <w:pPr>
        <w:spacing w:after="10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“The plaintiff cannot recover if he was negligent and that negligence was a proximate cause of the accident and alleged injuries, even though you believe that the defendant may have been more negligent.”</w:t>
      </w:r>
    </w:p>
    <w:p w14:paraId="4D3C48B7"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The pertinent part of instruction No. 17 is set out above.</w:t>
      </w:r>
    </w:p>
    <w:p w14:paraId="1CBE6C00" w14:textId="5DA197CD"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It is our opinion that these instructions were erroneous. As we just stated, </w:t>
      </w:r>
      <w:r w:rsidRPr="000142EF">
        <w:rPr>
          <w:rFonts w:ascii="Times New Roman" w:eastAsia="Times New Roman" w:hAnsi="Times New Roman" w:cs="Times New Roman"/>
          <w:sz w:val="24"/>
          <w:szCs w:val="24"/>
          <w:highlight w:val="green"/>
          <w:lang w:eastAsia="en-AU"/>
        </w:rPr>
        <w:t>there was no evidence adduced showing any negligence on the part of the plaintiff; consequently the issue of contributory negligence should not have been submitted to the jury</w:t>
      </w:r>
      <w:r w:rsidRPr="00E12FFA">
        <w:rPr>
          <w:rFonts w:ascii="Times New Roman" w:eastAsia="Times New Roman" w:hAnsi="Times New Roman" w:cs="Times New Roman"/>
          <w:sz w:val="24"/>
          <w:szCs w:val="24"/>
          <w:lang w:eastAsia="en-AU"/>
        </w:rPr>
        <w:t xml:space="preserve">. See </w:t>
      </w:r>
      <w:r w:rsidRPr="00E12FFA">
        <w:rPr>
          <w:rFonts w:ascii="Times New Roman" w:eastAsia="Times New Roman" w:hAnsi="Times New Roman" w:cs="Times New Roman"/>
          <w:i/>
          <w:iCs/>
          <w:sz w:val="24"/>
          <w:szCs w:val="24"/>
          <w:lang w:eastAsia="en-AU"/>
        </w:rPr>
        <w:t xml:space="preserve">State v. Atchison, Topeka and Santa Fe Railway Co., </w:t>
      </w:r>
      <w:r w:rsidRPr="00E12FFA">
        <w:rPr>
          <w:rFonts w:ascii="Times New Roman" w:eastAsia="Times New Roman" w:hAnsi="Times New Roman" w:cs="Times New Roman"/>
          <w:color w:val="0000FF"/>
          <w:sz w:val="24"/>
          <w:szCs w:val="24"/>
          <w:u w:val="single"/>
          <w:lang w:eastAsia="en-AU"/>
        </w:rPr>
        <w:t>76 N.M. 587</w:t>
      </w:r>
      <w:r w:rsidRPr="00E12FFA">
        <w:rPr>
          <w:rFonts w:ascii="Times New Roman" w:eastAsia="Times New Roman" w:hAnsi="Times New Roman" w:cs="Times New Roman"/>
          <w:sz w:val="24"/>
          <w:szCs w:val="24"/>
          <w:lang w:eastAsia="en-AU"/>
        </w:rPr>
        <w:t xml:space="preserve">, </w:t>
      </w:r>
      <w:hyperlink r:id="rId8" w:history="1">
        <w:r w:rsidRPr="00E12FFA">
          <w:rPr>
            <w:rFonts w:ascii="Times New Roman" w:eastAsia="Times New Roman" w:hAnsi="Times New Roman" w:cs="Times New Roman"/>
            <w:color w:val="0000FF"/>
            <w:sz w:val="24"/>
            <w:szCs w:val="24"/>
            <w:u w:val="single"/>
            <w:lang w:eastAsia="en-AU"/>
          </w:rPr>
          <w:t>417 P.2d 68</w:t>
        </w:r>
      </w:hyperlink>
      <w:r w:rsidRPr="00E12FFA">
        <w:rPr>
          <w:rFonts w:ascii="Times New Roman" w:eastAsia="Times New Roman" w:hAnsi="Times New Roman" w:cs="Times New Roman"/>
          <w:sz w:val="24"/>
          <w:szCs w:val="24"/>
          <w:lang w:eastAsia="en-AU"/>
        </w:rPr>
        <w:t xml:space="preserve"> (1966).</w:t>
      </w:r>
    </w:p>
    <w:p w14:paraId="5041F578"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We believe it necessary for the guidance of the trial court on the re-trial of this case to comment upon some of plaintiff’s other points of error.</w:t>
      </w:r>
    </w:p>
    <w:p w14:paraId="0D72E2A6" w14:textId="4C0D8873"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Plaintiff’s point I-C is without merit because the matter was adequately covered by the trial court’s instruction No. 17, paragraphs one and two. </w:t>
      </w:r>
      <w:r w:rsidRPr="00E12FFA">
        <w:rPr>
          <w:rFonts w:ascii="Times New Roman" w:eastAsia="Times New Roman" w:hAnsi="Times New Roman" w:cs="Times New Roman"/>
          <w:i/>
          <w:iCs/>
          <w:sz w:val="24"/>
          <w:szCs w:val="24"/>
          <w:lang w:eastAsia="en-AU"/>
        </w:rPr>
        <w:t xml:space="preserve">Flanary v. Transport Trucking Stop, </w:t>
      </w:r>
      <w:r w:rsidRPr="00E12FFA">
        <w:rPr>
          <w:rFonts w:ascii="Times New Roman" w:eastAsia="Times New Roman" w:hAnsi="Times New Roman" w:cs="Times New Roman"/>
          <w:color w:val="0000FF"/>
          <w:sz w:val="24"/>
          <w:szCs w:val="24"/>
          <w:u w:val="single"/>
          <w:lang w:eastAsia="en-AU"/>
        </w:rPr>
        <w:t>78 N.M. 797</w:t>
      </w:r>
      <w:r w:rsidRPr="00E12FFA">
        <w:rPr>
          <w:rFonts w:ascii="Times New Roman" w:eastAsia="Times New Roman" w:hAnsi="Times New Roman" w:cs="Times New Roman"/>
          <w:sz w:val="24"/>
          <w:szCs w:val="24"/>
          <w:lang w:eastAsia="en-AU"/>
        </w:rPr>
        <w:t xml:space="preserve">, </w:t>
      </w:r>
      <w:hyperlink r:id="rId9" w:history="1">
        <w:r w:rsidRPr="00E12FFA">
          <w:rPr>
            <w:rFonts w:ascii="Times New Roman" w:eastAsia="Times New Roman" w:hAnsi="Times New Roman" w:cs="Times New Roman"/>
            <w:color w:val="0000FF"/>
            <w:sz w:val="24"/>
            <w:szCs w:val="24"/>
            <w:u w:val="single"/>
            <w:lang w:eastAsia="en-AU"/>
          </w:rPr>
          <w:t>438 P.2d 637</w:t>
        </w:r>
      </w:hyperlink>
      <w:r w:rsidRPr="00E12FFA">
        <w:rPr>
          <w:rFonts w:ascii="Times New Roman" w:eastAsia="Times New Roman" w:hAnsi="Times New Roman" w:cs="Times New Roman"/>
          <w:sz w:val="24"/>
          <w:szCs w:val="24"/>
          <w:lang w:eastAsia="en-AU"/>
        </w:rPr>
        <w:t xml:space="preserve"> (Ct.App.1968). Point II-A is likewise without merit because there was no evidence of a pre-existing condition that was aggravated by the collision of June 1, 1970. Plaintiff’s point II-B is well taken: this instruction was repetitious of instruction No. 20 and unduly emphasized the burden of proving damages. </w:t>
      </w:r>
      <w:r w:rsidRPr="00E12FFA">
        <w:rPr>
          <w:rFonts w:ascii="Times New Roman" w:eastAsia="Times New Roman" w:hAnsi="Times New Roman" w:cs="Times New Roman"/>
          <w:i/>
          <w:iCs/>
          <w:sz w:val="24"/>
          <w:szCs w:val="24"/>
          <w:lang w:eastAsia="en-AU"/>
        </w:rPr>
        <w:t xml:space="preserve">Terry v. Biswell, </w:t>
      </w:r>
      <w:r w:rsidRPr="00E12FFA">
        <w:rPr>
          <w:rFonts w:ascii="Times New Roman" w:eastAsia="Times New Roman" w:hAnsi="Times New Roman" w:cs="Times New Roman"/>
          <w:color w:val="0000FF"/>
          <w:sz w:val="24"/>
          <w:szCs w:val="24"/>
          <w:u w:val="single"/>
          <w:lang w:eastAsia="en-AU"/>
        </w:rPr>
        <w:t>66 N.M. 201</w:t>
      </w:r>
      <w:r w:rsidRPr="00E12FFA">
        <w:rPr>
          <w:rFonts w:ascii="Times New Roman" w:eastAsia="Times New Roman" w:hAnsi="Times New Roman" w:cs="Times New Roman"/>
          <w:sz w:val="24"/>
          <w:szCs w:val="24"/>
          <w:lang w:eastAsia="en-AU"/>
        </w:rPr>
        <w:t xml:space="preserve">, </w:t>
      </w:r>
      <w:hyperlink r:id="rId10" w:history="1">
        <w:r w:rsidRPr="00E12FFA">
          <w:rPr>
            <w:rFonts w:ascii="Times New Roman" w:eastAsia="Times New Roman" w:hAnsi="Times New Roman" w:cs="Times New Roman"/>
            <w:color w:val="0000FF"/>
            <w:sz w:val="24"/>
            <w:szCs w:val="24"/>
            <w:u w:val="single"/>
            <w:lang w:eastAsia="en-AU"/>
          </w:rPr>
          <w:t>345 P.2d 217</w:t>
        </w:r>
      </w:hyperlink>
      <w:r w:rsidRPr="00E12FFA">
        <w:rPr>
          <w:rFonts w:ascii="Times New Roman" w:eastAsia="Times New Roman" w:hAnsi="Times New Roman" w:cs="Times New Roman"/>
          <w:sz w:val="24"/>
          <w:szCs w:val="24"/>
          <w:lang w:eastAsia="en-AU"/>
        </w:rPr>
        <w:t xml:space="preserve"> (1959). As to that part of plaintiff’s point III concerning the trial court’s refusal to admit plaintiff’s exhibit 25 (a tabulation of the time that she lost from work and the hourly rate of pay she would have received), there was no abuse of discretion. However, the trial court did err in refusing to instruct the jury as to the loss of past earnings and the present cash value of earnings reasonably certain to be lost in the future. See N.M.U.J.I.Civ. 14.7.</w:t>
      </w:r>
    </w:p>
    <w:p w14:paraId="0B6DBCEB"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B5438">
        <w:rPr>
          <w:rFonts w:ascii="Times New Roman" w:eastAsia="Times New Roman" w:hAnsi="Times New Roman" w:cs="Times New Roman"/>
          <w:sz w:val="24"/>
          <w:szCs w:val="24"/>
          <w:highlight w:val="red"/>
          <w:lang w:eastAsia="en-AU"/>
        </w:rPr>
        <w:t>The judgment of the trial court is reversed</w:t>
      </w:r>
      <w:r w:rsidRPr="00E12FFA">
        <w:rPr>
          <w:rFonts w:ascii="Times New Roman" w:eastAsia="Times New Roman" w:hAnsi="Times New Roman" w:cs="Times New Roman"/>
          <w:sz w:val="24"/>
          <w:szCs w:val="24"/>
          <w:lang w:eastAsia="en-AU"/>
        </w:rPr>
        <w:t xml:space="preserve"> and the cause remanded for a new trial.</w:t>
      </w:r>
    </w:p>
    <w:p w14:paraId="0BF54935"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LOPEZ, J., concurs.</w:t>
      </w:r>
    </w:p>
    <w:p w14:paraId="5C0634D1"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SUTIN, Judge</w:t>
      </w:r>
    </w:p>
    <w:p w14:paraId="75252976"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(dissenting).</w:t>
      </w:r>
    </w:p>
    <w:p w14:paraId="2DB49785"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I dissent.</w:t>
      </w:r>
    </w:p>
    <w:p w14:paraId="04258257"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This is a common, little, rear end vehicle bump case where both parties were making a left-hand turn, driving at 10 m. p. h. Almost three years later, plaintiff sued defendant for $137,500.00. The jury believed that both parties were negligent and rendered a verdict for the defendant. Plaintiff appeals. This appeal should be affirmed. Jury verdicts and judgments below should not be reversed unless we discover prejudicial error that constitutes a miscarriage of justice.</w:t>
      </w:r>
    </w:p>
    <w:p w14:paraId="2E05FFD9"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A. </w:t>
      </w:r>
      <w:r w:rsidRPr="00E12FFA">
        <w:rPr>
          <w:rFonts w:ascii="Times New Roman" w:eastAsia="Times New Roman" w:hAnsi="Times New Roman" w:cs="Times New Roman"/>
          <w:i/>
          <w:iCs/>
          <w:sz w:val="24"/>
          <w:szCs w:val="24"/>
          <w:lang w:eastAsia="en-AU"/>
        </w:rPr>
        <w:t>Plaintiff was not entitled to a directed verdict on the issue of contributory negligence.</w:t>
      </w:r>
    </w:p>
    <w:p w14:paraId="3735032C"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At the close of the evidence, plaintiff moved for a directed verdict as to the issue of contributory negligence. The motion was properly denied. Authority is unnecessary to establish that the moving party must rely on the evidence most favorable to the defendant, not the plaintiff. To support a directed verdict, it is common practice for appellants to recite the evidence most favorable to themselves. We have no method of preventing this skittish approach to the problem.</w:t>
      </w:r>
    </w:p>
    <w:p w14:paraId="07C77293" w14:textId="1976F9B8"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Immediately before the collision, plaintiff made a left-hand turn from Louisiana Boulevard, slowly proceeding east to the </w:t>
      </w:r>
      <w:r w:rsidRPr="00E12FFA">
        <w:rPr>
          <w:rFonts w:ascii="Times New Roman" w:eastAsia="Times New Roman" w:hAnsi="Times New Roman" w:cs="Times New Roman"/>
          <w:i/>
          <w:iCs/>
          <w:sz w:val="24"/>
          <w:szCs w:val="24"/>
          <w:lang w:eastAsia="en-AU"/>
        </w:rPr>
        <w:t xml:space="preserve">middle </w:t>
      </w:r>
      <w:r w:rsidRPr="00E12FFA">
        <w:rPr>
          <w:rFonts w:ascii="Times New Roman" w:eastAsia="Times New Roman" w:hAnsi="Times New Roman" w:cs="Times New Roman"/>
          <w:sz w:val="24"/>
          <w:szCs w:val="24"/>
          <w:lang w:eastAsia="en-AU"/>
        </w:rPr>
        <w:t xml:space="preserve">lane of Menaul Boulevard. She claims that “due to traffic blocking the innermost, or </w:t>
      </w:r>
      <w:r w:rsidRPr="00E12FFA">
        <w:rPr>
          <w:rFonts w:ascii="Times New Roman" w:eastAsia="Times New Roman" w:hAnsi="Times New Roman" w:cs="Times New Roman"/>
          <w:i/>
          <w:iCs/>
          <w:sz w:val="24"/>
          <w:szCs w:val="24"/>
          <w:lang w:eastAsia="en-AU"/>
        </w:rPr>
        <w:t xml:space="preserve">left hand </w:t>
      </w:r>
      <w:r w:rsidRPr="00E12FFA">
        <w:rPr>
          <w:rFonts w:ascii="Times New Roman" w:eastAsia="Times New Roman" w:hAnsi="Times New Roman" w:cs="Times New Roman"/>
          <w:sz w:val="24"/>
          <w:szCs w:val="24"/>
          <w:lang w:eastAsia="en-AU"/>
        </w:rPr>
        <w:t xml:space="preserve">lane, of Menaul Boulevard, [she] was forced to proceed into the </w:t>
      </w:r>
      <w:r w:rsidRPr="00E12FFA">
        <w:rPr>
          <w:rFonts w:ascii="Times New Roman" w:eastAsia="Times New Roman" w:hAnsi="Times New Roman" w:cs="Times New Roman"/>
          <w:i/>
          <w:iCs/>
          <w:sz w:val="24"/>
          <w:szCs w:val="24"/>
          <w:lang w:eastAsia="en-AU"/>
        </w:rPr>
        <w:t xml:space="preserve">middle </w:t>
      </w:r>
      <w:r w:rsidRPr="00E12FFA">
        <w:rPr>
          <w:rFonts w:ascii="Times New Roman" w:eastAsia="Times New Roman" w:hAnsi="Times New Roman" w:cs="Times New Roman"/>
          <w:sz w:val="24"/>
          <w:szCs w:val="24"/>
          <w:lang w:eastAsia="en-AU"/>
        </w:rPr>
        <w:t xml:space="preserve">lane of Menaul Boulevard proceeding east.” [Emphasis added.] The evidence discloses that the traffic was not stopped in the left-hand lane on Menaul, which was the proper lane for her to complete her turning movement. Traffic was stopped in the middle lane due to the presence of a garbage truck which had come to a stop in that lane. In the left-hand lane, a car was moving slowly and had its blinkers on to turn left. So plaintiff changed her mind and decided to enter the middle lane, then suddenly stopped and was bumped in the rear. At one point in her cross-examination, she was impeached by previous deposition testimony wherein she swore she had “no idea” why she pulled behind the garbage truck in the middle lane. She also testified that she “just went into the middle lane.” Plaintiff was not forced “into the middle lane.” Whether plaintiff’s conduct violated § 64-18-21(D), N.M.S.A.1953 (2d Repl.Vol. 9, pt. </w:t>
      </w:r>
      <w:r w:rsidRPr="00E12FFA">
        <w:rPr>
          <w:rFonts w:ascii="Times New Roman" w:eastAsia="Times New Roman" w:hAnsi="Times New Roman" w:cs="Times New Roman"/>
          <w:color w:val="0000FF"/>
          <w:sz w:val="24"/>
          <w:szCs w:val="24"/>
          <w:u w:val="single"/>
          <w:lang w:eastAsia="en-AU"/>
        </w:rPr>
        <w:t>*390</w:t>
      </w:r>
      <w:r w:rsidRPr="00E12FFA">
        <w:rPr>
          <w:rFonts w:ascii="Times New Roman" w:eastAsia="Times New Roman" w:hAnsi="Times New Roman" w:cs="Times New Roman"/>
          <w:sz w:val="24"/>
          <w:szCs w:val="24"/>
          <w:lang w:eastAsia="en-AU"/>
        </w:rPr>
        <w:t>2), entitled “Required position and method of turning at intersections”, and whether her sudden stop was a careless act, were questions of fact for the jury to determine.</w:t>
      </w:r>
    </w:p>
    <w:p w14:paraId="09831EBD"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Plaintiff was not entitled to a directed verdict.</w:t>
      </w:r>
    </w:p>
    <w:p w14:paraId="063EE805" w14:textId="6403B436"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B. </w:t>
      </w:r>
      <w:r w:rsidRPr="00E12FFA">
        <w:rPr>
          <w:rFonts w:ascii="Times New Roman" w:eastAsia="Times New Roman" w:hAnsi="Times New Roman" w:cs="Times New Roman"/>
          <w:i/>
          <w:iCs/>
          <w:sz w:val="24"/>
          <w:szCs w:val="24"/>
          <w:lang w:eastAsia="en-AU"/>
        </w:rPr>
        <w:t>Instructions on contributory negligence were not erroneous.</w:t>
      </w:r>
    </w:p>
    <w:p w14:paraId="3657B380"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Plaintiff claims error in giving Instructions No. 2 (stated as an affirmative defense); No. 8, which is U.J.I. 12.3; No. 12, which is U.J.I. 13.1; No. 15, which is U.J.I. 13.12; and No. 17, which is U.J.I. 11.1; that these instructions on contributory negligence were erroneous. I disagree.</w:t>
      </w:r>
    </w:p>
    <w:p w14:paraId="5D8E0B5E"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Instructions No. 2, 8, 12 and 15 are correct. It is only necessary to discuss Instruction No. 17, which is U.J.I. 11.1.</w:t>
      </w:r>
    </w:p>
    <w:p w14:paraId="2D56F522"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(1) </w:t>
      </w:r>
      <w:r w:rsidRPr="00E12FFA">
        <w:rPr>
          <w:rFonts w:ascii="Times New Roman" w:eastAsia="Times New Roman" w:hAnsi="Times New Roman" w:cs="Times New Roman"/>
          <w:i/>
          <w:iCs/>
          <w:sz w:val="24"/>
          <w:szCs w:val="24"/>
          <w:lang w:eastAsia="en-AU"/>
        </w:rPr>
        <w:t>U.J.I. 11.1 was not erroneous.</w:t>
      </w:r>
    </w:p>
    <w:p w14:paraId="7C06E6F9"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Instruction No. 17, U.J.I. 11.1, is an instruction on violation of a statute. The problem that arises here is, should U.J.I. 11.2, which provides for excusable or justifiable violation thereof, be substituted for U.J.I. 11.1?</w:t>
      </w:r>
    </w:p>
    <w:p w14:paraId="2FD7E58E"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After stating the statutes involved, the instruction concluded as follows:</w:t>
      </w:r>
    </w:p>
    <w:p w14:paraId="088E3F3F" w14:textId="04021395" w:rsidR="00E12FFA" w:rsidRPr="00E12FFA" w:rsidRDefault="00E12FFA" w:rsidP="00E12FFA">
      <w:pPr>
        <w:spacing w:after="10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If you find from the evidence that any of the parties conducted themselves in violation of one or more of these statutes, you are </w:t>
      </w:r>
      <w:r w:rsidR="00780C4F" w:rsidRPr="00E12FFA">
        <w:rPr>
          <w:rFonts w:ascii="Times New Roman" w:eastAsia="Times New Roman" w:hAnsi="Times New Roman" w:cs="Times New Roman"/>
          <w:sz w:val="24"/>
          <w:szCs w:val="24"/>
          <w:lang w:eastAsia="en-AU"/>
        </w:rPr>
        <w:t>instructed</w:t>
      </w:r>
      <w:r w:rsidRPr="00E12FFA">
        <w:rPr>
          <w:rFonts w:ascii="Times New Roman" w:eastAsia="Times New Roman" w:hAnsi="Times New Roman" w:cs="Times New Roman"/>
          <w:sz w:val="24"/>
          <w:szCs w:val="24"/>
          <w:lang w:eastAsia="en-AU"/>
        </w:rPr>
        <w:t xml:space="preserve"> [sic] that such conduct constituted negligence as a matter of law.</w:t>
      </w:r>
    </w:p>
    <w:p w14:paraId="541D1260"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The language omitted from U.J.I. 11.2 reads:</w:t>
      </w:r>
    </w:p>
    <w:p w14:paraId="7A56D971" w14:textId="77777777" w:rsidR="00E12FFA" w:rsidRPr="00E12FFA" w:rsidRDefault="00E12FFA" w:rsidP="00E12FFA">
      <w:pPr>
        <w:spacing w:after="10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unless you further find that such violation was excusable or justifiable.</w:t>
      </w:r>
    </w:p>
    <w:p w14:paraId="70E0CBD1" w14:textId="77777777" w:rsidR="00E12FFA" w:rsidRPr="00E12FFA" w:rsidRDefault="00E12FFA" w:rsidP="00E12FFA">
      <w:pPr>
        <w:spacing w:after="10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To legally justify or excuse a violation the violator must sustain the burden of showing that he did that which might reasonably be expected of a person of ordinary prudence acting under similar circumstances who desired to comply with the law.</w:t>
      </w:r>
    </w:p>
    <w:p w14:paraId="7AF81638"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Plaintiff objected to Instruction No. 17, U.J.I. 11.1, and tendered an instruction pursuant to U.J.I. 11.2.</w:t>
      </w:r>
    </w:p>
    <w:p w14:paraId="1A7967F2"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The only issue to determine is whether the omission of the provision “that such violation was excusable or justifiable” is prejudicial error. I believe not.</w:t>
      </w:r>
    </w:p>
    <w:p w14:paraId="3E955D4C" w14:textId="70E12398"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“Prejudicial error” has not been defined in New Mexico. It means “error which substantially affects the rights and obligations of appellant as to result in a miscarriage of justice, </w:t>
      </w:r>
      <w:r w:rsidRPr="00E12FFA">
        <w:rPr>
          <w:rFonts w:ascii="Times New Roman" w:eastAsia="Times New Roman" w:hAnsi="Times New Roman" w:cs="Times New Roman"/>
          <w:i/>
          <w:iCs/>
          <w:sz w:val="24"/>
          <w:szCs w:val="24"/>
          <w:lang w:eastAsia="en-AU"/>
        </w:rPr>
        <w:t xml:space="preserve">Kyne v. Eustice, </w:t>
      </w:r>
      <w:hyperlink r:id="rId11" w:history="1">
        <w:r w:rsidRPr="00E12FFA">
          <w:rPr>
            <w:rFonts w:ascii="Times New Roman" w:eastAsia="Times New Roman" w:hAnsi="Times New Roman" w:cs="Times New Roman"/>
            <w:color w:val="0000FF"/>
            <w:sz w:val="24"/>
            <w:szCs w:val="24"/>
            <w:u w:val="single"/>
            <w:lang w:eastAsia="en-AU"/>
          </w:rPr>
          <w:t>215 Cal.App.2d 627</w:t>
        </w:r>
      </w:hyperlink>
      <w:r w:rsidRPr="00E12FFA">
        <w:rPr>
          <w:rFonts w:ascii="Times New Roman" w:eastAsia="Times New Roman" w:hAnsi="Times New Roman" w:cs="Times New Roman"/>
          <w:sz w:val="24"/>
          <w:szCs w:val="24"/>
          <w:lang w:eastAsia="en-AU"/>
        </w:rPr>
        <w:t xml:space="preserve">, </w:t>
      </w:r>
      <w:r w:rsidRPr="00E12FFA">
        <w:rPr>
          <w:rFonts w:ascii="Times New Roman" w:eastAsia="Times New Roman" w:hAnsi="Times New Roman" w:cs="Times New Roman"/>
          <w:color w:val="0000FF"/>
          <w:sz w:val="24"/>
          <w:szCs w:val="24"/>
          <w:u w:val="single"/>
          <w:lang w:eastAsia="en-AU"/>
        </w:rPr>
        <w:t>30 Cal.Rptr. 391</w:t>
      </w:r>
      <w:r w:rsidRPr="00E12FFA">
        <w:rPr>
          <w:rFonts w:ascii="Times New Roman" w:eastAsia="Times New Roman" w:hAnsi="Times New Roman" w:cs="Times New Roman"/>
          <w:sz w:val="24"/>
          <w:szCs w:val="24"/>
          <w:lang w:eastAsia="en-AU"/>
        </w:rPr>
        <w:t xml:space="preserve"> (1963), and the burden is on appellant to establish such prejudice.” </w:t>
      </w:r>
      <w:r w:rsidRPr="00E12FFA">
        <w:rPr>
          <w:rFonts w:ascii="Times New Roman" w:eastAsia="Times New Roman" w:hAnsi="Times New Roman" w:cs="Times New Roman"/>
          <w:i/>
          <w:iCs/>
          <w:sz w:val="24"/>
          <w:szCs w:val="24"/>
          <w:lang w:eastAsia="en-AU"/>
        </w:rPr>
        <w:t xml:space="preserve">Gutierrez v. Gutierrez, </w:t>
      </w:r>
      <w:hyperlink r:id="rId12" w:history="1">
        <w:r w:rsidRPr="00E12FFA">
          <w:rPr>
            <w:rFonts w:ascii="Times New Roman" w:eastAsia="Times New Roman" w:hAnsi="Times New Roman" w:cs="Times New Roman"/>
            <w:color w:val="0000FF"/>
            <w:sz w:val="24"/>
            <w:szCs w:val="24"/>
            <w:u w:val="single"/>
            <w:lang w:eastAsia="en-AU"/>
          </w:rPr>
          <w:t>20 Ariz.App. 388</w:t>
        </w:r>
      </w:hyperlink>
      <w:r w:rsidRPr="00E12FFA">
        <w:rPr>
          <w:rFonts w:ascii="Times New Roman" w:eastAsia="Times New Roman" w:hAnsi="Times New Roman" w:cs="Times New Roman"/>
          <w:sz w:val="24"/>
          <w:szCs w:val="24"/>
          <w:lang w:eastAsia="en-AU"/>
        </w:rPr>
        <w:t xml:space="preserve">, </w:t>
      </w:r>
      <w:r w:rsidRPr="00E12FFA">
        <w:rPr>
          <w:rFonts w:ascii="Times New Roman" w:eastAsia="Times New Roman" w:hAnsi="Times New Roman" w:cs="Times New Roman"/>
          <w:color w:val="0000FF"/>
          <w:sz w:val="24"/>
          <w:szCs w:val="24"/>
          <w:u w:val="single"/>
          <w:lang w:eastAsia="en-AU"/>
        </w:rPr>
        <w:t>513 P.2d 677</w:t>
      </w:r>
      <w:r w:rsidRPr="00E12FFA">
        <w:rPr>
          <w:rFonts w:ascii="Times New Roman" w:eastAsia="Times New Roman" w:hAnsi="Times New Roman" w:cs="Times New Roman"/>
          <w:sz w:val="24"/>
          <w:szCs w:val="24"/>
          <w:lang w:eastAsia="en-AU"/>
        </w:rPr>
        <w:t xml:space="preserve">, 678 (1973). See </w:t>
      </w:r>
      <w:r w:rsidRPr="00E12FFA">
        <w:rPr>
          <w:rFonts w:ascii="Times New Roman" w:eastAsia="Times New Roman" w:hAnsi="Times New Roman" w:cs="Times New Roman"/>
          <w:i/>
          <w:iCs/>
          <w:sz w:val="24"/>
          <w:szCs w:val="24"/>
          <w:lang w:eastAsia="en-AU"/>
        </w:rPr>
        <w:t xml:space="preserve">Specter v. Specter, </w:t>
      </w:r>
      <w:hyperlink r:id="rId13" w:history="1">
        <w:r w:rsidRPr="00E12FFA">
          <w:rPr>
            <w:rFonts w:ascii="Times New Roman" w:eastAsia="Times New Roman" w:hAnsi="Times New Roman" w:cs="Times New Roman"/>
            <w:color w:val="0000FF"/>
            <w:sz w:val="24"/>
            <w:szCs w:val="24"/>
            <w:u w:val="single"/>
            <w:lang w:eastAsia="en-AU"/>
          </w:rPr>
          <w:t>85 N.M. 112</w:t>
        </w:r>
      </w:hyperlink>
      <w:r w:rsidRPr="00E12FFA">
        <w:rPr>
          <w:rFonts w:ascii="Times New Roman" w:eastAsia="Times New Roman" w:hAnsi="Times New Roman" w:cs="Times New Roman"/>
          <w:sz w:val="24"/>
          <w:szCs w:val="24"/>
          <w:lang w:eastAsia="en-AU"/>
        </w:rPr>
        <w:t xml:space="preserve">, </w:t>
      </w:r>
      <w:r w:rsidRPr="00E12FFA">
        <w:rPr>
          <w:rFonts w:ascii="Times New Roman" w:eastAsia="Times New Roman" w:hAnsi="Times New Roman" w:cs="Times New Roman"/>
          <w:color w:val="0000FF"/>
          <w:sz w:val="24"/>
          <w:szCs w:val="24"/>
          <w:u w:val="single"/>
          <w:lang w:eastAsia="en-AU"/>
        </w:rPr>
        <w:t>509 P.2d 879</w:t>
      </w:r>
      <w:r w:rsidRPr="00E12FFA">
        <w:rPr>
          <w:rFonts w:ascii="Times New Roman" w:eastAsia="Times New Roman" w:hAnsi="Times New Roman" w:cs="Times New Roman"/>
          <w:sz w:val="24"/>
          <w:szCs w:val="24"/>
          <w:lang w:eastAsia="en-AU"/>
        </w:rPr>
        <w:t xml:space="preserve"> (1973). This rule applies to instructions given the jury. </w:t>
      </w:r>
      <w:r w:rsidRPr="00E12FFA">
        <w:rPr>
          <w:rFonts w:ascii="Times New Roman" w:eastAsia="Times New Roman" w:hAnsi="Times New Roman" w:cs="Times New Roman"/>
          <w:i/>
          <w:iCs/>
          <w:sz w:val="24"/>
          <w:szCs w:val="24"/>
          <w:lang w:eastAsia="en-AU"/>
        </w:rPr>
        <w:t xml:space="preserve">Jewell v. Seidenberg, </w:t>
      </w:r>
      <w:hyperlink r:id="rId14" w:history="1">
        <w:r w:rsidRPr="00E12FFA">
          <w:rPr>
            <w:rFonts w:ascii="Times New Roman" w:eastAsia="Times New Roman" w:hAnsi="Times New Roman" w:cs="Times New Roman"/>
            <w:color w:val="0000FF"/>
            <w:sz w:val="24"/>
            <w:szCs w:val="24"/>
            <w:u w:val="single"/>
            <w:lang w:eastAsia="en-AU"/>
          </w:rPr>
          <w:t>82 N.M. 120</w:t>
        </w:r>
      </w:hyperlink>
      <w:r w:rsidRPr="00E12FFA">
        <w:rPr>
          <w:rFonts w:ascii="Times New Roman" w:eastAsia="Times New Roman" w:hAnsi="Times New Roman" w:cs="Times New Roman"/>
          <w:sz w:val="24"/>
          <w:szCs w:val="24"/>
          <w:lang w:eastAsia="en-AU"/>
        </w:rPr>
        <w:t xml:space="preserve">, </w:t>
      </w:r>
      <w:r w:rsidRPr="00E12FFA">
        <w:rPr>
          <w:rFonts w:ascii="Times New Roman" w:eastAsia="Times New Roman" w:hAnsi="Times New Roman" w:cs="Times New Roman"/>
          <w:color w:val="0000FF"/>
          <w:sz w:val="24"/>
          <w:szCs w:val="24"/>
          <w:u w:val="single"/>
          <w:lang w:eastAsia="en-AU"/>
        </w:rPr>
        <w:t>477 P.2d 296</w:t>
      </w:r>
      <w:r w:rsidRPr="00E12FFA">
        <w:rPr>
          <w:rFonts w:ascii="Times New Roman" w:eastAsia="Times New Roman" w:hAnsi="Times New Roman" w:cs="Times New Roman"/>
          <w:sz w:val="24"/>
          <w:szCs w:val="24"/>
          <w:lang w:eastAsia="en-AU"/>
        </w:rPr>
        <w:t xml:space="preserve"> (1970).</w:t>
      </w:r>
    </w:p>
    <w:p w14:paraId="0328F0CC"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Plaintiff did not meet the burden of showing prejudicial error.</w:t>
      </w:r>
    </w:p>
    <w:p w14:paraId="54AA80D3"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i/>
          <w:iCs/>
          <w:sz w:val="24"/>
          <w:szCs w:val="24"/>
          <w:lang w:eastAsia="en-AU"/>
        </w:rPr>
        <w:t xml:space="preserve">First, </w:t>
      </w:r>
      <w:r w:rsidRPr="00E12FFA">
        <w:rPr>
          <w:rFonts w:ascii="Times New Roman" w:eastAsia="Times New Roman" w:hAnsi="Times New Roman" w:cs="Times New Roman"/>
          <w:sz w:val="24"/>
          <w:szCs w:val="24"/>
          <w:lang w:eastAsia="en-AU"/>
        </w:rPr>
        <w:t>U.J.I. 11.2, Directions for Use, states:</w:t>
      </w:r>
    </w:p>
    <w:p w14:paraId="2C1CF9C5" w14:textId="77777777" w:rsidR="00E12FFA" w:rsidRPr="00E12FFA" w:rsidRDefault="00E12FFA" w:rsidP="00E12FFA">
      <w:pPr>
        <w:spacing w:after="10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This instruction should not be given unless the court holds as a matter of law that there is sufficient evidence of excuse or justification for the issue to go to the jury. Absent such evidence the “per se” rule applies and is covered by instruction UJI 11.1.</w:t>
      </w:r>
    </w:p>
    <w:p w14:paraId="6EA6C03F"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The court did not hold as a matter of law that there was sufficient evidence to submit the “excusable or justifiable” clause to the jury. Plaintiff was not entitled to U.J.I. 11.2.</w:t>
      </w:r>
    </w:p>
    <w:p w14:paraId="0E2A2E3F"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i/>
          <w:iCs/>
          <w:sz w:val="24"/>
          <w:szCs w:val="24"/>
          <w:lang w:eastAsia="en-AU"/>
        </w:rPr>
        <w:t xml:space="preserve">Second, </w:t>
      </w:r>
      <w:r w:rsidRPr="00E12FFA">
        <w:rPr>
          <w:rFonts w:ascii="Times New Roman" w:eastAsia="Times New Roman" w:hAnsi="Times New Roman" w:cs="Times New Roman"/>
          <w:sz w:val="24"/>
          <w:szCs w:val="24"/>
          <w:lang w:eastAsia="en-AU"/>
        </w:rPr>
        <w:t>in the instant, case, three statutory violations were stated in the instruction: (1) § 64-18-17 (following too closely); (2) § 64-18-21(D) (method of turning at intersection); and (3) § 64-22-3.1 (careless driving), N.M.S.A.1953 (2d Repl.Vol. 9, pt. 2). Plaintiff’s objection was limited to § 64-18-21(D). No claim was made that the evidence supported the “excusable or justifiable” clause which made it applicable to the other two statutes, and plaintiff’s requested instruction did not limit the clause to § 64-18-21(D).</w:t>
      </w:r>
    </w:p>
    <w:p w14:paraId="033CD605"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i/>
          <w:iCs/>
          <w:sz w:val="24"/>
          <w:szCs w:val="24"/>
          <w:lang w:eastAsia="en-AU"/>
        </w:rPr>
        <w:t xml:space="preserve">Third, </w:t>
      </w:r>
      <w:r w:rsidRPr="00E12FFA">
        <w:rPr>
          <w:rFonts w:ascii="Times New Roman" w:eastAsia="Times New Roman" w:hAnsi="Times New Roman" w:cs="Times New Roman"/>
          <w:sz w:val="24"/>
          <w:szCs w:val="24"/>
          <w:lang w:eastAsia="en-AU"/>
        </w:rPr>
        <w:t>“What is sauce for the goose is sauce for the gander.” The same principle applies in both cases; what is fitting for the defendant should be fitting for the plain</w:t>
      </w:r>
      <w:hyperlink r:id="rId15" w:anchor="p391" w:history="1">
        <w:r w:rsidRPr="00E12FFA">
          <w:rPr>
            <w:rFonts w:ascii="Times New Roman" w:eastAsia="Times New Roman" w:hAnsi="Times New Roman" w:cs="Times New Roman"/>
            <w:color w:val="0000FF"/>
            <w:sz w:val="24"/>
            <w:szCs w:val="24"/>
            <w:u w:val="single"/>
            <w:lang w:eastAsia="en-AU"/>
          </w:rPr>
          <w:t>*391</w:t>
        </w:r>
      </w:hyperlink>
      <w:r w:rsidRPr="00E12FFA">
        <w:rPr>
          <w:rFonts w:ascii="Times New Roman" w:eastAsia="Times New Roman" w:hAnsi="Times New Roman" w:cs="Times New Roman"/>
          <w:sz w:val="24"/>
          <w:szCs w:val="24"/>
          <w:lang w:eastAsia="en-AU"/>
        </w:rPr>
        <w:t>tiff. Defendant was slowly following plaintiff in making the left-hand turn at the intersection. Both were charged with statutory violations submitted to .the jury. Plaintiff contends that if the jury believed plaintiff may have committed a “technical” violation of the statute, there was ample justification for her driving in the wrong lane. Defendant would also have the benefit which plaintiff claims. Plaintiff was no more harmed, if at all, than the defendant. It did not constitute prejudicial error.</w:t>
      </w:r>
    </w:p>
    <w:p w14:paraId="4FEB3AF5"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The foregoing instructions were properly given by the court.</w:t>
      </w:r>
    </w:p>
    <w:p w14:paraId="0E41AB3E"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C. </w:t>
      </w:r>
      <w:r w:rsidRPr="00E12FFA">
        <w:rPr>
          <w:rFonts w:ascii="Times New Roman" w:eastAsia="Times New Roman" w:hAnsi="Times New Roman" w:cs="Times New Roman"/>
          <w:i/>
          <w:iCs/>
          <w:sz w:val="24"/>
          <w:szCs w:val="24"/>
          <w:lang w:eastAsia="en-AU"/>
        </w:rPr>
        <w:t>Denial of plaintiff’s requested instruction on violation of speed regulations was not prejudicial error.</w:t>
      </w:r>
    </w:p>
    <w:p w14:paraId="085312AA"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Plaintiff tendered an instruction on violation of four statutes by defendant, one of which was § 64-18-1.1(C), pertaining to speed regulations. At the time of the accident, § 64-18-1.1(A) set speed limits from 15 m. p. h. in school zones to 70 m. p. h. on all highways. Plaintiff and defendant were travelling at the rate of 10 m. p. h. Neither party was exceeding the speed limit. This does not close the inquiry.</w:t>
      </w:r>
    </w:p>
    <w:p w14:paraId="75FFAC84"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Subsection (C) provides:</w:t>
      </w:r>
    </w:p>
    <w:p w14:paraId="6C8A3CF6" w14:textId="77777777" w:rsidR="00E12FFA" w:rsidRPr="00E12FFA" w:rsidRDefault="00E12FFA" w:rsidP="00E12FFA">
      <w:pPr>
        <w:spacing w:after="10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In every event, speed shall be so controlled as may be necessary:</w:t>
      </w:r>
    </w:p>
    <w:p w14:paraId="0E5190B2" w14:textId="77777777" w:rsidR="00E12FFA" w:rsidRPr="00E12FFA" w:rsidRDefault="00E12FFA" w:rsidP="00E12FFA">
      <w:pPr>
        <w:spacing w:after="10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(1) To avoid colliding with any vehicle . on . the highway; and</w:t>
      </w:r>
    </w:p>
    <w:p w14:paraId="6A28C2B8" w14:textId="77777777" w:rsidR="00E12FFA" w:rsidRPr="00E12FFA" w:rsidRDefault="00E12FFA" w:rsidP="00E12FFA">
      <w:pPr>
        <w:spacing w:after="10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(2) To comply with . . . the duty of all persons to use due care.</w:t>
      </w:r>
    </w:p>
    <w:p w14:paraId="38C306AE" w14:textId="370BD76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This subsection means that vehicles may only be operated at such speed as shall be consistent at all times with safety and the proper use of the roads to avoid a collision. </w:t>
      </w:r>
      <w:r w:rsidRPr="00E12FFA">
        <w:rPr>
          <w:rFonts w:ascii="Times New Roman" w:eastAsia="Times New Roman" w:hAnsi="Times New Roman" w:cs="Times New Roman"/>
          <w:i/>
          <w:iCs/>
          <w:sz w:val="24"/>
          <w:szCs w:val="24"/>
          <w:lang w:eastAsia="en-AU"/>
        </w:rPr>
        <w:t xml:space="preserve">Langenegger v. McNally, </w:t>
      </w:r>
      <w:r w:rsidRPr="00E12FFA">
        <w:rPr>
          <w:rFonts w:ascii="Times New Roman" w:eastAsia="Times New Roman" w:hAnsi="Times New Roman" w:cs="Times New Roman"/>
          <w:color w:val="0000FF"/>
          <w:sz w:val="24"/>
          <w:szCs w:val="24"/>
          <w:u w:val="single"/>
          <w:lang w:eastAsia="en-AU"/>
        </w:rPr>
        <w:t>50 N.M. 96</w:t>
      </w:r>
      <w:r w:rsidRPr="00E12FFA">
        <w:rPr>
          <w:rFonts w:ascii="Times New Roman" w:eastAsia="Times New Roman" w:hAnsi="Times New Roman" w:cs="Times New Roman"/>
          <w:sz w:val="24"/>
          <w:szCs w:val="24"/>
          <w:lang w:eastAsia="en-AU"/>
        </w:rPr>
        <w:t xml:space="preserve">, </w:t>
      </w:r>
      <w:hyperlink r:id="rId16" w:history="1">
        <w:r w:rsidRPr="00E12FFA">
          <w:rPr>
            <w:rFonts w:ascii="Times New Roman" w:eastAsia="Times New Roman" w:hAnsi="Times New Roman" w:cs="Times New Roman"/>
            <w:color w:val="0000FF"/>
            <w:sz w:val="24"/>
            <w:szCs w:val="24"/>
            <w:u w:val="single"/>
            <w:lang w:eastAsia="en-AU"/>
          </w:rPr>
          <w:t>171 P.2d 316</w:t>
        </w:r>
      </w:hyperlink>
      <w:r w:rsidRPr="00E12FFA">
        <w:rPr>
          <w:rFonts w:ascii="Times New Roman" w:eastAsia="Times New Roman" w:hAnsi="Times New Roman" w:cs="Times New Roman"/>
          <w:sz w:val="24"/>
          <w:szCs w:val="24"/>
          <w:lang w:eastAsia="en-AU"/>
        </w:rPr>
        <w:t xml:space="preserve"> (1946). If the trial court had considered speed as an essential ingredient of negligence, it would have included subsection (C) in Instruction No. 17, supra.</w:t>
      </w:r>
    </w:p>
    <w:p w14:paraId="2CE40207" w14:textId="07C997AD"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In </w:t>
      </w:r>
      <w:r w:rsidRPr="00E12FFA">
        <w:rPr>
          <w:rFonts w:ascii="Times New Roman" w:eastAsia="Times New Roman" w:hAnsi="Times New Roman" w:cs="Times New Roman"/>
          <w:i/>
          <w:iCs/>
          <w:sz w:val="24"/>
          <w:szCs w:val="24"/>
          <w:lang w:eastAsia="en-AU"/>
        </w:rPr>
        <w:t xml:space="preserve">Lopez v. Maes, </w:t>
      </w:r>
      <w:r w:rsidRPr="00E12FFA">
        <w:rPr>
          <w:rFonts w:ascii="Times New Roman" w:eastAsia="Times New Roman" w:hAnsi="Times New Roman" w:cs="Times New Roman"/>
          <w:color w:val="0000FF"/>
          <w:sz w:val="24"/>
          <w:szCs w:val="24"/>
          <w:u w:val="single"/>
          <w:lang w:eastAsia="en-AU"/>
        </w:rPr>
        <w:t>81 N.M. 693</w:t>
      </w:r>
      <w:r w:rsidRPr="00E12FFA">
        <w:rPr>
          <w:rFonts w:ascii="Times New Roman" w:eastAsia="Times New Roman" w:hAnsi="Times New Roman" w:cs="Times New Roman"/>
          <w:sz w:val="24"/>
          <w:szCs w:val="24"/>
          <w:lang w:eastAsia="en-AU"/>
        </w:rPr>
        <w:t xml:space="preserve">, </w:t>
      </w:r>
      <w:hyperlink r:id="rId17" w:history="1">
        <w:r w:rsidRPr="00E12FFA">
          <w:rPr>
            <w:rFonts w:ascii="Times New Roman" w:eastAsia="Times New Roman" w:hAnsi="Times New Roman" w:cs="Times New Roman"/>
            <w:color w:val="0000FF"/>
            <w:sz w:val="24"/>
            <w:szCs w:val="24"/>
            <w:u w:val="single"/>
            <w:lang w:eastAsia="en-AU"/>
          </w:rPr>
          <w:t>472 P.2d 658</w:t>
        </w:r>
      </w:hyperlink>
      <w:r w:rsidRPr="00E12FFA">
        <w:rPr>
          <w:rFonts w:ascii="Times New Roman" w:eastAsia="Times New Roman" w:hAnsi="Times New Roman" w:cs="Times New Roman"/>
          <w:sz w:val="24"/>
          <w:szCs w:val="24"/>
          <w:lang w:eastAsia="en-AU"/>
        </w:rPr>
        <w:t xml:space="preserve"> (Ct.App.1970), the same requested instruction was denied. Plaintiff in the instant case and in </w:t>
      </w:r>
      <w:r w:rsidRPr="00E12FFA">
        <w:rPr>
          <w:rFonts w:ascii="Times New Roman" w:eastAsia="Times New Roman" w:hAnsi="Times New Roman" w:cs="Times New Roman"/>
          <w:i/>
          <w:iCs/>
          <w:sz w:val="24"/>
          <w:szCs w:val="24"/>
          <w:lang w:eastAsia="en-AU"/>
        </w:rPr>
        <w:t xml:space="preserve">Lopez </w:t>
      </w:r>
      <w:r w:rsidRPr="00E12FFA">
        <w:rPr>
          <w:rFonts w:ascii="Times New Roman" w:eastAsia="Times New Roman" w:hAnsi="Times New Roman" w:cs="Times New Roman"/>
          <w:sz w:val="24"/>
          <w:szCs w:val="24"/>
          <w:lang w:eastAsia="en-AU"/>
        </w:rPr>
        <w:t xml:space="preserve">relied on </w:t>
      </w:r>
      <w:r w:rsidRPr="00E12FFA">
        <w:rPr>
          <w:rFonts w:ascii="Times New Roman" w:eastAsia="Times New Roman" w:hAnsi="Times New Roman" w:cs="Times New Roman"/>
          <w:i/>
          <w:iCs/>
          <w:sz w:val="24"/>
          <w:szCs w:val="24"/>
          <w:lang w:eastAsia="en-AU"/>
        </w:rPr>
        <w:t xml:space="preserve">Langenegger, </w:t>
      </w:r>
      <w:r w:rsidRPr="00E12FFA">
        <w:rPr>
          <w:rFonts w:ascii="Times New Roman" w:eastAsia="Times New Roman" w:hAnsi="Times New Roman" w:cs="Times New Roman"/>
          <w:sz w:val="24"/>
          <w:szCs w:val="24"/>
          <w:lang w:eastAsia="en-AU"/>
        </w:rPr>
        <w:t xml:space="preserve">supra. </w:t>
      </w:r>
      <w:r w:rsidRPr="00E12FFA">
        <w:rPr>
          <w:rFonts w:ascii="Times New Roman" w:eastAsia="Times New Roman" w:hAnsi="Times New Roman" w:cs="Times New Roman"/>
          <w:i/>
          <w:iCs/>
          <w:sz w:val="24"/>
          <w:szCs w:val="24"/>
          <w:lang w:eastAsia="en-AU"/>
        </w:rPr>
        <w:t xml:space="preserve">Lopez </w:t>
      </w:r>
      <w:r w:rsidRPr="00E12FFA">
        <w:rPr>
          <w:rFonts w:ascii="Times New Roman" w:eastAsia="Times New Roman" w:hAnsi="Times New Roman" w:cs="Times New Roman"/>
          <w:sz w:val="24"/>
          <w:szCs w:val="24"/>
          <w:lang w:eastAsia="en-AU"/>
        </w:rPr>
        <w:t xml:space="preserve">held that the language in </w:t>
      </w:r>
      <w:r w:rsidRPr="00E12FFA">
        <w:rPr>
          <w:rFonts w:ascii="Times New Roman" w:eastAsia="Times New Roman" w:hAnsi="Times New Roman" w:cs="Times New Roman"/>
          <w:i/>
          <w:iCs/>
          <w:sz w:val="24"/>
          <w:szCs w:val="24"/>
          <w:lang w:eastAsia="en-AU"/>
        </w:rPr>
        <w:t xml:space="preserve">Langenegger </w:t>
      </w:r>
      <w:r w:rsidRPr="00E12FFA">
        <w:rPr>
          <w:rFonts w:ascii="Times New Roman" w:eastAsia="Times New Roman" w:hAnsi="Times New Roman" w:cs="Times New Roman"/>
          <w:sz w:val="24"/>
          <w:szCs w:val="24"/>
          <w:lang w:eastAsia="en-AU"/>
        </w:rPr>
        <w:t>did not compel the giving of the instruction. The Court said:</w:t>
      </w:r>
    </w:p>
    <w:p w14:paraId="422E7E97" w14:textId="4EF74D13" w:rsidR="00E12FFA" w:rsidRPr="00E12FFA" w:rsidRDefault="00E12FFA" w:rsidP="00E12FFA">
      <w:pPr>
        <w:spacing w:after="100"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There is no evidence that either defendant was violating the maximum speed limit of 45 miles per hour, and there is no evidence that either was driving at a speed inconsistent with the exercise of due care and the proper use of the highway. Excessive speed under the prevailing conditions is not inferable from the mere fact that the accident happened. [</w:t>
      </w:r>
      <w:r w:rsidRPr="00E12FFA">
        <w:rPr>
          <w:rFonts w:ascii="Times New Roman" w:eastAsia="Times New Roman" w:hAnsi="Times New Roman" w:cs="Times New Roman"/>
          <w:color w:val="0000FF"/>
          <w:sz w:val="24"/>
          <w:szCs w:val="24"/>
          <w:u w:val="single"/>
          <w:lang w:eastAsia="en-AU"/>
        </w:rPr>
        <w:t>81 N.M. at 700</w:t>
      </w:r>
      <w:r w:rsidRPr="00E12FFA">
        <w:rPr>
          <w:rFonts w:ascii="Times New Roman" w:eastAsia="Times New Roman" w:hAnsi="Times New Roman" w:cs="Times New Roman"/>
          <w:sz w:val="24"/>
          <w:szCs w:val="24"/>
          <w:lang w:eastAsia="en-AU"/>
        </w:rPr>
        <w:t xml:space="preserve">, </w:t>
      </w:r>
      <w:hyperlink r:id="rId18" w:history="1">
        <w:r w:rsidRPr="00E12FFA">
          <w:rPr>
            <w:rFonts w:ascii="Times New Roman" w:eastAsia="Times New Roman" w:hAnsi="Times New Roman" w:cs="Times New Roman"/>
            <w:color w:val="0000FF"/>
            <w:sz w:val="24"/>
            <w:szCs w:val="24"/>
            <w:u w:val="single"/>
            <w:lang w:eastAsia="en-AU"/>
          </w:rPr>
          <w:t>472 P.2d at 665</w:t>
        </w:r>
      </w:hyperlink>
      <w:r w:rsidRPr="00E12FFA">
        <w:rPr>
          <w:rFonts w:ascii="Times New Roman" w:eastAsia="Times New Roman" w:hAnsi="Times New Roman" w:cs="Times New Roman"/>
          <w:sz w:val="24"/>
          <w:szCs w:val="24"/>
          <w:lang w:eastAsia="en-AU"/>
        </w:rPr>
        <w:t>]</w:t>
      </w:r>
    </w:p>
    <w:p w14:paraId="0CBB3B9A" w14:textId="4A92921A"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 xml:space="preserve">This language is applicable to the instant case. To have given U.J.I. 11.2 would have been reversible error. </w:t>
      </w:r>
      <w:r w:rsidRPr="00E12FFA">
        <w:rPr>
          <w:rFonts w:ascii="Times New Roman" w:eastAsia="Times New Roman" w:hAnsi="Times New Roman" w:cs="Times New Roman"/>
          <w:i/>
          <w:iCs/>
          <w:sz w:val="24"/>
          <w:szCs w:val="24"/>
          <w:lang w:eastAsia="en-AU"/>
        </w:rPr>
        <w:t xml:space="preserve">Embrey v. Galentin, </w:t>
      </w:r>
      <w:r w:rsidRPr="00E12FFA">
        <w:rPr>
          <w:rFonts w:ascii="Times New Roman" w:eastAsia="Times New Roman" w:hAnsi="Times New Roman" w:cs="Times New Roman"/>
          <w:color w:val="0000FF"/>
          <w:sz w:val="24"/>
          <w:szCs w:val="24"/>
          <w:u w:val="single"/>
          <w:lang w:eastAsia="en-AU"/>
        </w:rPr>
        <w:t>76 N.M. 719</w:t>
      </w:r>
      <w:r w:rsidRPr="00E12FFA">
        <w:rPr>
          <w:rFonts w:ascii="Times New Roman" w:eastAsia="Times New Roman" w:hAnsi="Times New Roman" w:cs="Times New Roman"/>
          <w:sz w:val="24"/>
          <w:szCs w:val="24"/>
          <w:lang w:eastAsia="en-AU"/>
        </w:rPr>
        <w:t xml:space="preserve">, </w:t>
      </w:r>
      <w:hyperlink r:id="rId19" w:history="1">
        <w:r w:rsidRPr="00E12FFA">
          <w:rPr>
            <w:rFonts w:ascii="Times New Roman" w:eastAsia="Times New Roman" w:hAnsi="Times New Roman" w:cs="Times New Roman"/>
            <w:color w:val="0000FF"/>
            <w:sz w:val="24"/>
            <w:szCs w:val="24"/>
            <w:u w:val="single"/>
            <w:lang w:eastAsia="en-AU"/>
          </w:rPr>
          <w:t>418 P.2d 62</w:t>
        </w:r>
      </w:hyperlink>
      <w:r w:rsidRPr="00E12FFA">
        <w:rPr>
          <w:rFonts w:ascii="Times New Roman" w:eastAsia="Times New Roman" w:hAnsi="Times New Roman" w:cs="Times New Roman"/>
          <w:sz w:val="24"/>
          <w:szCs w:val="24"/>
          <w:lang w:eastAsia="en-AU"/>
        </w:rPr>
        <w:t xml:space="preserve"> (1966).</w:t>
      </w:r>
    </w:p>
    <w:p w14:paraId="05EA4722" w14:textId="77777777" w:rsidR="00E12FFA" w:rsidRP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Plaintiff’s requested instruction was properly denied.</w:t>
      </w:r>
    </w:p>
    <w:p w14:paraId="07B7A212" w14:textId="7D212948" w:rsidR="00E12FFA" w:rsidRDefault="00E12FFA"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12FFA">
        <w:rPr>
          <w:rFonts w:ascii="Times New Roman" w:eastAsia="Times New Roman" w:hAnsi="Times New Roman" w:cs="Times New Roman"/>
          <w:sz w:val="24"/>
          <w:szCs w:val="24"/>
          <w:lang w:eastAsia="en-AU"/>
        </w:rPr>
        <w:t>Other claimed errors relating to damages are irrelevant.</w:t>
      </w:r>
    </w:p>
    <w:p w14:paraId="7C39A6E3" w14:textId="4AC45CDB" w:rsidR="00403EA7" w:rsidRDefault="00403EA7"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6A2B2A47" w14:textId="30CA3C69" w:rsidR="00403EA7" w:rsidRDefault="00403EA7" w:rsidP="00E12FF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597C48A8" w14:textId="6C375B99" w:rsidR="00403EA7" w:rsidRDefault="00403EA7" w:rsidP="00E12FFA">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plaintiff was contributorily negligent in</w:t>
      </w:r>
      <w:r w:rsidR="00732D8A">
        <w:rPr>
          <w:rFonts w:ascii="Times New Roman" w:eastAsia="Times New Roman" w:hAnsi="Times New Roman" w:cs="Times New Roman"/>
          <w:sz w:val="24"/>
          <w:szCs w:val="24"/>
          <w:lang w:eastAsia="en-AU"/>
        </w:rPr>
        <w:t xml:space="preserve"> stopping too quickly behind another vehicle after making a turn.</w:t>
      </w:r>
    </w:p>
    <w:p w14:paraId="22C1E050" w14:textId="28533923" w:rsidR="00732D8A" w:rsidRPr="00732D8A" w:rsidRDefault="00732D8A" w:rsidP="00E12FF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732D8A">
        <w:rPr>
          <w:rFonts w:ascii="Times New Roman" w:eastAsia="Times New Roman" w:hAnsi="Times New Roman" w:cs="Times New Roman"/>
          <w:b/>
          <w:bCs/>
          <w:sz w:val="24"/>
          <w:szCs w:val="24"/>
          <w:lang w:eastAsia="en-AU"/>
        </w:rPr>
        <w:t>Summary:</w:t>
      </w:r>
    </w:p>
    <w:p w14:paraId="1BC3AA57" w14:textId="1C2D7F15" w:rsidR="00732D8A" w:rsidRDefault="00732D8A" w:rsidP="00732D8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w:t>
      </w:r>
      <w:r w:rsidR="00E40FAE">
        <w:rPr>
          <w:rFonts w:ascii="Times New Roman" w:eastAsia="Times New Roman" w:hAnsi="Times New Roman" w:cs="Times New Roman"/>
          <w:sz w:val="24"/>
          <w:szCs w:val="24"/>
          <w:lang w:eastAsia="en-AU"/>
        </w:rPr>
        <w:t>made a left-hand turn at an intersection, and the defendant</w:t>
      </w:r>
      <w:r w:rsidR="003D3F35">
        <w:rPr>
          <w:rFonts w:ascii="Times New Roman" w:eastAsia="Times New Roman" w:hAnsi="Times New Roman" w:cs="Times New Roman"/>
          <w:sz w:val="24"/>
          <w:szCs w:val="24"/>
          <w:lang w:eastAsia="en-AU"/>
        </w:rPr>
        <w:t xml:space="preserve"> followed her</w:t>
      </w:r>
      <w:r w:rsidR="00E9518B">
        <w:rPr>
          <w:rFonts w:ascii="Times New Roman" w:eastAsia="Times New Roman" w:hAnsi="Times New Roman" w:cs="Times New Roman"/>
          <w:sz w:val="24"/>
          <w:szCs w:val="24"/>
          <w:lang w:eastAsia="en-AU"/>
        </w:rPr>
        <w:t>.</w:t>
      </w:r>
    </w:p>
    <w:p w14:paraId="3584B53F" w14:textId="77777777" w:rsidR="00E9518B" w:rsidRDefault="00E9518B" w:rsidP="00732D8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After the turn was completed, 40 feet down the road, the plaintiff stopped abruptly behind a garbage truck, and the defendant’s vehicle collided with the plaintiff’s vehicle.</w:t>
      </w:r>
    </w:p>
    <w:p w14:paraId="1870F79D" w14:textId="60540D44" w:rsidR="00E9518B" w:rsidRDefault="00E9518B" w:rsidP="00732D8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trial court told the jury that if</w:t>
      </w:r>
      <w:r w:rsidR="00A2663D">
        <w:rPr>
          <w:rFonts w:ascii="Times New Roman" w:eastAsia="Times New Roman" w:hAnsi="Times New Roman" w:cs="Times New Roman"/>
          <w:sz w:val="24"/>
          <w:szCs w:val="24"/>
          <w:lang w:eastAsia="en-AU"/>
        </w:rPr>
        <w:t xml:space="preserve"> the jury determined that the plaintiff</w:t>
      </w:r>
      <w:r>
        <w:rPr>
          <w:rFonts w:ascii="Times New Roman" w:eastAsia="Times New Roman" w:hAnsi="Times New Roman" w:cs="Times New Roman"/>
          <w:sz w:val="24"/>
          <w:szCs w:val="24"/>
          <w:lang w:eastAsia="en-AU"/>
        </w:rPr>
        <w:t xml:space="preserve"> </w:t>
      </w:r>
      <w:r w:rsidR="00A2663D">
        <w:rPr>
          <w:rFonts w:ascii="Times New Roman" w:eastAsia="Times New Roman" w:hAnsi="Times New Roman" w:cs="Times New Roman"/>
          <w:sz w:val="24"/>
          <w:szCs w:val="24"/>
          <w:lang w:eastAsia="en-AU"/>
        </w:rPr>
        <w:t>had not turned from the left-most lane</w:t>
      </w:r>
      <w:r w:rsidR="0061122C">
        <w:rPr>
          <w:rFonts w:ascii="Times New Roman" w:eastAsia="Times New Roman" w:hAnsi="Times New Roman" w:cs="Times New Roman"/>
          <w:sz w:val="24"/>
          <w:szCs w:val="24"/>
          <w:lang w:eastAsia="en-AU"/>
        </w:rPr>
        <w:t xml:space="preserve"> (but instead from another lane)</w:t>
      </w:r>
      <w:r w:rsidR="00A2663D">
        <w:rPr>
          <w:rFonts w:ascii="Times New Roman" w:eastAsia="Times New Roman" w:hAnsi="Times New Roman" w:cs="Times New Roman"/>
          <w:sz w:val="24"/>
          <w:szCs w:val="24"/>
          <w:lang w:eastAsia="en-AU"/>
        </w:rPr>
        <w:t>,</w:t>
      </w:r>
      <w:r w:rsidR="0061122C">
        <w:rPr>
          <w:rFonts w:ascii="Times New Roman" w:eastAsia="Times New Roman" w:hAnsi="Times New Roman" w:cs="Times New Roman"/>
          <w:sz w:val="24"/>
          <w:szCs w:val="24"/>
          <w:lang w:eastAsia="en-AU"/>
        </w:rPr>
        <w:t xml:space="preserve"> that failure amounted to contributory negligence</w:t>
      </w:r>
      <w:r w:rsidR="000D5D9B">
        <w:rPr>
          <w:rFonts w:ascii="Times New Roman" w:eastAsia="Times New Roman" w:hAnsi="Times New Roman" w:cs="Times New Roman"/>
          <w:sz w:val="24"/>
          <w:szCs w:val="24"/>
          <w:lang w:eastAsia="en-AU"/>
        </w:rPr>
        <w:t xml:space="preserve"> because it was a breach of law</w:t>
      </w:r>
      <w:r w:rsidR="00D1692B">
        <w:rPr>
          <w:rFonts w:ascii="Times New Roman" w:eastAsia="Times New Roman" w:hAnsi="Times New Roman" w:cs="Times New Roman"/>
          <w:sz w:val="24"/>
          <w:szCs w:val="24"/>
          <w:lang w:eastAsia="en-AU"/>
        </w:rPr>
        <w:t>.</w:t>
      </w:r>
    </w:p>
    <w:p w14:paraId="2414B544" w14:textId="4135BE0D" w:rsidR="00D1692B" w:rsidRDefault="00D1692B" w:rsidP="00732D8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However, the Court of Appeals found that</w:t>
      </w:r>
      <w:r w:rsidR="000D5D9B">
        <w:rPr>
          <w:rFonts w:ascii="Times New Roman" w:eastAsia="Times New Roman" w:hAnsi="Times New Roman" w:cs="Times New Roman"/>
          <w:sz w:val="24"/>
          <w:szCs w:val="24"/>
          <w:lang w:eastAsia="en-AU"/>
        </w:rPr>
        <w:t xml:space="preserve"> the accident actually occurred </w:t>
      </w:r>
      <w:r w:rsidR="000D5D9B">
        <w:rPr>
          <w:rFonts w:ascii="Times New Roman" w:eastAsia="Times New Roman" w:hAnsi="Times New Roman" w:cs="Times New Roman"/>
          <w:i/>
          <w:iCs/>
          <w:sz w:val="24"/>
          <w:szCs w:val="24"/>
          <w:lang w:eastAsia="en-AU"/>
        </w:rPr>
        <w:t>after</w:t>
      </w:r>
      <w:r w:rsidR="000D5D9B">
        <w:rPr>
          <w:rFonts w:ascii="Times New Roman" w:eastAsia="Times New Roman" w:hAnsi="Times New Roman" w:cs="Times New Roman"/>
          <w:sz w:val="24"/>
          <w:szCs w:val="24"/>
          <w:lang w:eastAsia="en-AU"/>
        </w:rPr>
        <w:t xml:space="preserve"> the intersection, so the</w:t>
      </w:r>
      <w:r w:rsidR="005210C7">
        <w:rPr>
          <w:rFonts w:ascii="Times New Roman" w:eastAsia="Times New Roman" w:hAnsi="Times New Roman" w:cs="Times New Roman"/>
          <w:sz w:val="24"/>
          <w:szCs w:val="24"/>
          <w:lang w:eastAsia="en-AU"/>
        </w:rPr>
        <w:t xml:space="preserve"> law that the trial court relied on when it told the jury about contributory negligence was not applicable.</w:t>
      </w:r>
    </w:p>
    <w:p w14:paraId="45C8CDC4" w14:textId="70BBEA89" w:rsidR="005210C7" w:rsidRDefault="00C90737" w:rsidP="00732D8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Court of Appeals also found that the plaintiff only had a duty to drive in such a way as to be able to stop behind traffic that stop</w:t>
      </w:r>
      <w:r w:rsidR="00B5333B">
        <w:rPr>
          <w:rFonts w:ascii="Times New Roman" w:eastAsia="Times New Roman" w:hAnsi="Times New Roman" w:cs="Times New Roman"/>
          <w:sz w:val="24"/>
          <w:szCs w:val="24"/>
          <w:lang w:eastAsia="en-AU"/>
        </w:rPr>
        <w:t xml:space="preserve">ped suddenly in front her. The plaintiff fulfilled this duty, so there was </w:t>
      </w:r>
      <w:r w:rsidR="00B5333B" w:rsidRPr="00B5333B">
        <w:rPr>
          <w:rFonts w:ascii="Times New Roman" w:eastAsia="Times New Roman" w:hAnsi="Times New Roman" w:cs="Times New Roman"/>
          <w:b/>
          <w:bCs/>
          <w:sz w:val="24"/>
          <w:szCs w:val="24"/>
          <w:lang w:eastAsia="en-AU"/>
        </w:rPr>
        <w:t>no contributory negligence</w:t>
      </w:r>
      <w:r w:rsidR="00B5333B">
        <w:rPr>
          <w:rFonts w:ascii="Times New Roman" w:eastAsia="Times New Roman" w:hAnsi="Times New Roman" w:cs="Times New Roman"/>
          <w:sz w:val="24"/>
          <w:szCs w:val="24"/>
          <w:lang w:eastAsia="en-AU"/>
        </w:rPr>
        <w:t>.</w:t>
      </w:r>
    </w:p>
    <w:p w14:paraId="74217151" w14:textId="658FED61" w:rsidR="0022203D" w:rsidRPr="00732D8A" w:rsidRDefault="0022203D" w:rsidP="00732D8A">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Incidentally</w:t>
      </w:r>
      <w:r>
        <w:rPr>
          <w:rFonts w:ascii="Times New Roman" w:eastAsia="Times New Roman" w:hAnsi="Times New Roman" w:cs="Times New Roman"/>
          <w:sz w:val="24"/>
          <w:szCs w:val="24"/>
          <w:lang w:eastAsia="en-AU"/>
        </w:rPr>
        <w:t>, because there was no evidence of contributory negligence, the trial court should not have given jury instructions about contributory negligence, and was in error for doing so.</w:t>
      </w:r>
    </w:p>
    <w:p w14:paraId="70F56BD8"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A5EFD"/>
    <w:multiLevelType w:val="hybridMultilevel"/>
    <w:tmpl w:val="BF0A60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224F04"/>
    <w:multiLevelType w:val="hybridMultilevel"/>
    <w:tmpl w:val="D11A7A30"/>
    <w:lvl w:ilvl="0" w:tplc="123E4EA8">
      <w:start w:val="19"/>
      <w:numFmt w:val="bullet"/>
      <w:lvlText w:val="-"/>
      <w:lvlJc w:val="left"/>
      <w:pPr>
        <w:ind w:left="720" w:hanging="360"/>
      </w:pPr>
      <w:rPr>
        <w:rFonts w:ascii="Garamond" w:eastAsiaTheme="minorHAnsi" w:hAnsi="Garamond"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5565170">
    <w:abstractNumId w:val="0"/>
  </w:num>
  <w:num w:numId="2" w16cid:durableId="982195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FA"/>
    <w:rsid w:val="000003DF"/>
    <w:rsid w:val="000142EF"/>
    <w:rsid w:val="000C2FBA"/>
    <w:rsid w:val="000D5D9B"/>
    <w:rsid w:val="001606B4"/>
    <w:rsid w:val="001F1FEB"/>
    <w:rsid w:val="0022203D"/>
    <w:rsid w:val="002B5438"/>
    <w:rsid w:val="003200E7"/>
    <w:rsid w:val="0032704F"/>
    <w:rsid w:val="0037288C"/>
    <w:rsid w:val="003D3F35"/>
    <w:rsid w:val="00403EA7"/>
    <w:rsid w:val="00474A32"/>
    <w:rsid w:val="005210C7"/>
    <w:rsid w:val="00597036"/>
    <w:rsid w:val="0061122C"/>
    <w:rsid w:val="006505D0"/>
    <w:rsid w:val="00732D8A"/>
    <w:rsid w:val="00780C4F"/>
    <w:rsid w:val="008C25A0"/>
    <w:rsid w:val="008D404E"/>
    <w:rsid w:val="0094442C"/>
    <w:rsid w:val="00962B1B"/>
    <w:rsid w:val="009F322F"/>
    <w:rsid w:val="00A2663D"/>
    <w:rsid w:val="00A41529"/>
    <w:rsid w:val="00A62E8D"/>
    <w:rsid w:val="00AE1863"/>
    <w:rsid w:val="00B27AA2"/>
    <w:rsid w:val="00B5333B"/>
    <w:rsid w:val="00BF6965"/>
    <w:rsid w:val="00C4064D"/>
    <w:rsid w:val="00C90737"/>
    <w:rsid w:val="00CA3532"/>
    <w:rsid w:val="00D1692B"/>
    <w:rsid w:val="00D57181"/>
    <w:rsid w:val="00E12FFA"/>
    <w:rsid w:val="00E40FAE"/>
    <w:rsid w:val="00E9518B"/>
    <w:rsid w:val="00FA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8C5A"/>
  <w15:chartTrackingRefBased/>
  <w15:docId w15:val="{6506B5F3-0BBC-40F1-82B6-44BF63593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2B1B"/>
    <w:rPr>
      <w:sz w:val="16"/>
      <w:szCs w:val="16"/>
    </w:rPr>
  </w:style>
  <w:style w:type="paragraph" w:styleId="CommentText">
    <w:name w:val="annotation text"/>
    <w:basedOn w:val="Normal"/>
    <w:link w:val="CommentTextChar"/>
    <w:uiPriority w:val="99"/>
    <w:semiHidden/>
    <w:unhideWhenUsed/>
    <w:rsid w:val="00962B1B"/>
    <w:pPr>
      <w:spacing w:line="240" w:lineRule="auto"/>
    </w:pPr>
    <w:rPr>
      <w:sz w:val="20"/>
      <w:szCs w:val="20"/>
    </w:rPr>
  </w:style>
  <w:style w:type="character" w:customStyle="1" w:styleId="CommentTextChar">
    <w:name w:val="Comment Text Char"/>
    <w:basedOn w:val="DefaultParagraphFont"/>
    <w:link w:val="CommentText"/>
    <w:uiPriority w:val="99"/>
    <w:semiHidden/>
    <w:rsid w:val="00962B1B"/>
    <w:rPr>
      <w:rFonts w:ascii="Garamond" w:hAnsi="Garamond"/>
      <w:sz w:val="20"/>
      <w:szCs w:val="20"/>
      <w:lang w:val="en-AU"/>
    </w:rPr>
  </w:style>
  <w:style w:type="paragraph" w:styleId="CommentSubject">
    <w:name w:val="annotation subject"/>
    <w:basedOn w:val="CommentText"/>
    <w:next w:val="CommentText"/>
    <w:link w:val="CommentSubjectChar"/>
    <w:uiPriority w:val="99"/>
    <w:semiHidden/>
    <w:unhideWhenUsed/>
    <w:rsid w:val="00962B1B"/>
    <w:rPr>
      <w:b/>
      <w:bCs/>
    </w:rPr>
  </w:style>
  <w:style w:type="character" w:customStyle="1" w:styleId="CommentSubjectChar">
    <w:name w:val="Comment Subject Char"/>
    <w:basedOn w:val="CommentTextChar"/>
    <w:link w:val="CommentSubject"/>
    <w:uiPriority w:val="99"/>
    <w:semiHidden/>
    <w:rsid w:val="00962B1B"/>
    <w:rPr>
      <w:rFonts w:ascii="Garamond" w:hAnsi="Garamond"/>
      <w:b/>
      <w:bCs/>
      <w:sz w:val="20"/>
      <w:szCs w:val="20"/>
      <w:lang w:val="en-AU"/>
    </w:rPr>
  </w:style>
  <w:style w:type="paragraph" w:styleId="ListParagraph">
    <w:name w:val="List Paragraph"/>
    <w:basedOn w:val="Normal"/>
    <w:uiPriority w:val="34"/>
    <w:qFormat/>
    <w:rsid w:val="00732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599525">
      <w:bodyDiv w:val="1"/>
      <w:marLeft w:val="0"/>
      <w:marRight w:val="0"/>
      <w:marTop w:val="0"/>
      <w:marBottom w:val="0"/>
      <w:divBdr>
        <w:top w:val="none" w:sz="0" w:space="0" w:color="auto"/>
        <w:left w:val="none" w:sz="0" w:space="0" w:color="auto"/>
        <w:bottom w:val="none" w:sz="0" w:space="0" w:color="auto"/>
        <w:right w:val="none" w:sz="0" w:space="0" w:color="auto"/>
      </w:divBdr>
      <w:divsChild>
        <w:div w:id="548883018">
          <w:marLeft w:val="0"/>
          <w:marRight w:val="0"/>
          <w:marTop w:val="0"/>
          <w:marBottom w:val="0"/>
          <w:divBdr>
            <w:top w:val="none" w:sz="0" w:space="0" w:color="auto"/>
            <w:left w:val="none" w:sz="0" w:space="0" w:color="auto"/>
            <w:bottom w:val="none" w:sz="0" w:space="0" w:color="auto"/>
            <w:right w:val="none" w:sz="0" w:space="0" w:color="auto"/>
          </w:divBdr>
          <w:divsChild>
            <w:div w:id="1334912396">
              <w:marLeft w:val="0"/>
              <w:marRight w:val="0"/>
              <w:marTop w:val="0"/>
              <w:marBottom w:val="0"/>
              <w:divBdr>
                <w:top w:val="none" w:sz="0" w:space="0" w:color="auto"/>
                <w:left w:val="none" w:sz="0" w:space="0" w:color="auto"/>
                <w:bottom w:val="none" w:sz="0" w:space="0" w:color="auto"/>
                <w:right w:val="none" w:sz="0" w:space="0" w:color="auto"/>
              </w:divBdr>
              <w:divsChild>
                <w:div w:id="1601642400">
                  <w:marLeft w:val="0"/>
                  <w:marRight w:val="0"/>
                  <w:marTop w:val="0"/>
                  <w:marBottom w:val="0"/>
                  <w:divBdr>
                    <w:top w:val="none" w:sz="0" w:space="0" w:color="auto"/>
                    <w:left w:val="none" w:sz="0" w:space="0" w:color="auto"/>
                    <w:bottom w:val="none" w:sz="0" w:space="0" w:color="auto"/>
                    <w:right w:val="none" w:sz="0" w:space="0" w:color="auto"/>
                  </w:divBdr>
                  <w:divsChild>
                    <w:div w:id="771823353">
                      <w:marLeft w:val="0"/>
                      <w:marRight w:val="0"/>
                      <w:marTop w:val="0"/>
                      <w:marBottom w:val="0"/>
                      <w:divBdr>
                        <w:top w:val="none" w:sz="0" w:space="0" w:color="auto"/>
                        <w:left w:val="none" w:sz="0" w:space="0" w:color="auto"/>
                        <w:bottom w:val="none" w:sz="0" w:space="0" w:color="auto"/>
                        <w:right w:val="none" w:sz="0" w:space="0" w:color="auto"/>
                      </w:divBdr>
                    </w:div>
                    <w:div w:id="159567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0720">
              <w:marLeft w:val="0"/>
              <w:marRight w:val="0"/>
              <w:marTop w:val="0"/>
              <w:marBottom w:val="0"/>
              <w:divBdr>
                <w:top w:val="none" w:sz="0" w:space="0" w:color="auto"/>
                <w:left w:val="none" w:sz="0" w:space="0" w:color="auto"/>
                <w:bottom w:val="none" w:sz="0" w:space="0" w:color="auto"/>
                <w:right w:val="none" w:sz="0" w:space="0" w:color="auto"/>
              </w:divBdr>
              <w:divsChild>
                <w:div w:id="299267510">
                  <w:marLeft w:val="0"/>
                  <w:marRight w:val="0"/>
                  <w:marTop w:val="0"/>
                  <w:marBottom w:val="0"/>
                  <w:divBdr>
                    <w:top w:val="none" w:sz="0" w:space="0" w:color="auto"/>
                    <w:left w:val="none" w:sz="0" w:space="0" w:color="auto"/>
                    <w:bottom w:val="none" w:sz="0" w:space="0" w:color="auto"/>
                    <w:right w:val="none" w:sz="0" w:space="0" w:color="auto"/>
                  </w:divBdr>
                </w:div>
              </w:divsChild>
            </w:div>
            <w:div w:id="1334186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48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298531">
              <w:blockQuote w:val="1"/>
              <w:marLeft w:val="720"/>
              <w:marRight w:val="720"/>
              <w:marTop w:val="100"/>
              <w:marBottom w:val="100"/>
              <w:divBdr>
                <w:top w:val="none" w:sz="0" w:space="0" w:color="auto"/>
                <w:left w:val="none" w:sz="0" w:space="0" w:color="auto"/>
                <w:bottom w:val="none" w:sz="0" w:space="0" w:color="auto"/>
                <w:right w:val="none" w:sz="0" w:space="0" w:color="auto"/>
              </w:divBdr>
            </w:div>
            <w:div w:id="8378898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39386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997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38530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628180">
              <w:blockQuote w:val="1"/>
              <w:marLeft w:val="720"/>
              <w:marRight w:val="720"/>
              <w:marTop w:val="100"/>
              <w:marBottom w:val="100"/>
              <w:divBdr>
                <w:top w:val="none" w:sz="0" w:space="0" w:color="auto"/>
                <w:left w:val="none" w:sz="0" w:space="0" w:color="auto"/>
                <w:bottom w:val="none" w:sz="0" w:space="0" w:color="auto"/>
                <w:right w:val="none" w:sz="0" w:space="0" w:color="auto"/>
              </w:divBdr>
            </w:div>
            <w:div w:id="97023115">
              <w:blockQuote w:val="1"/>
              <w:marLeft w:val="720"/>
              <w:marRight w:val="720"/>
              <w:marTop w:val="100"/>
              <w:marBottom w:val="100"/>
              <w:divBdr>
                <w:top w:val="none" w:sz="0" w:space="0" w:color="auto"/>
                <w:left w:val="none" w:sz="0" w:space="0" w:color="auto"/>
                <w:bottom w:val="none" w:sz="0" w:space="0" w:color="auto"/>
                <w:right w:val="none" w:sz="0" w:space="0" w:color="auto"/>
              </w:divBdr>
            </w:div>
            <w:div w:id="39000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8657906">
              <w:blockQuote w:val="1"/>
              <w:marLeft w:val="720"/>
              <w:marRight w:val="720"/>
              <w:marTop w:val="100"/>
              <w:marBottom w:val="100"/>
              <w:divBdr>
                <w:top w:val="none" w:sz="0" w:space="0" w:color="auto"/>
                <w:left w:val="none" w:sz="0" w:space="0" w:color="auto"/>
                <w:bottom w:val="none" w:sz="0" w:space="0" w:color="auto"/>
                <w:right w:val="none" w:sz="0" w:space="0" w:color="auto"/>
              </w:divBdr>
            </w:div>
            <w:div w:id="604772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592161">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79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7675306">
      <w:bodyDiv w:val="1"/>
      <w:marLeft w:val="0"/>
      <w:marRight w:val="0"/>
      <w:marTop w:val="0"/>
      <w:marBottom w:val="0"/>
      <w:divBdr>
        <w:top w:val="none" w:sz="0" w:space="0" w:color="auto"/>
        <w:left w:val="none" w:sz="0" w:space="0" w:color="auto"/>
        <w:bottom w:val="none" w:sz="0" w:space="0" w:color="auto"/>
        <w:right w:val="none" w:sz="0" w:space="0" w:color="auto"/>
      </w:divBdr>
      <w:divsChild>
        <w:div w:id="766586267">
          <w:marLeft w:val="0"/>
          <w:marRight w:val="0"/>
          <w:marTop w:val="0"/>
          <w:marBottom w:val="0"/>
          <w:divBdr>
            <w:top w:val="none" w:sz="0" w:space="0" w:color="auto"/>
            <w:left w:val="none" w:sz="0" w:space="0" w:color="auto"/>
            <w:bottom w:val="none" w:sz="0" w:space="0" w:color="auto"/>
            <w:right w:val="none" w:sz="0" w:space="0" w:color="auto"/>
          </w:divBdr>
          <w:divsChild>
            <w:div w:id="1118187058">
              <w:marLeft w:val="0"/>
              <w:marRight w:val="0"/>
              <w:marTop w:val="0"/>
              <w:marBottom w:val="0"/>
              <w:divBdr>
                <w:top w:val="none" w:sz="0" w:space="0" w:color="auto"/>
                <w:left w:val="none" w:sz="0" w:space="0" w:color="auto"/>
                <w:bottom w:val="none" w:sz="0" w:space="0" w:color="auto"/>
                <w:right w:val="none" w:sz="0" w:space="0" w:color="auto"/>
              </w:divBdr>
              <w:divsChild>
                <w:div w:id="32771098">
                  <w:marLeft w:val="0"/>
                  <w:marRight w:val="0"/>
                  <w:marTop w:val="0"/>
                  <w:marBottom w:val="0"/>
                  <w:divBdr>
                    <w:top w:val="none" w:sz="0" w:space="0" w:color="auto"/>
                    <w:left w:val="none" w:sz="0" w:space="0" w:color="auto"/>
                    <w:bottom w:val="none" w:sz="0" w:space="0" w:color="auto"/>
                    <w:right w:val="none" w:sz="0" w:space="0" w:color="auto"/>
                  </w:divBdr>
                  <w:divsChild>
                    <w:div w:id="1274090118">
                      <w:marLeft w:val="0"/>
                      <w:marRight w:val="0"/>
                      <w:marTop w:val="0"/>
                      <w:marBottom w:val="0"/>
                      <w:divBdr>
                        <w:top w:val="none" w:sz="0" w:space="0" w:color="auto"/>
                        <w:left w:val="none" w:sz="0" w:space="0" w:color="auto"/>
                        <w:bottom w:val="none" w:sz="0" w:space="0" w:color="auto"/>
                        <w:right w:val="none" w:sz="0" w:space="0" w:color="auto"/>
                      </w:divBdr>
                    </w:div>
                    <w:div w:id="8526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3725">
              <w:marLeft w:val="0"/>
              <w:marRight w:val="0"/>
              <w:marTop w:val="0"/>
              <w:marBottom w:val="0"/>
              <w:divBdr>
                <w:top w:val="none" w:sz="0" w:space="0" w:color="auto"/>
                <w:left w:val="none" w:sz="0" w:space="0" w:color="auto"/>
                <w:bottom w:val="none" w:sz="0" w:space="0" w:color="auto"/>
                <w:right w:val="none" w:sz="0" w:space="0" w:color="auto"/>
              </w:divBdr>
              <w:divsChild>
                <w:div w:id="1445728750">
                  <w:marLeft w:val="0"/>
                  <w:marRight w:val="0"/>
                  <w:marTop w:val="0"/>
                  <w:marBottom w:val="0"/>
                  <w:divBdr>
                    <w:top w:val="none" w:sz="0" w:space="0" w:color="auto"/>
                    <w:left w:val="none" w:sz="0" w:space="0" w:color="auto"/>
                    <w:bottom w:val="none" w:sz="0" w:space="0" w:color="auto"/>
                    <w:right w:val="none" w:sz="0" w:space="0" w:color="auto"/>
                  </w:divBdr>
                </w:div>
              </w:divsChild>
            </w:div>
            <w:div w:id="281346672">
              <w:blockQuote w:val="1"/>
              <w:marLeft w:val="720"/>
              <w:marRight w:val="720"/>
              <w:marTop w:val="100"/>
              <w:marBottom w:val="100"/>
              <w:divBdr>
                <w:top w:val="none" w:sz="0" w:space="0" w:color="auto"/>
                <w:left w:val="none" w:sz="0" w:space="0" w:color="auto"/>
                <w:bottom w:val="none" w:sz="0" w:space="0" w:color="auto"/>
                <w:right w:val="none" w:sz="0" w:space="0" w:color="auto"/>
              </w:divBdr>
            </w:div>
            <w:div w:id="4348607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7116486">
              <w:blockQuote w:val="1"/>
              <w:marLeft w:val="720"/>
              <w:marRight w:val="720"/>
              <w:marTop w:val="100"/>
              <w:marBottom w:val="100"/>
              <w:divBdr>
                <w:top w:val="none" w:sz="0" w:space="0" w:color="auto"/>
                <w:left w:val="none" w:sz="0" w:space="0" w:color="auto"/>
                <w:bottom w:val="none" w:sz="0" w:space="0" w:color="auto"/>
                <w:right w:val="none" w:sz="0" w:space="0" w:color="auto"/>
              </w:divBdr>
            </w:div>
            <w:div w:id="259606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358006">
              <w:blockQuote w:val="1"/>
              <w:marLeft w:val="720"/>
              <w:marRight w:val="720"/>
              <w:marTop w:val="100"/>
              <w:marBottom w:val="100"/>
              <w:divBdr>
                <w:top w:val="none" w:sz="0" w:space="0" w:color="auto"/>
                <w:left w:val="none" w:sz="0" w:space="0" w:color="auto"/>
                <w:bottom w:val="none" w:sz="0" w:space="0" w:color="auto"/>
                <w:right w:val="none" w:sz="0" w:space="0" w:color="auto"/>
              </w:divBdr>
            </w:div>
            <w:div w:id="7601833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857233">
              <w:blockQuote w:val="1"/>
              <w:marLeft w:val="720"/>
              <w:marRight w:val="720"/>
              <w:marTop w:val="100"/>
              <w:marBottom w:val="100"/>
              <w:divBdr>
                <w:top w:val="none" w:sz="0" w:space="0" w:color="auto"/>
                <w:left w:val="none" w:sz="0" w:space="0" w:color="auto"/>
                <w:bottom w:val="none" w:sz="0" w:space="0" w:color="auto"/>
                <w:right w:val="none" w:sz="0" w:space="0" w:color="auto"/>
              </w:divBdr>
            </w:div>
            <w:div w:id="81920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10359">
              <w:blockQuote w:val="1"/>
              <w:marLeft w:val="720"/>
              <w:marRight w:val="720"/>
              <w:marTop w:val="100"/>
              <w:marBottom w:val="100"/>
              <w:divBdr>
                <w:top w:val="none" w:sz="0" w:space="0" w:color="auto"/>
                <w:left w:val="none" w:sz="0" w:space="0" w:color="auto"/>
                <w:bottom w:val="none" w:sz="0" w:space="0" w:color="auto"/>
                <w:right w:val="none" w:sz="0" w:space="0" w:color="auto"/>
              </w:divBdr>
            </w:div>
            <w:div w:id="838735601">
              <w:blockQuote w:val="1"/>
              <w:marLeft w:val="720"/>
              <w:marRight w:val="720"/>
              <w:marTop w:val="100"/>
              <w:marBottom w:val="100"/>
              <w:divBdr>
                <w:top w:val="none" w:sz="0" w:space="0" w:color="auto"/>
                <w:left w:val="none" w:sz="0" w:space="0" w:color="auto"/>
                <w:bottom w:val="none" w:sz="0" w:space="0" w:color="auto"/>
                <w:right w:val="none" w:sz="0" w:space="0" w:color="auto"/>
              </w:divBdr>
            </w:div>
            <w:div w:id="430782282">
              <w:blockQuote w:val="1"/>
              <w:marLeft w:val="720"/>
              <w:marRight w:val="720"/>
              <w:marTop w:val="100"/>
              <w:marBottom w:val="100"/>
              <w:divBdr>
                <w:top w:val="none" w:sz="0" w:space="0" w:color="auto"/>
                <w:left w:val="none" w:sz="0" w:space="0" w:color="auto"/>
                <w:bottom w:val="none" w:sz="0" w:space="0" w:color="auto"/>
                <w:right w:val="none" w:sz="0" w:space="0" w:color="auto"/>
              </w:divBdr>
            </w:div>
            <w:div w:id="5419895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9561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1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76/587/" TargetMode="External"/><Relationship Id="rId13" Type="http://schemas.openxmlformats.org/officeDocument/2006/relationships/hyperlink" Target="https://cite.case.law/nm/85/112/" TargetMode="External"/><Relationship Id="rId18" Type="http://schemas.openxmlformats.org/officeDocument/2006/relationships/hyperlink" Target="https://cite.capapi.org/p2d/472/665/"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ite.case.law/f2d/337/822/" TargetMode="External"/><Relationship Id="rId12" Type="http://schemas.openxmlformats.org/officeDocument/2006/relationships/hyperlink" Target="https://cite.case.law/ariz-app/20/388/" TargetMode="External"/><Relationship Id="rId17" Type="http://schemas.openxmlformats.org/officeDocument/2006/relationships/hyperlink" Target="https://cite.case.law/nm/81/693/" TargetMode="External"/><Relationship Id="rId2" Type="http://schemas.openxmlformats.org/officeDocument/2006/relationships/styles" Target="styles.xml"/><Relationship Id="rId16" Type="http://schemas.openxmlformats.org/officeDocument/2006/relationships/hyperlink" Target="https://cite.case.law/nm/50/9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ite.case.law/ill-app-3d/7/1099/" TargetMode="External"/><Relationship Id="rId11" Type="http://schemas.openxmlformats.org/officeDocument/2006/relationships/hyperlink" Target="https://cite.case.law/cal-app-2d/215/627/" TargetMode="External"/><Relationship Id="rId5" Type="http://schemas.openxmlformats.org/officeDocument/2006/relationships/hyperlink" Target="https://cite.case.law/nm/80/102/" TargetMode="External"/><Relationship Id="rId15" Type="http://schemas.openxmlformats.org/officeDocument/2006/relationships/hyperlink" Target="https://cite.case.law/nm/90/386/2870664/" TargetMode="External"/><Relationship Id="rId10" Type="http://schemas.openxmlformats.org/officeDocument/2006/relationships/hyperlink" Target="https://cite.capapi.org/p2d/345/217/" TargetMode="External"/><Relationship Id="rId19" Type="http://schemas.openxmlformats.org/officeDocument/2006/relationships/hyperlink" Target="https://cite.case.law/nm/76/719/" TargetMode="External"/><Relationship Id="rId4" Type="http://schemas.openxmlformats.org/officeDocument/2006/relationships/webSettings" Target="webSettings.xml"/><Relationship Id="rId9" Type="http://schemas.openxmlformats.org/officeDocument/2006/relationships/hyperlink" Target="https://cite.case.law/nm/78/797/" TargetMode="External"/><Relationship Id="rId14" Type="http://schemas.openxmlformats.org/officeDocument/2006/relationships/hyperlink" Target="https://cite.case.law/nm/82/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3111</Words>
  <Characters>17735</Characters>
  <Application>Microsoft Office Word</Application>
  <DocSecurity>0</DocSecurity>
  <Lines>147</Lines>
  <Paragraphs>41</Paragraphs>
  <ScaleCrop>false</ScaleCrop>
  <Company/>
  <LinksUpToDate>false</LinksUpToDate>
  <CharactersWithSpaces>20805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2024-09-17T13:22:00Z</dcterms:created>
  <dcterms:modified xsi:type="dcterms:W3CDTF">2024-09-17T13:22:00Z</dcterms:modified>
</cp:coreProperties>
</file>